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5EDC3" w14:textId="77777777" w:rsidR="00043057" w:rsidRDefault="00043057" w:rsidP="00F47570">
      <w:pPr>
        <w:rPr>
          <w:rFonts w:cs="Arial"/>
          <w:b/>
          <w:sz w:val="22"/>
          <w:szCs w:val="22"/>
        </w:rPr>
      </w:pPr>
    </w:p>
    <w:p w14:paraId="14C71B1F" w14:textId="77777777" w:rsidR="00431251" w:rsidRPr="00043057" w:rsidRDefault="00431251" w:rsidP="00431251">
      <w:pPr>
        <w:pStyle w:val="Heading1"/>
      </w:pPr>
      <w:bookmarkStart w:id="0" w:name="_Toc430612986"/>
      <w:bookmarkStart w:id="1" w:name="_Toc430613293"/>
      <w:bookmarkStart w:id="2" w:name="_Toc430613664"/>
      <w:r w:rsidRPr="00043057">
        <w:t>Financial Report for the year ended 30 June 2015</w:t>
      </w:r>
      <w:bookmarkEnd w:id="0"/>
      <w:bookmarkEnd w:id="1"/>
      <w:bookmarkEnd w:id="2"/>
    </w:p>
    <w:p w14:paraId="67212E3C" w14:textId="77777777" w:rsidR="00431251" w:rsidRDefault="00431251" w:rsidP="00960513">
      <w:pPr>
        <w:rPr>
          <w:b/>
        </w:rPr>
      </w:pPr>
    </w:p>
    <w:p w14:paraId="61753600" w14:textId="77777777" w:rsidR="006B7C60" w:rsidRPr="00431251" w:rsidRDefault="006B7C60" w:rsidP="006B7C60">
      <w:pPr>
        <w:pStyle w:val="Heading2"/>
        <w:rPr>
          <w:sz w:val="22"/>
          <w:szCs w:val="22"/>
        </w:rPr>
      </w:pPr>
      <w:bookmarkStart w:id="3" w:name="_Toc430612988"/>
      <w:bookmarkStart w:id="4" w:name="_Toc430613294"/>
      <w:bookmarkStart w:id="5" w:name="_Toc430613665"/>
      <w:r w:rsidRPr="00431251">
        <w:rPr>
          <w:sz w:val="22"/>
          <w:szCs w:val="22"/>
        </w:rPr>
        <w:t>Vision Australia Limited</w:t>
      </w:r>
      <w:bookmarkEnd w:id="3"/>
      <w:bookmarkEnd w:id="4"/>
      <w:bookmarkEnd w:id="5"/>
    </w:p>
    <w:p w14:paraId="68A58732" w14:textId="77777777" w:rsidR="006B7C60" w:rsidRDefault="006B7C60" w:rsidP="006B7C60">
      <w:pPr>
        <w:rPr>
          <w:b/>
        </w:rPr>
      </w:pPr>
      <w:r w:rsidRPr="00043057">
        <w:rPr>
          <w:b/>
        </w:rPr>
        <w:t>ACN 108 391 831</w:t>
      </w:r>
    </w:p>
    <w:p w14:paraId="207C0E8D" w14:textId="77777777" w:rsidR="00E35FEA" w:rsidRPr="00043057" w:rsidRDefault="00E35FEA" w:rsidP="006B7C60">
      <w:pPr>
        <w:rPr>
          <w:b/>
        </w:rPr>
      </w:pPr>
    </w:p>
    <w:p w14:paraId="2A76425B" w14:textId="77777777" w:rsidR="00BF287B" w:rsidRPr="00E35FEA" w:rsidRDefault="00431251" w:rsidP="00E35FEA">
      <w:pPr>
        <w:pStyle w:val="Heading2"/>
        <w:rPr>
          <w:sz w:val="22"/>
          <w:szCs w:val="22"/>
        </w:rPr>
      </w:pPr>
      <w:bookmarkStart w:id="6" w:name="_Toc430612987"/>
      <w:r w:rsidRPr="00E35FEA">
        <w:rPr>
          <w:sz w:val="22"/>
          <w:szCs w:val="22"/>
        </w:rPr>
        <w:t>Contents</w:t>
      </w:r>
      <w:bookmarkEnd w:id="6"/>
    </w:p>
    <w:p w14:paraId="5246FB68" w14:textId="77777777" w:rsidR="00E35FEA" w:rsidRPr="00E35FEA" w:rsidRDefault="00E35FEA" w:rsidP="00E35FEA"/>
    <w:sdt>
      <w:sdtPr>
        <w:rPr>
          <w:sz w:val="22"/>
          <w:szCs w:val="22"/>
        </w:rPr>
        <w:id w:val="-1241244284"/>
        <w:docPartObj>
          <w:docPartGallery w:val="Table of Contents"/>
          <w:docPartUnique/>
        </w:docPartObj>
      </w:sdtPr>
      <w:sdtEndPr>
        <w:rPr>
          <w:b/>
          <w:bCs/>
          <w:noProof/>
          <w:sz w:val="24"/>
          <w:szCs w:val="24"/>
        </w:rPr>
      </w:sdtEndPr>
      <w:sdtContent>
        <w:p w14:paraId="1E036248" w14:textId="77777777" w:rsidR="00727907" w:rsidRPr="00E35FEA" w:rsidRDefault="00BF287B">
          <w:pPr>
            <w:pStyle w:val="TOC1"/>
            <w:tabs>
              <w:tab w:val="right" w:leader="dot" w:pos="9017"/>
            </w:tabs>
            <w:rPr>
              <w:rFonts w:asciiTheme="minorHAnsi" w:hAnsiTheme="minorHAnsi" w:cstheme="minorBidi"/>
              <w:noProof/>
              <w:sz w:val="22"/>
              <w:szCs w:val="22"/>
              <w:lang w:eastAsia="en-AU"/>
            </w:rPr>
          </w:pPr>
          <w:r w:rsidRPr="00E35FEA">
            <w:rPr>
              <w:sz w:val="22"/>
              <w:szCs w:val="22"/>
            </w:rPr>
            <w:fldChar w:fldCharType="begin"/>
          </w:r>
          <w:r w:rsidRPr="00E35FEA">
            <w:rPr>
              <w:sz w:val="22"/>
              <w:szCs w:val="22"/>
            </w:rPr>
            <w:instrText xml:space="preserve"> TOC \o "1-3" \h \z \u </w:instrText>
          </w:r>
          <w:r w:rsidRPr="00E35FEA">
            <w:rPr>
              <w:sz w:val="22"/>
              <w:szCs w:val="22"/>
            </w:rPr>
            <w:fldChar w:fldCharType="separate"/>
          </w:r>
          <w:hyperlink w:anchor="_Toc430613664" w:history="1">
            <w:r w:rsidR="00727907" w:rsidRPr="00E35FEA">
              <w:rPr>
                <w:rStyle w:val="Hyperlink"/>
                <w:noProof/>
                <w:sz w:val="22"/>
                <w:szCs w:val="22"/>
              </w:rPr>
              <w:t>Financial Report for the year ended 30 June 2015</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_Toc430613664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0</w:t>
            </w:r>
            <w:r w:rsidR="00727907" w:rsidRPr="00E35FEA">
              <w:rPr>
                <w:noProof/>
                <w:webHidden/>
                <w:sz w:val="22"/>
                <w:szCs w:val="22"/>
              </w:rPr>
              <w:fldChar w:fldCharType="end"/>
            </w:r>
          </w:hyperlink>
        </w:p>
        <w:p w14:paraId="654C64C6"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667" w:history="1">
            <w:r w:rsidR="00727907" w:rsidRPr="00E35FEA">
              <w:rPr>
                <w:rStyle w:val="Hyperlink"/>
                <w:noProof/>
                <w:sz w:val="22"/>
                <w:szCs w:val="22"/>
              </w:rPr>
              <w:t>Corporate Directory</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_Toc430613667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w:t>
            </w:r>
            <w:r w:rsidR="00727907" w:rsidRPr="00E35FEA">
              <w:rPr>
                <w:noProof/>
                <w:webHidden/>
                <w:sz w:val="22"/>
                <w:szCs w:val="22"/>
              </w:rPr>
              <w:fldChar w:fldCharType="end"/>
            </w:r>
          </w:hyperlink>
        </w:p>
        <w:p w14:paraId="4697B238"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680" w:history="1">
            <w:r w:rsidR="00727907" w:rsidRPr="00E35FEA">
              <w:rPr>
                <w:rStyle w:val="Hyperlink"/>
                <w:noProof/>
                <w:sz w:val="22"/>
                <w:szCs w:val="22"/>
              </w:rPr>
              <w:t>Directors’ Report</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_Toc430613680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7</w:t>
            </w:r>
            <w:r w:rsidR="00727907" w:rsidRPr="00E35FEA">
              <w:rPr>
                <w:noProof/>
                <w:webHidden/>
                <w:sz w:val="22"/>
                <w:szCs w:val="22"/>
              </w:rPr>
              <w:fldChar w:fldCharType="end"/>
            </w:r>
          </w:hyperlink>
        </w:p>
        <w:p w14:paraId="03838259"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04" w:history="1">
            <w:r w:rsidR="00727907" w:rsidRPr="00E35FEA">
              <w:rPr>
                <w:rStyle w:val="Hyperlink"/>
                <w:noProof/>
                <w:sz w:val="22"/>
                <w:szCs w:val="22"/>
                <w:lang w:eastAsia="en-AU"/>
              </w:rPr>
              <w:t>Consolidated Statement of Profit or Loss and Other Comprehensive Income for the year ended 30 June 2015</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_Toc430613704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21</w:t>
            </w:r>
            <w:r w:rsidR="00727907" w:rsidRPr="00E35FEA">
              <w:rPr>
                <w:noProof/>
                <w:webHidden/>
                <w:sz w:val="22"/>
                <w:szCs w:val="22"/>
              </w:rPr>
              <w:fldChar w:fldCharType="end"/>
            </w:r>
          </w:hyperlink>
        </w:p>
        <w:p w14:paraId="672C4B60"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05" w:history="1">
            <w:r w:rsidR="00727907" w:rsidRPr="00E35FEA">
              <w:rPr>
                <w:rStyle w:val="Hyperlink"/>
                <w:noProof/>
                <w:sz w:val="22"/>
                <w:szCs w:val="22"/>
                <w:lang w:eastAsia="en-AU"/>
              </w:rPr>
              <w:t>Consolidated Statement of Financial Position as at 30 June 2015</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_Toc430613705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22</w:t>
            </w:r>
            <w:r w:rsidR="00727907" w:rsidRPr="00E35FEA">
              <w:rPr>
                <w:noProof/>
                <w:webHidden/>
                <w:sz w:val="22"/>
                <w:szCs w:val="22"/>
              </w:rPr>
              <w:fldChar w:fldCharType="end"/>
            </w:r>
          </w:hyperlink>
        </w:p>
        <w:p w14:paraId="295480D0"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06" w:history="1">
            <w:r w:rsidR="00727907" w:rsidRPr="00E35FEA">
              <w:rPr>
                <w:rStyle w:val="Hyperlink"/>
                <w:noProof/>
                <w:sz w:val="22"/>
                <w:szCs w:val="22"/>
                <w:lang w:eastAsia="en-AU"/>
              </w:rPr>
              <w:t>Consolidated Statement of Changes in Equity for the year ended 30 June 2015</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_Toc430613706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23</w:t>
            </w:r>
            <w:r w:rsidR="00727907" w:rsidRPr="00E35FEA">
              <w:rPr>
                <w:noProof/>
                <w:webHidden/>
                <w:sz w:val="22"/>
                <w:szCs w:val="22"/>
              </w:rPr>
              <w:fldChar w:fldCharType="end"/>
            </w:r>
          </w:hyperlink>
        </w:p>
        <w:p w14:paraId="29DE645C"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07" w:history="1">
            <w:r w:rsidR="00727907" w:rsidRPr="00E35FEA">
              <w:rPr>
                <w:rStyle w:val="Hyperlink"/>
                <w:noProof/>
                <w:sz w:val="22"/>
                <w:szCs w:val="22"/>
                <w:lang w:eastAsia="en-AU"/>
              </w:rPr>
              <w:t>Consolidated Statement of Cash Flows for the year ended 30 June 2015</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_Toc430613707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24</w:t>
            </w:r>
            <w:r w:rsidR="00727907" w:rsidRPr="00E35FEA">
              <w:rPr>
                <w:noProof/>
                <w:webHidden/>
                <w:sz w:val="22"/>
                <w:szCs w:val="22"/>
              </w:rPr>
              <w:fldChar w:fldCharType="end"/>
            </w:r>
          </w:hyperlink>
        </w:p>
        <w:p w14:paraId="53BCEB1F"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08" w:history="1">
            <w:r w:rsidR="00727907" w:rsidRPr="00E35FEA">
              <w:rPr>
                <w:rStyle w:val="Hyperlink"/>
                <w:noProof/>
                <w:sz w:val="22"/>
                <w:szCs w:val="22"/>
              </w:rPr>
              <w:t>Note 1:  Reporting Entity</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_Toc430613708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25</w:t>
            </w:r>
            <w:r w:rsidR="00727907" w:rsidRPr="00E35FEA">
              <w:rPr>
                <w:noProof/>
                <w:webHidden/>
                <w:sz w:val="22"/>
                <w:szCs w:val="22"/>
              </w:rPr>
              <w:fldChar w:fldCharType="end"/>
            </w:r>
          </w:hyperlink>
        </w:p>
        <w:p w14:paraId="1194EBF7"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09" w:history="1">
            <w:r w:rsidR="00727907" w:rsidRPr="00E35FEA">
              <w:rPr>
                <w:rStyle w:val="Hyperlink"/>
                <w:noProof/>
                <w:sz w:val="22"/>
                <w:szCs w:val="22"/>
              </w:rPr>
              <w:t>Note 2: Application of new and revised Accounting Standards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_Toc430613709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25</w:t>
            </w:r>
            <w:r w:rsidR="00727907" w:rsidRPr="00E35FEA">
              <w:rPr>
                <w:noProof/>
                <w:webHidden/>
                <w:sz w:val="22"/>
                <w:szCs w:val="22"/>
              </w:rPr>
              <w:fldChar w:fldCharType="end"/>
            </w:r>
          </w:hyperlink>
        </w:p>
        <w:p w14:paraId="252DD79F"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12" w:history="1">
            <w:r w:rsidR="00727907" w:rsidRPr="00E35FEA">
              <w:rPr>
                <w:rStyle w:val="Hyperlink"/>
                <w:noProof/>
                <w:sz w:val="22"/>
                <w:szCs w:val="22"/>
              </w:rPr>
              <w:t>Note 3:  Significant accounting policies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_Toc430613712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26</w:t>
            </w:r>
            <w:r w:rsidR="00727907" w:rsidRPr="00E35FEA">
              <w:rPr>
                <w:noProof/>
                <w:webHidden/>
                <w:sz w:val="22"/>
                <w:szCs w:val="22"/>
              </w:rPr>
              <w:fldChar w:fldCharType="end"/>
            </w:r>
          </w:hyperlink>
        </w:p>
        <w:p w14:paraId="3A1988AF"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51" w:history="1">
            <w:r w:rsidR="00727907" w:rsidRPr="00E35FEA">
              <w:rPr>
                <w:rStyle w:val="Hyperlink"/>
                <w:noProof/>
                <w:sz w:val="22"/>
                <w:szCs w:val="22"/>
              </w:rPr>
              <w:t>Note 4:  Critical judgements and key sources of estimation uncertainty</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_Toc430613751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36</w:t>
            </w:r>
            <w:r w:rsidR="00727907" w:rsidRPr="00E35FEA">
              <w:rPr>
                <w:noProof/>
                <w:webHidden/>
                <w:sz w:val="22"/>
                <w:szCs w:val="22"/>
              </w:rPr>
              <w:fldChar w:fldCharType="end"/>
            </w:r>
          </w:hyperlink>
        </w:p>
        <w:p w14:paraId="1C5E7DCD"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58" w:history="1">
            <w:r w:rsidR="00727907" w:rsidRPr="00E35FEA">
              <w:rPr>
                <w:rStyle w:val="Hyperlink"/>
                <w:noProof/>
                <w:sz w:val="22"/>
                <w:szCs w:val="22"/>
              </w:rPr>
              <w:t>Note 5: Revenue</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_Toc430613758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37</w:t>
            </w:r>
            <w:r w:rsidR="00727907" w:rsidRPr="00E35FEA">
              <w:rPr>
                <w:noProof/>
                <w:webHidden/>
                <w:sz w:val="22"/>
                <w:szCs w:val="22"/>
              </w:rPr>
              <w:fldChar w:fldCharType="end"/>
            </w:r>
          </w:hyperlink>
        </w:p>
        <w:p w14:paraId="700CD505"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59" w:history="1">
            <w:r w:rsidR="00727907" w:rsidRPr="00E35FEA">
              <w:rPr>
                <w:rStyle w:val="Hyperlink"/>
                <w:noProof/>
                <w:sz w:val="22"/>
                <w:szCs w:val="22"/>
              </w:rPr>
              <w:t>Note 6: Surplus for the year</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_Toc430613759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37</w:t>
            </w:r>
            <w:r w:rsidR="00727907" w:rsidRPr="00E35FEA">
              <w:rPr>
                <w:noProof/>
                <w:webHidden/>
                <w:sz w:val="22"/>
                <w:szCs w:val="22"/>
              </w:rPr>
              <w:fldChar w:fldCharType="end"/>
            </w:r>
          </w:hyperlink>
        </w:p>
        <w:p w14:paraId="37551FD2"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60" w:history="1">
            <w:r w:rsidR="00727907" w:rsidRPr="00E35FEA">
              <w:rPr>
                <w:rStyle w:val="Hyperlink"/>
                <w:noProof/>
                <w:sz w:val="22"/>
                <w:szCs w:val="22"/>
              </w:rPr>
              <w:t>Note 7: Trade and other receivables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_Toc430613760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39</w:t>
            </w:r>
            <w:r w:rsidR="00727907" w:rsidRPr="00E35FEA">
              <w:rPr>
                <w:noProof/>
                <w:webHidden/>
                <w:sz w:val="22"/>
                <w:szCs w:val="22"/>
              </w:rPr>
              <w:fldChar w:fldCharType="end"/>
            </w:r>
          </w:hyperlink>
        </w:p>
        <w:p w14:paraId="57B290A2"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61" w:history="1">
            <w:r w:rsidR="00727907" w:rsidRPr="00E35FEA">
              <w:rPr>
                <w:rStyle w:val="Hyperlink"/>
                <w:noProof/>
                <w:sz w:val="22"/>
                <w:szCs w:val="22"/>
              </w:rPr>
              <w:t>Note 8: Other financial assets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_Toc430613761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40</w:t>
            </w:r>
            <w:r w:rsidR="00727907" w:rsidRPr="00E35FEA">
              <w:rPr>
                <w:noProof/>
                <w:webHidden/>
                <w:sz w:val="22"/>
                <w:szCs w:val="22"/>
              </w:rPr>
              <w:fldChar w:fldCharType="end"/>
            </w:r>
          </w:hyperlink>
        </w:p>
        <w:p w14:paraId="78636C6B"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62" w:history="1">
            <w:r w:rsidR="00727907" w:rsidRPr="00E35FEA">
              <w:rPr>
                <w:rStyle w:val="Hyperlink"/>
                <w:noProof/>
                <w:sz w:val="22"/>
                <w:szCs w:val="22"/>
              </w:rPr>
              <w:t>Note 9: Inventories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_Toc430613762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41</w:t>
            </w:r>
            <w:r w:rsidR="00727907" w:rsidRPr="00E35FEA">
              <w:rPr>
                <w:noProof/>
                <w:webHidden/>
                <w:sz w:val="22"/>
                <w:szCs w:val="22"/>
              </w:rPr>
              <w:fldChar w:fldCharType="end"/>
            </w:r>
          </w:hyperlink>
        </w:p>
        <w:p w14:paraId="19432F59"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63" w:history="1">
            <w:r w:rsidR="00727907" w:rsidRPr="00E35FEA">
              <w:rPr>
                <w:rStyle w:val="Hyperlink"/>
                <w:noProof/>
                <w:sz w:val="22"/>
                <w:szCs w:val="22"/>
              </w:rPr>
              <w:t>Note 10: Other current assets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_Toc430613763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41</w:t>
            </w:r>
            <w:r w:rsidR="00727907" w:rsidRPr="00E35FEA">
              <w:rPr>
                <w:noProof/>
                <w:webHidden/>
                <w:sz w:val="22"/>
                <w:szCs w:val="22"/>
              </w:rPr>
              <w:fldChar w:fldCharType="end"/>
            </w:r>
          </w:hyperlink>
        </w:p>
        <w:p w14:paraId="417C2127"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64" w:history="1">
            <w:r w:rsidR="00727907" w:rsidRPr="00E35FEA">
              <w:rPr>
                <w:rStyle w:val="Hyperlink"/>
                <w:noProof/>
                <w:sz w:val="22"/>
                <w:szCs w:val="22"/>
              </w:rPr>
              <w:t>Note 11: Non-</w:t>
            </w:r>
            <w:r w:rsidR="00727907" w:rsidRPr="00E35FEA">
              <w:rPr>
                <w:rStyle w:val="Hyperlink"/>
                <w:noProof/>
                <w:sz w:val="22"/>
                <w:szCs w:val="22"/>
                <w:lang w:eastAsia="en-AU"/>
              </w:rPr>
              <w:t xml:space="preserve"> current assets classified as held for sale</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_Toc430613764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42</w:t>
            </w:r>
            <w:r w:rsidR="00727907" w:rsidRPr="00E35FEA">
              <w:rPr>
                <w:noProof/>
                <w:webHidden/>
                <w:sz w:val="22"/>
                <w:szCs w:val="22"/>
              </w:rPr>
              <w:fldChar w:fldCharType="end"/>
            </w:r>
          </w:hyperlink>
        </w:p>
        <w:p w14:paraId="5210BB5F"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65" w:history="1">
            <w:r w:rsidR="00727907" w:rsidRPr="00E35FEA">
              <w:rPr>
                <w:rStyle w:val="Hyperlink"/>
                <w:noProof/>
                <w:sz w:val="22"/>
                <w:szCs w:val="22"/>
                <w:lang w:eastAsia="en-AU"/>
              </w:rPr>
              <w:t>Note 12:  Property, plant and equipment</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_Toc430613765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43</w:t>
            </w:r>
            <w:r w:rsidR="00727907" w:rsidRPr="00E35FEA">
              <w:rPr>
                <w:noProof/>
                <w:webHidden/>
                <w:sz w:val="22"/>
                <w:szCs w:val="22"/>
              </w:rPr>
              <w:fldChar w:fldCharType="end"/>
            </w:r>
          </w:hyperlink>
        </w:p>
        <w:p w14:paraId="66F0FC0F"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66" w:history="1">
            <w:r w:rsidR="00727907" w:rsidRPr="00E35FEA">
              <w:rPr>
                <w:rStyle w:val="Hyperlink"/>
                <w:noProof/>
                <w:sz w:val="22"/>
                <w:szCs w:val="22"/>
              </w:rPr>
              <w:t>Note 13: Investment property</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_Toc430613766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44</w:t>
            </w:r>
            <w:r w:rsidR="00727907" w:rsidRPr="00E35FEA">
              <w:rPr>
                <w:noProof/>
                <w:webHidden/>
                <w:sz w:val="22"/>
                <w:szCs w:val="22"/>
              </w:rPr>
              <w:fldChar w:fldCharType="end"/>
            </w:r>
          </w:hyperlink>
        </w:p>
        <w:p w14:paraId="4602AF67"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67" w:history="1">
            <w:r w:rsidR="00727907" w:rsidRPr="00E35FEA">
              <w:rPr>
                <w:rStyle w:val="Hyperlink"/>
                <w:noProof/>
                <w:sz w:val="22"/>
                <w:szCs w:val="22"/>
              </w:rPr>
              <w:t>Note 14: Intangible assets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_Toc430613767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44</w:t>
            </w:r>
            <w:r w:rsidR="00727907" w:rsidRPr="00E35FEA">
              <w:rPr>
                <w:noProof/>
                <w:webHidden/>
                <w:sz w:val="22"/>
                <w:szCs w:val="22"/>
              </w:rPr>
              <w:fldChar w:fldCharType="end"/>
            </w:r>
          </w:hyperlink>
        </w:p>
        <w:p w14:paraId="700FE818"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68" w:history="1">
            <w:r w:rsidR="00727907" w:rsidRPr="00E35FEA">
              <w:rPr>
                <w:rStyle w:val="Hyperlink"/>
                <w:noProof/>
                <w:sz w:val="22"/>
                <w:szCs w:val="22"/>
              </w:rPr>
              <w:t xml:space="preserve">Note 15: </w:t>
            </w:r>
            <w:r w:rsidR="00727907" w:rsidRPr="00E35FEA">
              <w:rPr>
                <w:rStyle w:val="Hyperlink"/>
                <w:noProof/>
                <w:sz w:val="22"/>
                <w:szCs w:val="22"/>
                <w:lang w:eastAsia="en-AU"/>
              </w:rPr>
              <w:t>Trade and other payables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_Toc430613768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45</w:t>
            </w:r>
            <w:r w:rsidR="00727907" w:rsidRPr="00E35FEA">
              <w:rPr>
                <w:noProof/>
                <w:webHidden/>
                <w:sz w:val="22"/>
                <w:szCs w:val="22"/>
              </w:rPr>
              <w:fldChar w:fldCharType="end"/>
            </w:r>
          </w:hyperlink>
        </w:p>
        <w:p w14:paraId="2D47CD37"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69" w:history="1">
            <w:r w:rsidR="00727907" w:rsidRPr="00E35FEA">
              <w:rPr>
                <w:rStyle w:val="Hyperlink"/>
                <w:noProof/>
                <w:sz w:val="22"/>
                <w:szCs w:val="22"/>
              </w:rPr>
              <w:t>Note 16: Provisions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_Toc430613769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45</w:t>
            </w:r>
            <w:r w:rsidR="00727907" w:rsidRPr="00E35FEA">
              <w:rPr>
                <w:noProof/>
                <w:webHidden/>
                <w:sz w:val="22"/>
                <w:szCs w:val="22"/>
              </w:rPr>
              <w:fldChar w:fldCharType="end"/>
            </w:r>
          </w:hyperlink>
        </w:p>
        <w:p w14:paraId="3698916B"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70" w:history="1">
            <w:r w:rsidR="00727907" w:rsidRPr="00E35FEA">
              <w:rPr>
                <w:rStyle w:val="Hyperlink"/>
                <w:noProof/>
                <w:sz w:val="22"/>
                <w:szCs w:val="22"/>
              </w:rPr>
              <w:t>Note 17: Other current liabilities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_Toc430613770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46</w:t>
            </w:r>
            <w:r w:rsidR="00727907" w:rsidRPr="00E35FEA">
              <w:rPr>
                <w:noProof/>
                <w:webHidden/>
                <w:sz w:val="22"/>
                <w:szCs w:val="22"/>
              </w:rPr>
              <w:fldChar w:fldCharType="end"/>
            </w:r>
          </w:hyperlink>
        </w:p>
        <w:p w14:paraId="160F98EE"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71" w:history="1">
            <w:r w:rsidR="00727907" w:rsidRPr="00E35FEA">
              <w:rPr>
                <w:rStyle w:val="Hyperlink"/>
                <w:noProof/>
                <w:sz w:val="22"/>
                <w:szCs w:val="22"/>
              </w:rPr>
              <w:t>Note 18:  Retirement Benefit Plans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_Toc430613771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46</w:t>
            </w:r>
            <w:r w:rsidR="00727907" w:rsidRPr="00E35FEA">
              <w:rPr>
                <w:noProof/>
                <w:webHidden/>
                <w:sz w:val="22"/>
                <w:szCs w:val="22"/>
              </w:rPr>
              <w:fldChar w:fldCharType="end"/>
            </w:r>
          </w:hyperlink>
        </w:p>
        <w:p w14:paraId="6F6A9AE1"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72" w:history="1">
            <w:r w:rsidR="00727907" w:rsidRPr="00E35FEA">
              <w:rPr>
                <w:rStyle w:val="Hyperlink"/>
                <w:noProof/>
                <w:sz w:val="22"/>
                <w:szCs w:val="22"/>
              </w:rPr>
              <w:t>Note 19: Reserves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_Toc430613772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46</w:t>
            </w:r>
            <w:r w:rsidR="00727907" w:rsidRPr="00E35FEA">
              <w:rPr>
                <w:noProof/>
                <w:webHidden/>
                <w:sz w:val="22"/>
                <w:szCs w:val="22"/>
              </w:rPr>
              <w:fldChar w:fldCharType="end"/>
            </w:r>
          </w:hyperlink>
        </w:p>
        <w:p w14:paraId="67C4A152"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73" w:history="1">
            <w:r w:rsidR="00727907" w:rsidRPr="00E35FEA">
              <w:rPr>
                <w:rStyle w:val="Hyperlink"/>
                <w:noProof/>
                <w:sz w:val="22"/>
                <w:szCs w:val="22"/>
              </w:rPr>
              <w:t>Note 20: Retained surplus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_Toc430613773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47</w:t>
            </w:r>
            <w:r w:rsidR="00727907" w:rsidRPr="00E35FEA">
              <w:rPr>
                <w:noProof/>
                <w:webHidden/>
                <w:sz w:val="22"/>
                <w:szCs w:val="22"/>
              </w:rPr>
              <w:fldChar w:fldCharType="end"/>
            </w:r>
          </w:hyperlink>
        </w:p>
        <w:p w14:paraId="7D6DC317"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74" w:history="1">
            <w:r w:rsidR="00727907" w:rsidRPr="00E35FEA">
              <w:rPr>
                <w:rStyle w:val="Hyperlink"/>
                <w:noProof/>
                <w:sz w:val="22"/>
                <w:szCs w:val="22"/>
              </w:rPr>
              <w:t>Note 21:  Contingent liabilities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_Toc430613774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47</w:t>
            </w:r>
            <w:r w:rsidR="00727907" w:rsidRPr="00E35FEA">
              <w:rPr>
                <w:noProof/>
                <w:webHidden/>
                <w:sz w:val="22"/>
                <w:szCs w:val="22"/>
              </w:rPr>
              <w:fldChar w:fldCharType="end"/>
            </w:r>
          </w:hyperlink>
        </w:p>
        <w:p w14:paraId="76E256AB"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75" w:history="1">
            <w:r w:rsidR="00727907" w:rsidRPr="00E35FEA">
              <w:rPr>
                <w:rStyle w:val="Hyperlink"/>
                <w:noProof/>
                <w:sz w:val="22"/>
                <w:szCs w:val="22"/>
              </w:rPr>
              <w:t>Note 22: Leases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_Toc430613775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48</w:t>
            </w:r>
            <w:r w:rsidR="00727907" w:rsidRPr="00E35FEA">
              <w:rPr>
                <w:noProof/>
                <w:webHidden/>
                <w:sz w:val="22"/>
                <w:szCs w:val="22"/>
              </w:rPr>
              <w:fldChar w:fldCharType="end"/>
            </w:r>
          </w:hyperlink>
        </w:p>
        <w:p w14:paraId="6423CDFD"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76" w:history="1">
            <w:r w:rsidR="00727907" w:rsidRPr="00E35FEA">
              <w:rPr>
                <w:rStyle w:val="Hyperlink"/>
                <w:noProof/>
                <w:sz w:val="22"/>
                <w:szCs w:val="22"/>
              </w:rPr>
              <w:t>Note 23: Note to the cash flow statement</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_Toc430613776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49</w:t>
            </w:r>
            <w:r w:rsidR="00727907" w:rsidRPr="00E35FEA">
              <w:rPr>
                <w:noProof/>
                <w:webHidden/>
                <w:sz w:val="22"/>
                <w:szCs w:val="22"/>
              </w:rPr>
              <w:fldChar w:fldCharType="end"/>
            </w:r>
          </w:hyperlink>
        </w:p>
        <w:p w14:paraId="4CA24417"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77" w:history="1">
            <w:r w:rsidR="00727907" w:rsidRPr="00E35FEA">
              <w:rPr>
                <w:rStyle w:val="Hyperlink"/>
                <w:noProof/>
                <w:sz w:val="22"/>
                <w:szCs w:val="22"/>
              </w:rPr>
              <w:t>Note 24:  Financial instruments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_Toc430613777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50</w:t>
            </w:r>
            <w:r w:rsidR="00727907" w:rsidRPr="00E35FEA">
              <w:rPr>
                <w:noProof/>
                <w:webHidden/>
                <w:sz w:val="22"/>
                <w:szCs w:val="22"/>
              </w:rPr>
              <w:fldChar w:fldCharType="end"/>
            </w:r>
          </w:hyperlink>
        </w:p>
        <w:p w14:paraId="6A451F38"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80" w:history="1">
            <w:r w:rsidR="00727907" w:rsidRPr="00E35FEA">
              <w:rPr>
                <w:rStyle w:val="Hyperlink"/>
                <w:noProof/>
                <w:sz w:val="22"/>
                <w:szCs w:val="22"/>
              </w:rPr>
              <w:t>Note 25: Key management personnel remuneration and related party disclosures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_Toc430613780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53</w:t>
            </w:r>
            <w:r w:rsidR="00727907" w:rsidRPr="00E35FEA">
              <w:rPr>
                <w:noProof/>
                <w:webHidden/>
                <w:sz w:val="22"/>
                <w:szCs w:val="22"/>
              </w:rPr>
              <w:fldChar w:fldCharType="end"/>
            </w:r>
          </w:hyperlink>
        </w:p>
        <w:p w14:paraId="35A4F15D"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85" w:history="1">
            <w:r w:rsidR="00727907" w:rsidRPr="00E35FEA">
              <w:rPr>
                <w:rStyle w:val="Hyperlink"/>
                <w:noProof/>
                <w:sz w:val="22"/>
                <w:szCs w:val="22"/>
              </w:rPr>
              <w:t>Note 26:  Subsidiaries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_Toc430613785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54</w:t>
            </w:r>
            <w:r w:rsidR="00727907" w:rsidRPr="00E35FEA">
              <w:rPr>
                <w:noProof/>
                <w:webHidden/>
                <w:sz w:val="22"/>
                <w:szCs w:val="22"/>
              </w:rPr>
              <w:fldChar w:fldCharType="end"/>
            </w:r>
          </w:hyperlink>
        </w:p>
        <w:p w14:paraId="13CC4505"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86" w:history="1">
            <w:r w:rsidR="00727907" w:rsidRPr="00E35FEA">
              <w:rPr>
                <w:rStyle w:val="Hyperlink"/>
                <w:noProof/>
                <w:sz w:val="22"/>
                <w:szCs w:val="22"/>
              </w:rPr>
              <w:t xml:space="preserve">Note 27: </w:t>
            </w:r>
            <w:r w:rsidR="00727907" w:rsidRPr="00E35FEA">
              <w:rPr>
                <w:rStyle w:val="Hyperlink"/>
                <w:noProof/>
                <w:sz w:val="22"/>
                <w:szCs w:val="22"/>
                <w:lang w:eastAsia="en-AU"/>
              </w:rPr>
              <w:t>Parent entity disclosures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_Toc430613786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54</w:t>
            </w:r>
            <w:r w:rsidR="00727907" w:rsidRPr="00E35FEA">
              <w:rPr>
                <w:noProof/>
                <w:webHidden/>
                <w:sz w:val="22"/>
                <w:szCs w:val="22"/>
              </w:rPr>
              <w:fldChar w:fldCharType="end"/>
            </w:r>
          </w:hyperlink>
        </w:p>
        <w:p w14:paraId="1E808831"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87" w:history="1">
            <w:r w:rsidR="00727907" w:rsidRPr="00E35FEA">
              <w:rPr>
                <w:rStyle w:val="Hyperlink"/>
                <w:noProof/>
                <w:sz w:val="22"/>
                <w:szCs w:val="22"/>
              </w:rPr>
              <w:t>Note 28: Remuneration of auditors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_Toc430613787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55</w:t>
            </w:r>
            <w:r w:rsidR="00727907" w:rsidRPr="00E35FEA">
              <w:rPr>
                <w:noProof/>
                <w:webHidden/>
                <w:sz w:val="22"/>
                <w:szCs w:val="22"/>
              </w:rPr>
              <w:fldChar w:fldCharType="end"/>
            </w:r>
          </w:hyperlink>
        </w:p>
        <w:p w14:paraId="43F57C31"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88" w:history="1">
            <w:r w:rsidR="00727907" w:rsidRPr="00E35FEA">
              <w:rPr>
                <w:rStyle w:val="Hyperlink"/>
                <w:noProof/>
                <w:sz w:val="22"/>
                <w:szCs w:val="22"/>
              </w:rPr>
              <w:t>Note 29: Acquisition of businesses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_Toc430613788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56</w:t>
            </w:r>
            <w:r w:rsidR="00727907" w:rsidRPr="00E35FEA">
              <w:rPr>
                <w:noProof/>
                <w:webHidden/>
                <w:sz w:val="22"/>
                <w:szCs w:val="22"/>
              </w:rPr>
              <w:fldChar w:fldCharType="end"/>
            </w:r>
          </w:hyperlink>
        </w:p>
        <w:p w14:paraId="3BAA4D13"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89" w:history="1">
            <w:r w:rsidR="00727907" w:rsidRPr="00E35FEA">
              <w:rPr>
                <w:rStyle w:val="Hyperlink"/>
                <w:noProof/>
                <w:sz w:val="22"/>
                <w:szCs w:val="22"/>
              </w:rPr>
              <w:t>Note 30:</w:t>
            </w:r>
            <w:r w:rsidR="00727907" w:rsidRPr="00E35FEA">
              <w:rPr>
                <w:rStyle w:val="Hyperlink"/>
                <w:noProof/>
                <w:sz w:val="22"/>
                <w:szCs w:val="22"/>
                <w:lang w:eastAsia="en-AU"/>
              </w:rPr>
              <w:t xml:space="preserve"> Information required by the Charitable Fundraising Act 1991 (NSW)</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_Toc430613789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56</w:t>
            </w:r>
            <w:r w:rsidR="00727907" w:rsidRPr="00E35FEA">
              <w:rPr>
                <w:noProof/>
                <w:webHidden/>
                <w:sz w:val="22"/>
                <w:szCs w:val="22"/>
              </w:rPr>
              <w:fldChar w:fldCharType="end"/>
            </w:r>
          </w:hyperlink>
        </w:p>
        <w:p w14:paraId="0F5BB39D"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90" w:history="1">
            <w:r w:rsidR="00727907" w:rsidRPr="00E35FEA">
              <w:rPr>
                <w:rStyle w:val="Hyperlink"/>
                <w:bCs/>
                <w:iCs/>
                <w:noProof/>
                <w:sz w:val="22"/>
                <w:szCs w:val="22"/>
              </w:rPr>
              <w:t>Note 31: Information required by the Charitable Collections Act (1946) [Section 15] WA</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_Toc430613790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57</w:t>
            </w:r>
            <w:r w:rsidR="00727907" w:rsidRPr="00E35FEA">
              <w:rPr>
                <w:noProof/>
                <w:webHidden/>
                <w:sz w:val="22"/>
                <w:szCs w:val="22"/>
              </w:rPr>
              <w:fldChar w:fldCharType="end"/>
            </w:r>
          </w:hyperlink>
        </w:p>
        <w:p w14:paraId="4C063C1E"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91" w:history="1">
            <w:r w:rsidR="00727907" w:rsidRPr="00E35FEA">
              <w:rPr>
                <w:rStyle w:val="Hyperlink"/>
                <w:noProof/>
                <w:sz w:val="22"/>
                <w:szCs w:val="22"/>
              </w:rPr>
              <w:t xml:space="preserve">Note 32: </w:t>
            </w:r>
            <w:r w:rsidR="00727907" w:rsidRPr="00E35FEA">
              <w:rPr>
                <w:rStyle w:val="Hyperlink"/>
                <w:noProof/>
                <w:sz w:val="22"/>
                <w:szCs w:val="22"/>
                <w:lang w:eastAsia="en-AU"/>
              </w:rPr>
              <w:t>Restructuring Costs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_Toc430613791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58</w:t>
            </w:r>
            <w:r w:rsidR="00727907" w:rsidRPr="00E35FEA">
              <w:rPr>
                <w:noProof/>
                <w:webHidden/>
                <w:sz w:val="22"/>
                <w:szCs w:val="22"/>
              </w:rPr>
              <w:fldChar w:fldCharType="end"/>
            </w:r>
          </w:hyperlink>
        </w:p>
        <w:p w14:paraId="263D1993"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92" w:history="1">
            <w:r w:rsidR="00727907" w:rsidRPr="00E35FEA">
              <w:rPr>
                <w:rStyle w:val="Hyperlink"/>
                <w:noProof/>
                <w:sz w:val="22"/>
                <w:szCs w:val="22"/>
              </w:rPr>
              <w:t>Note 33:  Subsequent events</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_Toc430613792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58</w:t>
            </w:r>
            <w:r w:rsidR="00727907" w:rsidRPr="00E35FEA">
              <w:rPr>
                <w:noProof/>
                <w:webHidden/>
                <w:sz w:val="22"/>
                <w:szCs w:val="22"/>
              </w:rPr>
              <w:fldChar w:fldCharType="end"/>
            </w:r>
          </w:hyperlink>
        </w:p>
        <w:p w14:paraId="110AEB9B"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93" w:history="1">
            <w:r w:rsidR="00727907" w:rsidRPr="00E35FEA">
              <w:rPr>
                <w:rStyle w:val="Hyperlink"/>
                <w:noProof/>
                <w:sz w:val="22"/>
                <w:szCs w:val="22"/>
              </w:rPr>
              <w:t>Directors’ declaration</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_Toc430613793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59</w:t>
            </w:r>
            <w:r w:rsidR="00727907" w:rsidRPr="00E35FEA">
              <w:rPr>
                <w:noProof/>
                <w:webHidden/>
                <w:sz w:val="22"/>
                <w:szCs w:val="22"/>
              </w:rPr>
              <w:fldChar w:fldCharType="end"/>
            </w:r>
          </w:hyperlink>
        </w:p>
        <w:p w14:paraId="6AFD4C8F"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94" w:history="1">
            <w:r w:rsidR="00727907" w:rsidRPr="00E35FEA">
              <w:rPr>
                <w:rStyle w:val="Hyperlink"/>
                <w:noProof/>
                <w:sz w:val="22"/>
                <w:szCs w:val="22"/>
              </w:rPr>
              <w:t>Executives’ declaration</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_Toc430613794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60</w:t>
            </w:r>
            <w:r w:rsidR="00727907" w:rsidRPr="00E35FEA">
              <w:rPr>
                <w:noProof/>
                <w:webHidden/>
                <w:sz w:val="22"/>
                <w:szCs w:val="22"/>
              </w:rPr>
              <w:fldChar w:fldCharType="end"/>
            </w:r>
          </w:hyperlink>
        </w:p>
        <w:p w14:paraId="126EED15"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95" w:history="1">
            <w:r w:rsidR="00727907" w:rsidRPr="00E35FEA">
              <w:rPr>
                <w:rStyle w:val="Hyperlink"/>
                <w:noProof/>
                <w:sz w:val="22"/>
                <w:szCs w:val="22"/>
              </w:rPr>
              <w:t>Auditor's Independence Declaration Vision Australia Limited</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_Toc430613795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61</w:t>
            </w:r>
            <w:r w:rsidR="00727907" w:rsidRPr="00E35FEA">
              <w:rPr>
                <w:noProof/>
                <w:webHidden/>
                <w:sz w:val="22"/>
                <w:szCs w:val="22"/>
              </w:rPr>
              <w:fldChar w:fldCharType="end"/>
            </w:r>
          </w:hyperlink>
        </w:p>
        <w:p w14:paraId="4489FE18" w14:textId="77777777" w:rsidR="00727907" w:rsidRPr="00E35FEA" w:rsidRDefault="00CC7C7A">
          <w:pPr>
            <w:pStyle w:val="TOC1"/>
            <w:tabs>
              <w:tab w:val="right" w:leader="dot" w:pos="9017"/>
            </w:tabs>
            <w:rPr>
              <w:rFonts w:asciiTheme="minorHAnsi" w:hAnsiTheme="minorHAnsi" w:cstheme="minorBidi"/>
              <w:noProof/>
              <w:sz w:val="22"/>
              <w:szCs w:val="22"/>
              <w:lang w:eastAsia="en-AU"/>
            </w:rPr>
          </w:pPr>
          <w:hyperlink w:anchor="_Toc430613796" w:history="1">
            <w:r w:rsidR="00727907" w:rsidRPr="00E35FEA">
              <w:rPr>
                <w:rStyle w:val="Hyperlink"/>
                <w:noProof/>
                <w:sz w:val="22"/>
                <w:szCs w:val="22"/>
              </w:rPr>
              <w:t>Independent Auditor’s Report to the Members of Vision Australia Limited</w:t>
            </w:r>
            <w:r w:rsidR="00727907" w:rsidRPr="00E35FEA">
              <w:rPr>
                <w:noProof/>
                <w:webHidden/>
                <w:sz w:val="22"/>
                <w:szCs w:val="22"/>
              </w:rPr>
              <w:tab/>
            </w:r>
            <w:r w:rsidR="00727907" w:rsidRPr="00E35FEA">
              <w:rPr>
                <w:noProof/>
                <w:webHidden/>
                <w:sz w:val="22"/>
                <w:szCs w:val="22"/>
              </w:rPr>
              <w:fldChar w:fldCharType="begin"/>
            </w:r>
            <w:r w:rsidR="00727907" w:rsidRPr="00E35FEA">
              <w:rPr>
                <w:noProof/>
                <w:webHidden/>
                <w:sz w:val="22"/>
                <w:szCs w:val="22"/>
              </w:rPr>
              <w:instrText xml:space="preserve"> PAGEREF _Toc430613796 \h </w:instrText>
            </w:r>
            <w:r w:rsidR="00727907" w:rsidRPr="00E35FEA">
              <w:rPr>
                <w:noProof/>
                <w:webHidden/>
                <w:sz w:val="22"/>
                <w:szCs w:val="22"/>
              </w:rPr>
            </w:r>
            <w:r w:rsidR="00727907" w:rsidRPr="00E35FEA">
              <w:rPr>
                <w:noProof/>
                <w:webHidden/>
                <w:sz w:val="22"/>
                <w:szCs w:val="22"/>
              </w:rPr>
              <w:fldChar w:fldCharType="separate"/>
            </w:r>
            <w:r w:rsidR="00727907" w:rsidRPr="00E35FEA">
              <w:rPr>
                <w:noProof/>
                <w:webHidden/>
                <w:sz w:val="22"/>
                <w:szCs w:val="22"/>
              </w:rPr>
              <w:t>62</w:t>
            </w:r>
            <w:r w:rsidR="00727907" w:rsidRPr="00E35FEA">
              <w:rPr>
                <w:noProof/>
                <w:webHidden/>
                <w:sz w:val="22"/>
                <w:szCs w:val="22"/>
              </w:rPr>
              <w:fldChar w:fldCharType="end"/>
            </w:r>
          </w:hyperlink>
        </w:p>
        <w:p w14:paraId="29F0903B" w14:textId="2437ACB9" w:rsidR="00BF287B" w:rsidRDefault="00BF287B">
          <w:r w:rsidRPr="00E35FEA">
            <w:rPr>
              <w:b/>
              <w:bCs/>
              <w:noProof/>
              <w:sz w:val="22"/>
              <w:szCs w:val="22"/>
            </w:rPr>
            <w:fldChar w:fldCharType="end"/>
          </w:r>
        </w:p>
      </w:sdtContent>
    </w:sdt>
    <w:p w14:paraId="5EA73032" w14:textId="77777777" w:rsidR="007D0F50" w:rsidRPr="00043057" w:rsidRDefault="007D0F50" w:rsidP="00043057"/>
    <w:p w14:paraId="7FB4A0D0" w14:textId="609BBDE1" w:rsidR="00960513" w:rsidRPr="00933310" w:rsidRDefault="00960513">
      <w:pPr>
        <w:rPr>
          <w:rFonts w:cs="Arial"/>
          <w:sz w:val="22"/>
          <w:szCs w:val="22"/>
        </w:rPr>
      </w:pPr>
      <w:r w:rsidRPr="00933310">
        <w:rPr>
          <w:rFonts w:cs="Arial"/>
          <w:sz w:val="22"/>
          <w:szCs w:val="22"/>
        </w:rPr>
        <w:t>© Vision Australia Limited 2015</w:t>
      </w:r>
    </w:p>
    <w:p w14:paraId="26673652" w14:textId="77777777" w:rsidR="00960513" w:rsidRDefault="00960513">
      <w:pPr>
        <w:rPr>
          <w:rFonts w:cs="Arial"/>
          <w:b/>
          <w:sz w:val="22"/>
          <w:szCs w:val="22"/>
        </w:rPr>
      </w:pPr>
    </w:p>
    <w:p w14:paraId="51D055A0" w14:textId="6749219B" w:rsidR="00960513" w:rsidRPr="00960513" w:rsidRDefault="00960513">
      <w:pPr>
        <w:rPr>
          <w:rFonts w:cs="Arial"/>
          <w:sz w:val="22"/>
          <w:szCs w:val="22"/>
        </w:rPr>
      </w:pPr>
      <w:r w:rsidRPr="00960513">
        <w:rPr>
          <w:rFonts w:cs="Arial"/>
          <w:sz w:val="22"/>
          <w:szCs w:val="22"/>
        </w:rPr>
        <w:t>ISSN: 2205-6394 (Print)</w:t>
      </w:r>
    </w:p>
    <w:p w14:paraId="4071C2C0" w14:textId="083561BD" w:rsidR="00960513" w:rsidRDefault="00960513">
      <w:pPr>
        <w:rPr>
          <w:rFonts w:cs="Arial"/>
          <w:sz w:val="22"/>
          <w:szCs w:val="22"/>
        </w:rPr>
      </w:pPr>
      <w:r w:rsidRPr="00960513">
        <w:rPr>
          <w:rFonts w:cs="Arial"/>
          <w:sz w:val="22"/>
          <w:szCs w:val="22"/>
        </w:rPr>
        <w:t>ISSN: 2205-6408 (On</w:t>
      </w:r>
      <w:r>
        <w:rPr>
          <w:rFonts w:cs="Arial"/>
          <w:sz w:val="22"/>
          <w:szCs w:val="22"/>
        </w:rPr>
        <w:t>l</w:t>
      </w:r>
      <w:r w:rsidRPr="00960513">
        <w:rPr>
          <w:rFonts w:cs="Arial"/>
          <w:sz w:val="22"/>
          <w:szCs w:val="22"/>
        </w:rPr>
        <w:t>ine)</w:t>
      </w:r>
    </w:p>
    <w:p w14:paraId="081058C2" w14:textId="77777777" w:rsidR="00933310" w:rsidRDefault="00933310" w:rsidP="00933310">
      <w:pPr>
        <w:spacing w:line="288" w:lineRule="auto"/>
        <w:ind w:left="720"/>
        <w:rPr>
          <w:rFonts w:cs="Arial"/>
          <w:b/>
          <w:color w:val="252525"/>
          <w:lang w:val="en" w:eastAsia="en-AU"/>
        </w:rPr>
      </w:pPr>
    </w:p>
    <w:p w14:paraId="7629C6A4" w14:textId="77777777" w:rsidR="00933310" w:rsidRPr="00431251" w:rsidRDefault="00933310" w:rsidP="00431251">
      <w:pPr>
        <w:pStyle w:val="Heading2"/>
        <w:rPr>
          <w:sz w:val="22"/>
          <w:szCs w:val="22"/>
          <w:lang w:val="en" w:eastAsia="en-AU"/>
        </w:rPr>
      </w:pPr>
      <w:bookmarkStart w:id="7" w:name="_Toc430612989"/>
      <w:bookmarkStart w:id="8" w:name="_Toc430613295"/>
      <w:bookmarkStart w:id="9" w:name="_Toc430613666"/>
      <w:r w:rsidRPr="00431251">
        <w:rPr>
          <w:sz w:val="22"/>
          <w:szCs w:val="22"/>
          <w:lang w:val="en" w:eastAsia="en-AU"/>
        </w:rPr>
        <w:t>Accessibility</w:t>
      </w:r>
      <w:bookmarkEnd w:id="7"/>
      <w:bookmarkEnd w:id="8"/>
      <w:bookmarkEnd w:id="9"/>
    </w:p>
    <w:p w14:paraId="5EA7303E" w14:textId="1F5D367F" w:rsidR="006621AC" w:rsidRPr="007540D9" w:rsidRDefault="00933310" w:rsidP="00983D32">
      <w:pPr>
        <w:spacing w:line="288" w:lineRule="auto"/>
        <w:rPr>
          <w:rFonts w:cs="Arial"/>
          <w:b/>
          <w:sz w:val="22"/>
          <w:szCs w:val="22"/>
          <w:highlight w:val="yellow"/>
        </w:rPr>
      </w:pPr>
      <w:r w:rsidRPr="003F60EC">
        <w:rPr>
          <w:rFonts w:cs="Arial"/>
          <w:color w:val="252525"/>
          <w:lang w:val="en" w:eastAsia="en-AU"/>
        </w:rPr>
        <w:t xml:space="preserve">Our </w:t>
      </w:r>
      <w:r>
        <w:rPr>
          <w:rFonts w:cs="Arial"/>
          <w:color w:val="252525"/>
          <w:lang w:val="en" w:eastAsia="en-AU"/>
        </w:rPr>
        <w:t xml:space="preserve">Financial </w:t>
      </w:r>
      <w:r w:rsidRPr="003F60EC">
        <w:rPr>
          <w:rFonts w:cs="Arial"/>
          <w:color w:val="252525"/>
          <w:lang w:val="en" w:eastAsia="en-AU"/>
        </w:rPr>
        <w:t xml:space="preserve">Report is available in standard print text, large print text, braille, audio and DAISY formats, and accessible digital formats. Contact us on </w:t>
      </w:r>
      <w:r w:rsidRPr="003F60EC">
        <w:rPr>
          <w:color w:val="252525"/>
          <w:lang w:val="en"/>
        </w:rPr>
        <w:t xml:space="preserve">1300 84 74 66 to order a copy in your preferred format or visit our website </w:t>
      </w:r>
      <w:hyperlink r:id="rId13" w:tooltip="Click to go to the Vision Australia Website" w:history="1">
        <w:r w:rsidR="005C1CCD" w:rsidRPr="005C1CCD">
          <w:rPr>
            <w:rStyle w:val="Hyperlink"/>
            <w:lang w:val="en"/>
          </w:rPr>
          <w:t>http://www.visionaustr</w:t>
        </w:r>
        <w:r w:rsidR="005C1CCD" w:rsidRPr="005C1CCD">
          <w:rPr>
            <w:rStyle w:val="Hyperlink"/>
            <w:lang w:val="en"/>
          </w:rPr>
          <w:t>a</w:t>
        </w:r>
        <w:r w:rsidR="005C1CCD" w:rsidRPr="005C1CCD">
          <w:rPr>
            <w:rStyle w:val="Hyperlink"/>
            <w:lang w:val="en"/>
          </w:rPr>
          <w:t>lia.org</w:t>
        </w:r>
      </w:hyperlink>
    </w:p>
    <w:p w14:paraId="2FD67956" w14:textId="77777777" w:rsidR="00043057" w:rsidRDefault="006621AC" w:rsidP="00EB1EC9">
      <w:pPr>
        <w:rPr>
          <w:rFonts w:cs="Arial"/>
          <w:sz w:val="22"/>
          <w:szCs w:val="22"/>
        </w:rPr>
      </w:pPr>
      <w:r w:rsidRPr="007540D9">
        <w:rPr>
          <w:rFonts w:cs="Arial"/>
          <w:sz w:val="22"/>
          <w:szCs w:val="22"/>
          <w:highlight w:val="yellow"/>
        </w:rPr>
        <w:br w:type="page"/>
      </w:r>
    </w:p>
    <w:p w14:paraId="5EA7303F" w14:textId="51F99CCD" w:rsidR="00EB1EC9" w:rsidRDefault="00EB1EC9" w:rsidP="000170EB">
      <w:pPr>
        <w:pStyle w:val="Heading1"/>
      </w:pPr>
      <w:bookmarkStart w:id="10" w:name="_Toc430613667"/>
      <w:r w:rsidRPr="00240E30">
        <w:lastRenderedPageBreak/>
        <w:t>Corporate Directory</w:t>
      </w:r>
      <w:bookmarkEnd w:id="10"/>
    </w:p>
    <w:p w14:paraId="34070BE8" w14:textId="77777777" w:rsidR="00431251" w:rsidRDefault="00431251" w:rsidP="00431251"/>
    <w:p w14:paraId="54162F69" w14:textId="2ADED110" w:rsidR="00431251" w:rsidRPr="00431251" w:rsidRDefault="00431251" w:rsidP="00431251">
      <w:pPr>
        <w:pStyle w:val="Heading2"/>
        <w:rPr>
          <w:sz w:val="22"/>
          <w:szCs w:val="22"/>
        </w:rPr>
      </w:pPr>
      <w:bookmarkStart w:id="11" w:name="_Toc430612991"/>
      <w:bookmarkStart w:id="12" w:name="_Toc430613297"/>
      <w:bookmarkStart w:id="13" w:name="_Toc430613668"/>
      <w:r w:rsidRPr="00431251">
        <w:rPr>
          <w:sz w:val="22"/>
          <w:szCs w:val="22"/>
        </w:rPr>
        <w:t>Directors</w:t>
      </w:r>
      <w:bookmarkEnd w:id="11"/>
      <w:bookmarkEnd w:id="12"/>
      <w:bookmarkEnd w:id="13"/>
    </w:p>
    <w:p w14:paraId="2AE7A7B0" w14:textId="77777777" w:rsidR="00431251" w:rsidRPr="00431251" w:rsidRDefault="00431251" w:rsidP="00431251">
      <w:pPr>
        <w:rPr>
          <w:rFonts w:cs="Arial"/>
          <w:sz w:val="22"/>
          <w:szCs w:val="22"/>
        </w:rPr>
      </w:pPr>
      <w:r w:rsidRPr="00431251">
        <w:rPr>
          <w:rFonts w:cs="Arial"/>
          <w:sz w:val="22"/>
          <w:szCs w:val="22"/>
        </w:rPr>
        <w:t>Kevin Murfitt (Chair)</w:t>
      </w:r>
    </w:p>
    <w:p w14:paraId="1418D006" w14:textId="77777777" w:rsidR="00431251" w:rsidRPr="00431251" w:rsidRDefault="00431251" w:rsidP="00431251">
      <w:pPr>
        <w:rPr>
          <w:rFonts w:cs="Arial"/>
          <w:sz w:val="22"/>
          <w:szCs w:val="22"/>
        </w:rPr>
      </w:pPr>
      <w:r w:rsidRPr="00431251">
        <w:rPr>
          <w:rFonts w:cs="Arial"/>
          <w:sz w:val="22"/>
          <w:szCs w:val="22"/>
        </w:rPr>
        <w:t>Ron McCallum</w:t>
      </w:r>
      <w:r w:rsidRPr="00431251" w:rsidDel="006863EF">
        <w:rPr>
          <w:rFonts w:cs="Arial"/>
          <w:sz w:val="22"/>
          <w:szCs w:val="22"/>
        </w:rPr>
        <w:t xml:space="preserve"> </w:t>
      </w:r>
    </w:p>
    <w:p w14:paraId="16F13BCA" w14:textId="77777777" w:rsidR="00431251" w:rsidRPr="00431251" w:rsidRDefault="00431251" w:rsidP="00431251">
      <w:pPr>
        <w:rPr>
          <w:rFonts w:cs="Arial"/>
          <w:sz w:val="22"/>
          <w:szCs w:val="22"/>
        </w:rPr>
      </w:pPr>
      <w:r w:rsidRPr="00431251">
        <w:rPr>
          <w:rFonts w:cs="Arial"/>
          <w:sz w:val="22"/>
          <w:szCs w:val="22"/>
        </w:rPr>
        <w:t>Nick Carter (Deputy Chair)</w:t>
      </w:r>
    </w:p>
    <w:p w14:paraId="3F8F8468" w14:textId="77777777" w:rsidR="00431251" w:rsidRPr="00431251" w:rsidRDefault="00431251" w:rsidP="00431251">
      <w:pPr>
        <w:rPr>
          <w:rFonts w:cs="Arial"/>
          <w:sz w:val="22"/>
          <w:szCs w:val="22"/>
        </w:rPr>
      </w:pPr>
      <w:r w:rsidRPr="00431251">
        <w:rPr>
          <w:rFonts w:cs="Arial"/>
          <w:sz w:val="22"/>
          <w:szCs w:val="22"/>
        </w:rPr>
        <w:t>Theresa Smith-Ruig (Deputy Chair)</w:t>
      </w:r>
    </w:p>
    <w:p w14:paraId="7FD76351" w14:textId="77777777" w:rsidR="00431251" w:rsidRPr="00431251" w:rsidRDefault="00431251" w:rsidP="00431251">
      <w:pPr>
        <w:rPr>
          <w:rFonts w:cs="Arial"/>
          <w:sz w:val="22"/>
          <w:szCs w:val="22"/>
        </w:rPr>
      </w:pPr>
      <w:r w:rsidRPr="00431251">
        <w:rPr>
          <w:rFonts w:cs="Arial"/>
          <w:sz w:val="22"/>
          <w:szCs w:val="22"/>
        </w:rPr>
        <w:t>Don Fraser</w:t>
      </w:r>
    </w:p>
    <w:p w14:paraId="050A1CF4" w14:textId="77777777" w:rsidR="00431251" w:rsidRPr="00431251" w:rsidRDefault="00431251" w:rsidP="00431251">
      <w:pPr>
        <w:rPr>
          <w:rFonts w:cs="Arial"/>
          <w:sz w:val="22"/>
          <w:szCs w:val="22"/>
        </w:rPr>
      </w:pPr>
      <w:r w:rsidRPr="00431251">
        <w:rPr>
          <w:rFonts w:cs="Arial"/>
          <w:sz w:val="22"/>
          <w:szCs w:val="22"/>
        </w:rPr>
        <w:t>Lyn Allison</w:t>
      </w:r>
    </w:p>
    <w:p w14:paraId="70058026" w14:textId="77777777" w:rsidR="00431251" w:rsidRPr="00431251" w:rsidRDefault="00431251" w:rsidP="00431251">
      <w:pPr>
        <w:rPr>
          <w:rFonts w:cs="Arial"/>
          <w:sz w:val="22"/>
          <w:szCs w:val="22"/>
        </w:rPr>
      </w:pPr>
      <w:r w:rsidRPr="00431251">
        <w:rPr>
          <w:rFonts w:cs="Arial"/>
          <w:sz w:val="22"/>
          <w:szCs w:val="22"/>
        </w:rPr>
        <w:t>Andrew Moffat</w:t>
      </w:r>
    </w:p>
    <w:p w14:paraId="1E1224E6" w14:textId="77777777" w:rsidR="00431251" w:rsidRPr="00431251" w:rsidRDefault="00431251" w:rsidP="00431251">
      <w:pPr>
        <w:rPr>
          <w:rFonts w:cs="Arial"/>
          <w:sz w:val="22"/>
          <w:szCs w:val="22"/>
        </w:rPr>
      </w:pPr>
      <w:r w:rsidRPr="00431251">
        <w:rPr>
          <w:rFonts w:cs="Arial"/>
          <w:sz w:val="22"/>
          <w:szCs w:val="22"/>
        </w:rPr>
        <w:t>Caroline Waldron</w:t>
      </w:r>
    </w:p>
    <w:p w14:paraId="391E3F08" w14:textId="77777777" w:rsidR="00431251" w:rsidRPr="00431251" w:rsidRDefault="00431251" w:rsidP="00431251">
      <w:pPr>
        <w:rPr>
          <w:rFonts w:cs="Arial"/>
          <w:sz w:val="22"/>
          <w:szCs w:val="22"/>
          <w:highlight w:val="yellow"/>
        </w:rPr>
      </w:pPr>
      <w:r w:rsidRPr="00431251">
        <w:rPr>
          <w:rFonts w:cs="Arial"/>
          <w:sz w:val="22"/>
          <w:szCs w:val="22"/>
        </w:rPr>
        <w:t>Heith Mackay-Cruise</w:t>
      </w:r>
    </w:p>
    <w:p w14:paraId="5864E794" w14:textId="77777777" w:rsidR="00431251" w:rsidRPr="00431251" w:rsidRDefault="00431251" w:rsidP="00431251">
      <w:pPr>
        <w:rPr>
          <w:rFonts w:cs="Arial"/>
          <w:sz w:val="22"/>
          <w:szCs w:val="22"/>
          <w:highlight w:val="yellow"/>
        </w:rPr>
      </w:pPr>
      <w:r w:rsidRPr="00431251">
        <w:rPr>
          <w:rFonts w:cs="Arial"/>
          <w:sz w:val="22"/>
          <w:szCs w:val="22"/>
        </w:rPr>
        <w:t>Sara Watts</w:t>
      </w:r>
    </w:p>
    <w:p w14:paraId="3214F228" w14:textId="77777777" w:rsidR="00431251" w:rsidRPr="00431251" w:rsidRDefault="00431251" w:rsidP="00431251">
      <w:pPr>
        <w:rPr>
          <w:rFonts w:cs="Arial"/>
          <w:sz w:val="22"/>
          <w:szCs w:val="22"/>
        </w:rPr>
      </w:pPr>
      <w:r w:rsidRPr="00431251">
        <w:rPr>
          <w:rFonts w:cs="Arial"/>
          <w:sz w:val="22"/>
          <w:szCs w:val="22"/>
        </w:rPr>
        <w:t>Bill Jolley</w:t>
      </w:r>
    </w:p>
    <w:p w14:paraId="689AB6C1" w14:textId="77777777" w:rsidR="00431251" w:rsidRPr="00431251" w:rsidRDefault="00431251" w:rsidP="00431251">
      <w:pPr>
        <w:rPr>
          <w:rFonts w:cs="Arial"/>
          <w:sz w:val="22"/>
          <w:szCs w:val="22"/>
          <w:highlight w:val="yellow"/>
        </w:rPr>
      </w:pPr>
      <w:r w:rsidRPr="00431251">
        <w:rPr>
          <w:rFonts w:cs="Arial"/>
          <w:sz w:val="22"/>
          <w:szCs w:val="22"/>
        </w:rPr>
        <w:t>Sharon Bentley (appointed 6/5/15)</w:t>
      </w:r>
    </w:p>
    <w:p w14:paraId="5EA73040" w14:textId="1261FC3B" w:rsidR="00EB1EC9" w:rsidRPr="00431251" w:rsidRDefault="00431251" w:rsidP="00431251">
      <w:pPr>
        <w:rPr>
          <w:rFonts w:cs="Arial"/>
          <w:sz w:val="22"/>
          <w:szCs w:val="22"/>
        </w:rPr>
      </w:pPr>
      <w:r w:rsidRPr="00431251">
        <w:rPr>
          <w:rFonts w:cs="Arial"/>
          <w:sz w:val="22"/>
          <w:szCs w:val="22"/>
        </w:rPr>
        <w:t xml:space="preserve">Jan </w:t>
      </w:r>
      <w:proofErr w:type="spellStart"/>
      <w:r w:rsidRPr="00431251">
        <w:rPr>
          <w:rFonts w:cs="Arial"/>
          <w:sz w:val="22"/>
          <w:szCs w:val="22"/>
        </w:rPr>
        <w:t>Lovie-Kitchin</w:t>
      </w:r>
      <w:proofErr w:type="spellEnd"/>
      <w:r w:rsidRPr="00431251">
        <w:rPr>
          <w:rFonts w:cs="Arial"/>
          <w:sz w:val="22"/>
          <w:szCs w:val="22"/>
        </w:rPr>
        <w:t xml:space="preserve"> (resigned 11/12/14)</w:t>
      </w:r>
    </w:p>
    <w:p w14:paraId="0D608C6A" w14:textId="77777777" w:rsidR="00431251" w:rsidRPr="00431251" w:rsidRDefault="00431251" w:rsidP="00431251">
      <w:pPr>
        <w:rPr>
          <w:rFonts w:cs="Arial"/>
          <w:sz w:val="22"/>
          <w:szCs w:val="22"/>
        </w:rPr>
      </w:pPr>
    </w:p>
    <w:p w14:paraId="707A8F98" w14:textId="24F5BDEC" w:rsidR="00431251" w:rsidRPr="00431251" w:rsidRDefault="00431251" w:rsidP="00431251">
      <w:pPr>
        <w:pStyle w:val="Heading2"/>
        <w:rPr>
          <w:sz w:val="22"/>
          <w:szCs w:val="22"/>
        </w:rPr>
      </w:pPr>
      <w:bookmarkStart w:id="14" w:name="_Toc430612992"/>
      <w:bookmarkStart w:id="15" w:name="_Toc430613298"/>
      <w:bookmarkStart w:id="16" w:name="_Toc430613669"/>
      <w:r w:rsidRPr="00431251">
        <w:rPr>
          <w:sz w:val="22"/>
          <w:szCs w:val="22"/>
        </w:rPr>
        <w:t>Chief Executive Officer</w:t>
      </w:r>
      <w:bookmarkEnd w:id="14"/>
      <w:bookmarkEnd w:id="15"/>
      <w:bookmarkEnd w:id="16"/>
    </w:p>
    <w:p w14:paraId="680546A7" w14:textId="77777777" w:rsidR="00431251" w:rsidRPr="00431251" w:rsidRDefault="00431251" w:rsidP="00431251">
      <w:pPr>
        <w:rPr>
          <w:rFonts w:cs="Arial"/>
          <w:sz w:val="22"/>
          <w:szCs w:val="22"/>
        </w:rPr>
      </w:pPr>
      <w:r w:rsidRPr="00431251">
        <w:rPr>
          <w:rFonts w:cs="Arial"/>
          <w:sz w:val="22"/>
          <w:szCs w:val="22"/>
        </w:rPr>
        <w:t xml:space="preserve">Ron Hooton </w:t>
      </w:r>
    </w:p>
    <w:p w14:paraId="08FE68AB" w14:textId="77777777" w:rsidR="00431251" w:rsidRPr="00431251" w:rsidRDefault="00431251" w:rsidP="00431251">
      <w:pPr>
        <w:rPr>
          <w:rFonts w:cs="Arial"/>
          <w:b/>
          <w:sz w:val="22"/>
          <w:szCs w:val="22"/>
        </w:rPr>
      </w:pPr>
    </w:p>
    <w:p w14:paraId="0283BC3D" w14:textId="47865F2F" w:rsidR="00431251" w:rsidRPr="00431251" w:rsidRDefault="00431251" w:rsidP="00431251">
      <w:pPr>
        <w:pStyle w:val="Heading2"/>
        <w:rPr>
          <w:sz w:val="22"/>
          <w:szCs w:val="22"/>
        </w:rPr>
      </w:pPr>
      <w:bookmarkStart w:id="17" w:name="_Toc430612993"/>
      <w:bookmarkStart w:id="18" w:name="_Toc430613299"/>
      <w:bookmarkStart w:id="19" w:name="_Toc430613670"/>
      <w:r w:rsidRPr="00431251">
        <w:rPr>
          <w:sz w:val="22"/>
          <w:szCs w:val="22"/>
        </w:rPr>
        <w:t>Company Secretary</w:t>
      </w:r>
      <w:bookmarkEnd w:id="17"/>
      <w:bookmarkEnd w:id="18"/>
      <w:bookmarkEnd w:id="19"/>
    </w:p>
    <w:p w14:paraId="79EC4341" w14:textId="77777777" w:rsidR="00431251" w:rsidRPr="00431251" w:rsidRDefault="00431251" w:rsidP="00431251">
      <w:pPr>
        <w:rPr>
          <w:rFonts w:cs="Arial"/>
          <w:sz w:val="22"/>
          <w:szCs w:val="22"/>
        </w:rPr>
      </w:pPr>
      <w:r w:rsidRPr="00431251">
        <w:rPr>
          <w:rFonts w:cs="Arial"/>
          <w:sz w:val="22"/>
          <w:szCs w:val="22"/>
        </w:rPr>
        <w:t>David Speyer</w:t>
      </w:r>
    </w:p>
    <w:p w14:paraId="23020C63" w14:textId="77DD1B1B" w:rsidR="00431251" w:rsidRPr="00431251" w:rsidRDefault="00431251" w:rsidP="00431251">
      <w:pPr>
        <w:rPr>
          <w:rFonts w:cs="Arial"/>
          <w:sz w:val="22"/>
          <w:szCs w:val="22"/>
        </w:rPr>
      </w:pPr>
      <w:r w:rsidRPr="00431251">
        <w:rPr>
          <w:rFonts w:cs="Arial"/>
          <w:sz w:val="22"/>
          <w:szCs w:val="22"/>
        </w:rPr>
        <w:t>Stephen Crook</w:t>
      </w:r>
    </w:p>
    <w:p w14:paraId="7586E255" w14:textId="77777777" w:rsidR="00431251" w:rsidRPr="00431251" w:rsidRDefault="00431251" w:rsidP="00431251">
      <w:pPr>
        <w:rPr>
          <w:rFonts w:cs="Arial"/>
          <w:b/>
          <w:sz w:val="22"/>
          <w:szCs w:val="22"/>
        </w:rPr>
      </w:pPr>
    </w:p>
    <w:p w14:paraId="0AFBB622" w14:textId="77777777" w:rsidR="00431251" w:rsidRPr="00431251" w:rsidRDefault="00431251" w:rsidP="00431251">
      <w:pPr>
        <w:pStyle w:val="Heading2"/>
        <w:rPr>
          <w:sz w:val="22"/>
          <w:szCs w:val="22"/>
        </w:rPr>
      </w:pPr>
      <w:bookmarkStart w:id="20" w:name="_Toc430612994"/>
      <w:bookmarkStart w:id="21" w:name="_Toc430613300"/>
      <w:bookmarkStart w:id="22" w:name="_Toc430613671"/>
      <w:r w:rsidRPr="00431251">
        <w:rPr>
          <w:sz w:val="22"/>
          <w:szCs w:val="22"/>
        </w:rPr>
        <w:t>Principal and Registered Office</w:t>
      </w:r>
      <w:bookmarkEnd w:id="20"/>
      <w:bookmarkEnd w:id="21"/>
      <w:bookmarkEnd w:id="22"/>
    </w:p>
    <w:p w14:paraId="6A7E8338" w14:textId="77777777" w:rsidR="00431251" w:rsidRPr="00431251" w:rsidRDefault="00431251" w:rsidP="00431251">
      <w:pPr>
        <w:rPr>
          <w:rFonts w:cs="Arial"/>
          <w:sz w:val="22"/>
          <w:szCs w:val="22"/>
        </w:rPr>
      </w:pPr>
      <w:r w:rsidRPr="00431251">
        <w:rPr>
          <w:rFonts w:cs="Arial"/>
          <w:sz w:val="22"/>
          <w:szCs w:val="22"/>
        </w:rPr>
        <w:t>454 Glenferrie Road</w:t>
      </w:r>
    </w:p>
    <w:p w14:paraId="6CF06291" w14:textId="6AE9481F" w:rsidR="00431251" w:rsidRPr="00431251" w:rsidRDefault="00431251" w:rsidP="00431251">
      <w:pPr>
        <w:rPr>
          <w:rFonts w:cs="Arial"/>
          <w:sz w:val="22"/>
          <w:szCs w:val="22"/>
        </w:rPr>
      </w:pPr>
      <w:r w:rsidRPr="00431251">
        <w:rPr>
          <w:rFonts w:cs="Arial"/>
          <w:sz w:val="22"/>
          <w:szCs w:val="22"/>
        </w:rPr>
        <w:t>Kooyong Vic 3144</w:t>
      </w:r>
    </w:p>
    <w:p w14:paraId="1280AE5F" w14:textId="77777777" w:rsidR="00431251" w:rsidRPr="00431251" w:rsidRDefault="00431251" w:rsidP="00431251">
      <w:pPr>
        <w:rPr>
          <w:rFonts w:cs="Arial"/>
          <w:sz w:val="22"/>
          <w:szCs w:val="22"/>
        </w:rPr>
      </w:pPr>
    </w:p>
    <w:p w14:paraId="7C0DD67C" w14:textId="77777777" w:rsidR="00431251" w:rsidRPr="00431251" w:rsidRDefault="00431251" w:rsidP="00431251">
      <w:pPr>
        <w:pStyle w:val="Heading2"/>
        <w:rPr>
          <w:sz w:val="22"/>
          <w:szCs w:val="22"/>
        </w:rPr>
      </w:pPr>
      <w:bookmarkStart w:id="23" w:name="_Toc430612995"/>
      <w:bookmarkStart w:id="24" w:name="_Toc430613301"/>
      <w:bookmarkStart w:id="25" w:name="_Toc430613672"/>
      <w:r w:rsidRPr="00431251">
        <w:rPr>
          <w:sz w:val="22"/>
          <w:szCs w:val="22"/>
        </w:rPr>
        <w:t>Incorporation</w:t>
      </w:r>
      <w:bookmarkEnd w:id="23"/>
      <w:bookmarkEnd w:id="24"/>
      <w:bookmarkEnd w:id="25"/>
    </w:p>
    <w:p w14:paraId="39FF6E15" w14:textId="39EA3C19" w:rsidR="00431251" w:rsidRPr="00431251" w:rsidRDefault="00431251" w:rsidP="00431251">
      <w:pPr>
        <w:rPr>
          <w:rFonts w:cs="Arial"/>
          <w:sz w:val="22"/>
          <w:szCs w:val="22"/>
        </w:rPr>
      </w:pPr>
      <w:proofErr w:type="gramStart"/>
      <w:r w:rsidRPr="00431251">
        <w:rPr>
          <w:rFonts w:cs="Arial"/>
          <w:sz w:val="22"/>
          <w:szCs w:val="22"/>
        </w:rPr>
        <w:t>Vision Australia Limited ABN 67 108 391 831, incorporated on 11 May 2004 as</w:t>
      </w:r>
      <w:r w:rsidRPr="00431251" w:rsidDel="00AB4CC1">
        <w:rPr>
          <w:rFonts w:cs="Arial"/>
          <w:b/>
          <w:sz w:val="22"/>
          <w:szCs w:val="22"/>
        </w:rPr>
        <w:t xml:space="preserve"> </w:t>
      </w:r>
      <w:r w:rsidRPr="00431251">
        <w:rPr>
          <w:rFonts w:cs="Arial"/>
          <w:sz w:val="22"/>
          <w:szCs w:val="22"/>
        </w:rPr>
        <w:t>a public company limited by guarantee.</w:t>
      </w:r>
      <w:proofErr w:type="gramEnd"/>
    </w:p>
    <w:p w14:paraId="678D39C4" w14:textId="77777777" w:rsidR="00431251" w:rsidRPr="00431251" w:rsidRDefault="00431251" w:rsidP="00431251">
      <w:pPr>
        <w:rPr>
          <w:rFonts w:cs="Arial"/>
          <w:b/>
          <w:sz w:val="22"/>
          <w:szCs w:val="22"/>
        </w:rPr>
      </w:pPr>
    </w:p>
    <w:p w14:paraId="37FD10EE" w14:textId="77777777" w:rsidR="00431251" w:rsidRPr="00431251" w:rsidRDefault="00431251" w:rsidP="00431251">
      <w:pPr>
        <w:pStyle w:val="Heading2"/>
        <w:rPr>
          <w:sz w:val="22"/>
          <w:szCs w:val="22"/>
        </w:rPr>
      </w:pPr>
      <w:bookmarkStart w:id="26" w:name="_Toc430612996"/>
      <w:bookmarkStart w:id="27" w:name="_Toc430613302"/>
      <w:bookmarkStart w:id="28" w:name="_Toc430613673"/>
      <w:r w:rsidRPr="00431251">
        <w:rPr>
          <w:sz w:val="22"/>
          <w:szCs w:val="22"/>
        </w:rPr>
        <w:t>Charitable Status, tax concessions</w:t>
      </w:r>
      <w:r w:rsidRPr="00431251" w:rsidDel="00AB4CC1">
        <w:rPr>
          <w:sz w:val="22"/>
          <w:szCs w:val="22"/>
        </w:rPr>
        <w:t xml:space="preserve"> </w:t>
      </w:r>
      <w:r w:rsidRPr="00431251">
        <w:rPr>
          <w:sz w:val="22"/>
          <w:szCs w:val="22"/>
        </w:rPr>
        <w:t>and fundraising</w:t>
      </w:r>
      <w:bookmarkEnd w:id="26"/>
      <w:bookmarkEnd w:id="27"/>
      <w:bookmarkEnd w:id="28"/>
    </w:p>
    <w:p w14:paraId="172EDE2B" w14:textId="027F452B" w:rsidR="00431251" w:rsidRPr="00431251" w:rsidRDefault="00431251" w:rsidP="00431251">
      <w:pPr>
        <w:rPr>
          <w:rFonts w:cs="Arial"/>
          <w:sz w:val="22"/>
          <w:szCs w:val="22"/>
        </w:rPr>
      </w:pPr>
      <w:r w:rsidRPr="00431251">
        <w:rPr>
          <w:rFonts w:cs="Arial"/>
          <w:sz w:val="22"/>
          <w:szCs w:val="22"/>
        </w:rPr>
        <w:t>Vision Australia Limited is a Public Benevolent Institution (PBI).  It is endorsed as an Income Tax Exempt Charity and receives certain other tax concessions and exemptions consistent with its status of a PBI which relates to Goods and Services Tax and Fringe Benefits Tax.  Vision Australia Limited has been endorsed by the Australian Tax Office as a Deductible Gift Recipient (DGR).</w:t>
      </w:r>
    </w:p>
    <w:p w14:paraId="6DAE3592" w14:textId="77777777" w:rsidR="00431251" w:rsidRPr="00431251" w:rsidRDefault="00431251" w:rsidP="00431251">
      <w:pPr>
        <w:rPr>
          <w:rFonts w:cs="Arial"/>
          <w:b/>
          <w:sz w:val="22"/>
          <w:szCs w:val="22"/>
        </w:rPr>
      </w:pPr>
    </w:p>
    <w:p w14:paraId="27C4F779" w14:textId="4A56A38A" w:rsidR="00431251" w:rsidRPr="00431251" w:rsidRDefault="00431251" w:rsidP="00431251">
      <w:pPr>
        <w:pStyle w:val="Heading2"/>
        <w:rPr>
          <w:sz w:val="22"/>
          <w:szCs w:val="22"/>
        </w:rPr>
      </w:pPr>
      <w:bookmarkStart w:id="29" w:name="_Toc430612997"/>
      <w:bookmarkStart w:id="30" w:name="_Toc430613303"/>
      <w:bookmarkStart w:id="31" w:name="_Toc430613674"/>
      <w:r w:rsidRPr="00431251">
        <w:rPr>
          <w:sz w:val="22"/>
          <w:szCs w:val="22"/>
        </w:rPr>
        <w:t>External Auditors</w:t>
      </w:r>
      <w:bookmarkEnd w:id="29"/>
      <w:bookmarkEnd w:id="30"/>
      <w:bookmarkEnd w:id="31"/>
    </w:p>
    <w:p w14:paraId="68C8508D" w14:textId="77777777" w:rsidR="00431251" w:rsidRPr="00431251" w:rsidRDefault="00431251" w:rsidP="00431251">
      <w:pPr>
        <w:rPr>
          <w:rFonts w:cs="Arial"/>
          <w:sz w:val="22"/>
          <w:szCs w:val="22"/>
        </w:rPr>
      </w:pPr>
      <w:r w:rsidRPr="00431251">
        <w:rPr>
          <w:rFonts w:cs="Arial"/>
          <w:sz w:val="22"/>
          <w:szCs w:val="22"/>
        </w:rPr>
        <w:t xml:space="preserve">Deloitte </w:t>
      </w:r>
      <w:proofErr w:type="spellStart"/>
      <w:r w:rsidRPr="00431251">
        <w:rPr>
          <w:rFonts w:cs="Arial"/>
          <w:sz w:val="22"/>
          <w:szCs w:val="22"/>
        </w:rPr>
        <w:t>Touche</w:t>
      </w:r>
      <w:proofErr w:type="spellEnd"/>
      <w:r w:rsidRPr="00431251">
        <w:rPr>
          <w:rFonts w:cs="Arial"/>
          <w:sz w:val="22"/>
          <w:szCs w:val="22"/>
        </w:rPr>
        <w:t xml:space="preserve"> Tohmatsu</w:t>
      </w:r>
    </w:p>
    <w:p w14:paraId="67C71134" w14:textId="77777777" w:rsidR="00431251" w:rsidRPr="00431251" w:rsidRDefault="00431251" w:rsidP="00431251">
      <w:pPr>
        <w:rPr>
          <w:rFonts w:cs="Arial"/>
          <w:sz w:val="22"/>
          <w:szCs w:val="22"/>
        </w:rPr>
      </w:pPr>
      <w:r w:rsidRPr="00431251">
        <w:rPr>
          <w:rFonts w:cs="Arial"/>
          <w:sz w:val="22"/>
          <w:szCs w:val="22"/>
        </w:rPr>
        <w:t>550 Bourke Street</w:t>
      </w:r>
    </w:p>
    <w:p w14:paraId="4E247C7B" w14:textId="5AEBEBE1" w:rsidR="00431251" w:rsidRPr="00431251" w:rsidRDefault="00431251" w:rsidP="00431251">
      <w:pPr>
        <w:rPr>
          <w:rFonts w:cs="Arial"/>
          <w:b/>
          <w:sz w:val="22"/>
          <w:szCs w:val="22"/>
        </w:rPr>
      </w:pPr>
      <w:r w:rsidRPr="00431251">
        <w:rPr>
          <w:rFonts w:cs="Arial"/>
          <w:sz w:val="22"/>
          <w:szCs w:val="22"/>
        </w:rPr>
        <w:t>Melbourne Vic 3000</w:t>
      </w:r>
    </w:p>
    <w:p w14:paraId="5E5F173F" w14:textId="77777777" w:rsidR="00431251" w:rsidRPr="00431251" w:rsidRDefault="00431251" w:rsidP="00431251">
      <w:pPr>
        <w:rPr>
          <w:rFonts w:cs="Arial"/>
          <w:b/>
          <w:sz w:val="22"/>
          <w:szCs w:val="22"/>
        </w:rPr>
      </w:pPr>
    </w:p>
    <w:p w14:paraId="6F8F0FD3" w14:textId="14197966" w:rsidR="00431251" w:rsidRPr="00431251" w:rsidRDefault="00431251" w:rsidP="00431251">
      <w:pPr>
        <w:pStyle w:val="Heading2"/>
        <w:rPr>
          <w:sz w:val="22"/>
          <w:szCs w:val="22"/>
        </w:rPr>
      </w:pPr>
      <w:bookmarkStart w:id="32" w:name="_Toc430612998"/>
      <w:bookmarkStart w:id="33" w:name="_Toc430613304"/>
      <w:bookmarkStart w:id="34" w:name="_Toc430613675"/>
      <w:r w:rsidRPr="00431251">
        <w:rPr>
          <w:sz w:val="22"/>
          <w:szCs w:val="22"/>
        </w:rPr>
        <w:t>Internal Auditors</w:t>
      </w:r>
      <w:bookmarkEnd w:id="32"/>
      <w:bookmarkEnd w:id="33"/>
      <w:bookmarkEnd w:id="34"/>
    </w:p>
    <w:p w14:paraId="6CBC66C5" w14:textId="77777777" w:rsidR="00431251" w:rsidRPr="00431251" w:rsidRDefault="00431251" w:rsidP="00431251">
      <w:pPr>
        <w:rPr>
          <w:rFonts w:cs="Arial"/>
          <w:sz w:val="22"/>
          <w:szCs w:val="22"/>
        </w:rPr>
      </w:pPr>
      <w:r w:rsidRPr="00431251">
        <w:rPr>
          <w:rFonts w:cs="Arial"/>
          <w:sz w:val="22"/>
          <w:szCs w:val="22"/>
        </w:rPr>
        <w:t>Ernst and Young</w:t>
      </w:r>
    </w:p>
    <w:p w14:paraId="12BF9293" w14:textId="77777777" w:rsidR="00431251" w:rsidRPr="00431251" w:rsidRDefault="00431251" w:rsidP="00431251">
      <w:pPr>
        <w:rPr>
          <w:rFonts w:cs="Arial"/>
          <w:color w:val="222222"/>
          <w:sz w:val="22"/>
          <w:szCs w:val="22"/>
          <w:lang w:val="en"/>
        </w:rPr>
      </w:pPr>
      <w:r w:rsidRPr="00431251">
        <w:rPr>
          <w:rFonts w:cs="Arial"/>
          <w:color w:val="222222"/>
          <w:sz w:val="22"/>
          <w:szCs w:val="22"/>
          <w:lang w:val="en"/>
        </w:rPr>
        <w:t>8 Exhibition Street</w:t>
      </w:r>
    </w:p>
    <w:p w14:paraId="39DFD4E9" w14:textId="5A66C062" w:rsidR="00431251" w:rsidRPr="00431251" w:rsidRDefault="00431251" w:rsidP="00431251">
      <w:pPr>
        <w:rPr>
          <w:rFonts w:cs="Arial"/>
          <w:color w:val="222222"/>
          <w:sz w:val="22"/>
          <w:szCs w:val="22"/>
          <w:lang w:val="en"/>
        </w:rPr>
      </w:pPr>
      <w:r w:rsidRPr="00431251">
        <w:rPr>
          <w:rFonts w:cs="Arial"/>
          <w:color w:val="222222"/>
          <w:sz w:val="22"/>
          <w:szCs w:val="22"/>
          <w:lang w:val="en"/>
        </w:rPr>
        <w:t>Melbourne Vic 3000</w:t>
      </w:r>
    </w:p>
    <w:p w14:paraId="6C3D0866" w14:textId="77777777" w:rsidR="00431251" w:rsidRPr="00431251" w:rsidRDefault="00431251" w:rsidP="00431251">
      <w:pPr>
        <w:rPr>
          <w:rFonts w:cs="Arial"/>
          <w:color w:val="222222"/>
          <w:sz w:val="22"/>
          <w:szCs w:val="22"/>
          <w:lang w:val="en"/>
        </w:rPr>
      </w:pPr>
    </w:p>
    <w:p w14:paraId="204BEDE8" w14:textId="1BF2B27A" w:rsidR="00431251" w:rsidRPr="00431251" w:rsidRDefault="00431251" w:rsidP="00431251">
      <w:pPr>
        <w:pStyle w:val="Heading2"/>
        <w:rPr>
          <w:sz w:val="22"/>
          <w:szCs w:val="22"/>
          <w:lang w:val="en"/>
        </w:rPr>
      </w:pPr>
      <w:bookmarkStart w:id="35" w:name="_Toc430612999"/>
      <w:bookmarkStart w:id="36" w:name="_Toc430613305"/>
      <w:bookmarkStart w:id="37" w:name="_Toc430613676"/>
      <w:r w:rsidRPr="00431251">
        <w:rPr>
          <w:sz w:val="22"/>
          <w:szCs w:val="22"/>
          <w:lang w:val="en"/>
        </w:rPr>
        <w:t>Bankers</w:t>
      </w:r>
      <w:bookmarkEnd w:id="35"/>
      <w:bookmarkEnd w:id="36"/>
      <w:bookmarkEnd w:id="37"/>
    </w:p>
    <w:p w14:paraId="262C8F02" w14:textId="77777777" w:rsidR="00431251" w:rsidRPr="00431251" w:rsidRDefault="00431251" w:rsidP="00431251">
      <w:pPr>
        <w:rPr>
          <w:rFonts w:cs="Arial"/>
          <w:sz w:val="22"/>
          <w:szCs w:val="22"/>
        </w:rPr>
      </w:pPr>
      <w:r w:rsidRPr="00431251">
        <w:rPr>
          <w:rFonts w:cs="Arial"/>
          <w:sz w:val="22"/>
          <w:szCs w:val="22"/>
        </w:rPr>
        <w:t>National Australia Bank</w:t>
      </w:r>
      <w:r w:rsidRPr="00431251" w:rsidDel="00CB0BAD">
        <w:rPr>
          <w:rFonts w:cs="Arial"/>
          <w:sz w:val="22"/>
          <w:szCs w:val="22"/>
        </w:rPr>
        <w:t xml:space="preserve"> </w:t>
      </w:r>
    </w:p>
    <w:p w14:paraId="16771346" w14:textId="77777777" w:rsidR="00431251" w:rsidRPr="00431251" w:rsidRDefault="00431251" w:rsidP="00431251">
      <w:pPr>
        <w:rPr>
          <w:rFonts w:cs="Arial"/>
          <w:sz w:val="22"/>
          <w:szCs w:val="22"/>
        </w:rPr>
      </w:pPr>
      <w:r w:rsidRPr="00431251">
        <w:rPr>
          <w:rFonts w:cs="Arial"/>
          <w:sz w:val="22"/>
          <w:szCs w:val="22"/>
        </w:rPr>
        <w:t>500 Bourke Street</w:t>
      </w:r>
      <w:r w:rsidRPr="00431251" w:rsidDel="00CB0BAD">
        <w:rPr>
          <w:rFonts w:cs="Arial"/>
          <w:sz w:val="22"/>
          <w:szCs w:val="22"/>
        </w:rPr>
        <w:t xml:space="preserve"> </w:t>
      </w:r>
    </w:p>
    <w:p w14:paraId="7C78178E" w14:textId="712B2C35" w:rsidR="00431251" w:rsidRPr="00431251" w:rsidRDefault="00431251" w:rsidP="00431251">
      <w:pPr>
        <w:rPr>
          <w:rFonts w:cs="Arial"/>
          <w:sz w:val="22"/>
          <w:szCs w:val="22"/>
        </w:rPr>
      </w:pPr>
      <w:r w:rsidRPr="00431251">
        <w:rPr>
          <w:rFonts w:cs="Arial"/>
          <w:sz w:val="22"/>
          <w:szCs w:val="22"/>
        </w:rPr>
        <w:t xml:space="preserve">Melbourne </w:t>
      </w:r>
      <w:proofErr w:type="gramStart"/>
      <w:r w:rsidRPr="00431251">
        <w:rPr>
          <w:rFonts w:cs="Arial"/>
          <w:sz w:val="22"/>
          <w:szCs w:val="22"/>
        </w:rPr>
        <w:t>Vic  3000</w:t>
      </w:r>
      <w:proofErr w:type="gramEnd"/>
    </w:p>
    <w:p w14:paraId="5DB5A156" w14:textId="77777777" w:rsidR="00431251" w:rsidRPr="00431251" w:rsidRDefault="00431251" w:rsidP="00431251">
      <w:pPr>
        <w:rPr>
          <w:rFonts w:cs="Arial"/>
          <w:sz w:val="22"/>
          <w:szCs w:val="22"/>
        </w:rPr>
      </w:pPr>
    </w:p>
    <w:p w14:paraId="1BFB452C" w14:textId="1199762A" w:rsidR="00431251" w:rsidRPr="00431251" w:rsidRDefault="00431251" w:rsidP="00431251">
      <w:pPr>
        <w:pStyle w:val="Heading2"/>
        <w:rPr>
          <w:sz w:val="22"/>
          <w:szCs w:val="22"/>
        </w:rPr>
      </w:pPr>
      <w:bookmarkStart w:id="38" w:name="_Toc430613000"/>
      <w:bookmarkStart w:id="39" w:name="_Toc430613306"/>
      <w:bookmarkStart w:id="40" w:name="_Toc430613677"/>
      <w:r w:rsidRPr="00431251">
        <w:rPr>
          <w:sz w:val="22"/>
          <w:szCs w:val="22"/>
        </w:rPr>
        <w:t>Investment Advisors</w:t>
      </w:r>
      <w:bookmarkEnd w:id="38"/>
      <w:bookmarkEnd w:id="39"/>
      <w:bookmarkEnd w:id="40"/>
    </w:p>
    <w:p w14:paraId="236490B3" w14:textId="77777777" w:rsidR="00431251" w:rsidRPr="00431251" w:rsidRDefault="00431251" w:rsidP="00431251">
      <w:pPr>
        <w:rPr>
          <w:rFonts w:cs="Arial"/>
          <w:sz w:val="22"/>
          <w:szCs w:val="22"/>
        </w:rPr>
      </w:pPr>
      <w:r w:rsidRPr="00431251">
        <w:rPr>
          <w:rFonts w:cs="Arial"/>
          <w:sz w:val="22"/>
          <w:szCs w:val="22"/>
        </w:rPr>
        <w:t>Strategic Capital Management Ltd</w:t>
      </w:r>
    </w:p>
    <w:p w14:paraId="640FE2B7" w14:textId="77777777" w:rsidR="00431251" w:rsidRPr="00431251" w:rsidRDefault="00431251" w:rsidP="00431251">
      <w:pPr>
        <w:rPr>
          <w:rFonts w:cs="Arial"/>
          <w:sz w:val="22"/>
          <w:szCs w:val="22"/>
        </w:rPr>
      </w:pPr>
      <w:r w:rsidRPr="00431251">
        <w:rPr>
          <w:rFonts w:cs="Arial"/>
          <w:sz w:val="22"/>
          <w:szCs w:val="22"/>
        </w:rPr>
        <w:lastRenderedPageBreak/>
        <w:t>Level 11, 1 Chifley Square</w:t>
      </w:r>
    </w:p>
    <w:p w14:paraId="48D80C81" w14:textId="50796F74" w:rsidR="00431251" w:rsidRPr="00431251" w:rsidRDefault="00431251" w:rsidP="00431251">
      <w:pPr>
        <w:rPr>
          <w:rFonts w:cs="Arial"/>
          <w:sz w:val="22"/>
          <w:szCs w:val="22"/>
        </w:rPr>
      </w:pPr>
      <w:r w:rsidRPr="00431251">
        <w:rPr>
          <w:rFonts w:cs="Arial"/>
          <w:sz w:val="22"/>
          <w:szCs w:val="22"/>
        </w:rPr>
        <w:t>Sydney, NSW 2000</w:t>
      </w:r>
    </w:p>
    <w:p w14:paraId="6DFCD4AC" w14:textId="77777777" w:rsidR="00431251" w:rsidRPr="00431251" w:rsidRDefault="00431251" w:rsidP="00431251">
      <w:pPr>
        <w:rPr>
          <w:rFonts w:cs="Arial"/>
          <w:sz w:val="22"/>
          <w:szCs w:val="22"/>
        </w:rPr>
      </w:pPr>
    </w:p>
    <w:p w14:paraId="674ECEA3" w14:textId="77777777" w:rsidR="00431251" w:rsidRPr="00431251" w:rsidRDefault="00431251" w:rsidP="00431251">
      <w:pPr>
        <w:pStyle w:val="Heading2"/>
        <w:rPr>
          <w:sz w:val="22"/>
          <w:szCs w:val="22"/>
        </w:rPr>
      </w:pPr>
      <w:bookmarkStart w:id="41" w:name="_Toc430613001"/>
      <w:bookmarkStart w:id="42" w:name="_Toc430613307"/>
      <w:bookmarkStart w:id="43" w:name="_Toc430613678"/>
      <w:r w:rsidRPr="00431251">
        <w:rPr>
          <w:sz w:val="22"/>
          <w:szCs w:val="22"/>
        </w:rPr>
        <w:t>Fundraising</w:t>
      </w:r>
      <w:bookmarkEnd w:id="41"/>
      <w:bookmarkEnd w:id="42"/>
      <w:bookmarkEnd w:id="43"/>
      <w:r w:rsidRPr="00431251" w:rsidDel="00EB1A0C">
        <w:rPr>
          <w:sz w:val="22"/>
          <w:szCs w:val="22"/>
        </w:rPr>
        <w:t xml:space="preserve"> </w:t>
      </w:r>
    </w:p>
    <w:p w14:paraId="1777BB08" w14:textId="7FA036A8" w:rsidR="00431251" w:rsidRPr="00431251" w:rsidRDefault="00431251" w:rsidP="00431251">
      <w:pPr>
        <w:rPr>
          <w:rFonts w:cs="Arial"/>
          <w:sz w:val="22"/>
          <w:szCs w:val="22"/>
        </w:rPr>
      </w:pPr>
      <w:r w:rsidRPr="00431251">
        <w:rPr>
          <w:rFonts w:cs="Arial"/>
          <w:sz w:val="22"/>
          <w:szCs w:val="22"/>
        </w:rPr>
        <w:t>Vision Australia Limited is registered under</w:t>
      </w:r>
      <w:r w:rsidRPr="00431251" w:rsidDel="00EB1A0C">
        <w:rPr>
          <w:rFonts w:cs="Arial"/>
          <w:sz w:val="22"/>
          <w:szCs w:val="22"/>
        </w:rPr>
        <w:t xml:space="preserve"> </w:t>
      </w:r>
      <w:r w:rsidRPr="00431251">
        <w:rPr>
          <w:rFonts w:cs="Arial"/>
          <w:sz w:val="22"/>
          <w:szCs w:val="22"/>
        </w:rPr>
        <w:t>applicable fundraising legislation in each</w:t>
      </w:r>
      <w:r w:rsidRPr="00431251" w:rsidDel="00EB1A0C">
        <w:rPr>
          <w:rFonts w:cs="Arial"/>
          <w:sz w:val="22"/>
          <w:szCs w:val="22"/>
        </w:rPr>
        <w:t xml:space="preserve"> </w:t>
      </w:r>
      <w:r w:rsidRPr="00431251">
        <w:rPr>
          <w:rFonts w:cs="Arial"/>
          <w:sz w:val="22"/>
          <w:szCs w:val="22"/>
        </w:rPr>
        <w:t>State where it raises funds as follows: New South Wales 18187 / Queensland CH1578 / Victoria 8033 / South Australia CCP1702 / Western Australia 21190.</w:t>
      </w:r>
    </w:p>
    <w:p w14:paraId="59BED2BD" w14:textId="77777777" w:rsidR="00431251" w:rsidRPr="00431251" w:rsidRDefault="00431251" w:rsidP="00431251">
      <w:pPr>
        <w:rPr>
          <w:rFonts w:cs="Arial"/>
          <w:b/>
          <w:sz w:val="22"/>
          <w:szCs w:val="22"/>
        </w:rPr>
      </w:pPr>
    </w:p>
    <w:p w14:paraId="26BE215E" w14:textId="77777777" w:rsidR="00431251" w:rsidRPr="00431251" w:rsidRDefault="00431251" w:rsidP="00431251">
      <w:pPr>
        <w:pStyle w:val="Heading2"/>
        <w:rPr>
          <w:sz w:val="22"/>
          <w:szCs w:val="22"/>
        </w:rPr>
      </w:pPr>
      <w:bookmarkStart w:id="44" w:name="_Toc430613002"/>
      <w:bookmarkStart w:id="45" w:name="_Toc430613308"/>
      <w:bookmarkStart w:id="46" w:name="_Toc430613679"/>
      <w:r w:rsidRPr="00431251">
        <w:rPr>
          <w:sz w:val="22"/>
          <w:szCs w:val="22"/>
        </w:rPr>
        <w:t>Website</w:t>
      </w:r>
      <w:bookmarkEnd w:id="44"/>
      <w:bookmarkEnd w:id="45"/>
      <w:bookmarkEnd w:id="46"/>
    </w:p>
    <w:tbl>
      <w:tblPr>
        <w:tblW w:w="9322" w:type="dxa"/>
        <w:tblLook w:val="01E0" w:firstRow="1" w:lastRow="1" w:firstColumn="1" w:lastColumn="1" w:noHBand="0" w:noVBand="0"/>
      </w:tblPr>
      <w:tblGrid>
        <w:gridCol w:w="4621"/>
        <w:gridCol w:w="4701"/>
      </w:tblGrid>
      <w:tr w:rsidR="00431251" w:rsidRPr="00EE5A6D" w14:paraId="5EA730A4" w14:textId="77777777" w:rsidTr="00240E30">
        <w:tc>
          <w:tcPr>
            <w:tcW w:w="4621" w:type="dxa"/>
            <w:shd w:val="clear" w:color="auto" w:fill="auto"/>
          </w:tcPr>
          <w:p w14:paraId="5EA730A2" w14:textId="227CBEB2" w:rsidR="00431251" w:rsidRPr="00EE5A6D" w:rsidRDefault="00CC7C7A" w:rsidP="00431251">
            <w:pPr>
              <w:rPr>
                <w:rFonts w:cs="Arial"/>
                <w:sz w:val="22"/>
                <w:szCs w:val="22"/>
              </w:rPr>
            </w:pPr>
            <w:hyperlink r:id="rId14" w:tooltip="Click to go to the Vision Australia Website" w:history="1">
              <w:r w:rsidR="00431251" w:rsidRPr="00431251">
                <w:rPr>
                  <w:rStyle w:val="Hyperlink"/>
                  <w:rFonts w:cs="Arial"/>
                  <w:color w:val="auto"/>
                  <w:sz w:val="22"/>
                  <w:szCs w:val="22"/>
                  <w:u w:val="none"/>
                </w:rPr>
                <w:t>www.visionaustralia.org</w:t>
              </w:r>
            </w:hyperlink>
          </w:p>
        </w:tc>
        <w:tc>
          <w:tcPr>
            <w:tcW w:w="4701" w:type="dxa"/>
            <w:shd w:val="clear" w:color="auto" w:fill="auto"/>
          </w:tcPr>
          <w:p w14:paraId="5EA730A3" w14:textId="77777777" w:rsidR="00431251" w:rsidRPr="00EE5A6D" w:rsidRDefault="00431251" w:rsidP="00FF26F1">
            <w:pPr>
              <w:rPr>
                <w:rFonts w:cs="Arial"/>
                <w:sz w:val="22"/>
                <w:szCs w:val="22"/>
              </w:rPr>
            </w:pPr>
          </w:p>
        </w:tc>
      </w:tr>
    </w:tbl>
    <w:p w14:paraId="5EA730A5" w14:textId="77777777" w:rsidR="00EB1EC9" w:rsidRPr="00EE5A6D" w:rsidRDefault="009260FB" w:rsidP="00431251">
      <w:pPr>
        <w:pStyle w:val="Heading1"/>
      </w:pPr>
      <w:r w:rsidRPr="00A94A4A">
        <w:rPr>
          <w:highlight w:val="yellow"/>
        </w:rPr>
        <w:br w:type="page"/>
      </w:r>
      <w:bookmarkStart w:id="47" w:name="_Toc430613680"/>
      <w:r w:rsidR="00EB1EC9" w:rsidRPr="00EE5A6D">
        <w:lastRenderedPageBreak/>
        <w:t>Directors’ Report</w:t>
      </w:r>
      <w:bookmarkEnd w:id="47"/>
    </w:p>
    <w:p w14:paraId="5EA730A6" w14:textId="109FE871" w:rsidR="0083670D" w:rsidRPr="00EE5A6D" w:rsidRDefault="0083670D" w:rsidP="00BA20A2">
      <w:pPr>
        <w:rPr>
          <w:rFonts w:cs="Arial"/>
          <w:sz w:val="22"/>
          <w:szCs w:val="22"/>
        </w:rPr>
      </w:pPr>
      <w:r w:rsidRPr="00EE5A6D">
        <w:rPr>
          <w:rFonts w:cs="Arial"/>
          <w:sz w:val="22"/>
          <w:szCs w:val="22"/>
        </w:rPr>
        <w:t>The directors of Vision Australia Limited submit herewith the annual report of the company for the f</w:t>
      </w:r>
      <w:r w:rsidR="00FE4304">
        <w:rPr>
          <w:rFonts w:cs="Arial"/>
          <w:sz w:val="22"/>
          <w:szCs w:val="22"/>
        </w:rPr>
        <w:t>inancial year ended 30 June 201</w:t>
      </w:r>
      <w:r w:rsidR="00B2767F">
        <w:rPr>
          <w:rFonts w:cs="Arial"/>
          <w:sz w:val="22"/>
          <w:szCs w:val="22"/>
        </w:rPr>
        <w:t>5</w:t>
      </w:r>
      <w:r w:rsidRPr="00EE5A6D">
        <w:rPr>
          <w:rFonts w:cs="Arial"/>
          <w:sz w:val="22"/>
          <w:szCs w:val="22"/>
        </w:rPr>
        <w:t xml:space="preserve">. </w:t>
      </w:r>
    </w:p>
    <w:p w14:paraId="5EA730A7" w14:textId="77777777" w:rsidR="00EB1EC9" w:rsidRPr="00CE064A" w:rsidRDefault="00EB1EC9" w:rsidP="00BA20A2">
      <w:pPr>
        <w:rPr>
          <w:rFonts w:cs="Arial"/>
          <w:sz w:val="14"/>
          <w:szCs w:val="22"/>
        </w:rPr>
      </w:pPr>
    </w:p>
    <w:p w14:paraId="5EA730A8" w14:textId="77777777" w:rsidR="00EB1EC9" w:rsidRPr="00431251" w:rsidRDefault="00EB1EC9" w:rsidP="00431251">
      <w:pPr>
        <w:pStyle w:val="Heading2"/>
        <w:rPr>
          <w:sz w:val="22"/>
          <w:szCs w:val="22"/>
        </w:rPr>
      </w:pPr>
      <w:bookmarkStart w:id="48" w:name="_Toc430613004"/>
      <w:bookmarkStart w:id="49" w:name="_Toc430613310"/>
      <w:bookmarkStart w:id="50" w:name="_Toc430613681"/>
      <w:r w:rsidRPr="00431251">
        <w:rPr>
          <w:sz w:val="22"/>
          <w:szCs w:val="22"/>
        </w:rPr>
        <w:t>1</w:t>
      </w:r>
      <w:r w:rsidR="00C21558" w:rsidRPr="00431251">
        <w:rPr>
          <w:sz w:val="22"/>
          <w:szCs w:val="22"/>
        </w:rPr>
        <w:t>.</w:t>
      </w:r>
      <w:r w:rsidRPr="00431251">
        <w:rPr>
          <w:sz w:val="22"/>
          <w:szCs w:val="22"/>
        </w:rPr>
        <w:t xml:space="preserve"> </w:t>
      </w:r>
      <w:r w:rsidR="0083670D" w:rsidRPr="00431251">
        <w:rPr>
          <w:sz w:val="22"/>
          <w:szCs w:val="22"/>
        </w:rPr>
        <w:t>Information about the d</w:t>
      </w:r>
      <w:r w:rsidRPr="00431251">
        <w:rPr>
          <w:sz w:val="22"/>
          <w:szCs w:val="22"/>
        </w:rPr>
        <w:t>irectors</w:t>
      </w:r>
      <w:bookmarkEnd w:id="48"/>
      <w:bookmarkEnd w:id="49"/>
      <w:bookmarkEnd w:id="50"/>
    </w:p>
    <w:p w14:paraId="5EA730A9" w14:textId="77777777" w:rsidR="00EB1EC9" w:rsidRPr="00EE5A6D" w:rsidRDefault="00EB1EC9" w:rsidP="00BA20A2">
      <w:pPr>
        <w:rPr>
          <w:rFonts w:cs="Arial"/>
          <w:sz w:val="6"/>
          <w:szCs w:val="22"/>
        </w:rPr>
      </w:pPr>
    </w:p>
    <w:p w14:paraId="5EA730AA" w14:textId="77777777" w:rsidR="00EB1EC9" w:rsidRPr="00EE5A6D" w:rsidRDefault="00EB1EC9" w:rsidP="007E0C95">
      <w:pPr>
        <w:ind w:right="-612"/>
        <w:rPr>
          <w:rFonts w:cs="Arial"/>
          <w:sz w:val="22"/>
          <w:szCs w:val="22"/>
        </w:rPr>
      </w:pPr>
      <w:r w:rsidRPr="00EE5A6D">
        <w:rPr>
          <w:rFonts w:cs="Arial"/>
          <w:sz w:val="22"/>
          <w:szCs w:val="22"/>
        </w:rPr>
        <w:t xml:space="preserve">The names and particulars of the directors of the </w:t>
      </w:r>
      <w:r w:rsidR="000934C3" w:rsidRPr="00EE5A6D">
        <w:rPr>
          <w:rFonts w:cs="Arial"/>
          <w:sz w:val="22"/>
          <w:szCs w:val="22"/>
        </w:rPr>
        <w:t>C</w:t>
      </w:r>
      <w:r w:rsidRPr="00EE5A6D">
        <w:rPr>
          <w:rFonts w:cs="Arial"/>
          <w:sz w:val="22"/>
          <w:szCs w:val="22"/>
        </w:rPr>
        <w:t>ompany during or since the end of the financial year are:</w:t>
      </w:r>
    </w:p>
    <w:p w14:paraId="5EA730AB" w14:textId="77777777" w:rsidR="00EB1EC9" w:rsidRPr="00A94A4A" w:rsidRDefault="00EB1EC9" w:rsidP="00EB1EC9">
      <w:pPr>
        <w:rPr>
          <w:rFonts w:cs="Arial"/>
          <w:sz w:val="8"/>
          <w:szCs w:val="22"/>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118"/>
        <w:gridCol w:w="3969"/>
      </w:tblGrid>
      <w:tr w:rsidR="00342B48" w:rsidRPr="002D67EB" w14:paraId="5EA730AF" w14:textId="77777777" w:rsidTr="00CC7C7A">
        <w:trPr>
          <w:tblHeader/>
        </w:trPr>
        <w:tc>
          <w:tcPr>
            <w:tcW w:w="2552" w:type="dxa"/>
            <w:shd w:val="clear" w:color="auto" w:fill="auto"/>
          </w:tcPr>
          <w:p w14:paraId="5EA730AC" w14:textId="77777777" w:rsidR="00342B48" w:rsidRPr="002D67EB" w:rsidRDefault="00342B48" w:rsidP="00B31B64">
            <w:pPr>
              <w:jc w:val="center"/>
              <w:rPr>
                <w:rFonts w:cs="Arial"/>
                <w:b/>
                <w:sz w:val="18"/>
                <w:szCs w:val="18"/>
              </w:rPr>
            </w:pPr>
            <w:bookmarkStart w:id="51" w:name="Table_1"/>
            <w:bookmarkEnd w:id="51"/>
            <w:r w:rsidRPr="002D67EB">
              <w:rPr>
                <w:rFonts w:cs="Arial"/>
                <w:b/>
                <w:sz w:val="18"/>
                <w:szCs w:val="18"/>
              </w:rPr>
              <w:t>Directors Name</w:t>
            </w:r>
          </w:p>
        </w:tc>
        <w:tc>
          <w:tcPr>
            <w:tcW w:w="3118" w:type="dxa"/>
            <w:shd w:val="clear" w:color="auto" w:fill="auto"/>
          </w:tcPr>
          <w:p w14:paraId="5EA730AD" w14:textId="77777777" w:rsidR="00342B48" w:rsidRPr="002D67EB" w:rsidRDefault="00342B48" w:rsidP="00B31B64">
            <w:pPr>
              <w:jc w:val="center"/>
              <w:rPr>
                <w:rFonts w:cs="Arial"/>
                <w:b/>
                <w:sz w:val="18"/>
                <w:szCs w:val="18"/>
              </w:rPr>
            </w:pPr>
            <w:r w:rsidRPr="002D67EB">
              <w:rPr>
                <w:rFonts w:cs="Arial"/>
                <w:b/>
                <w:sz w:val="18"/>
                <w:szCs w:val="18"/>
              </w:rPr>
              <w:t>Particulars</w:t>
            </w:r>
          </w:p>
        </w:tc>
        <w:tc>
          <w:tcPr>
            <w:tcW w:w="3969" w:type="dxa"/>
            <w:shd w:val="clear" w:color="auto" w:fill="auto"/>
          </w:tcPr>
          <w:p w14:paraId="5EA730AE" w14:textId="77777777" w:rsidR="00342B48" w:rsidRPr="002D67EB" w:rsidRDefault="00342B48" w:rsidP="00B31B64">
            <w:pPr>
              <w:jc w:val="center"/>
              <w:rPr>
                <w:rFonts w:cs="Arial"/>
                <w:b/>
                <w:sz w:val="18"/>
                <w:szCs w:val="18"/>
              </w:rPr>
            </w:pPr>
            <w:r w:rsidRPr="002D67EB">
              <w:rPr>
                <w:rFonts w:cs="Arial"/>
                <w:b/>
                <w:sz w:val="18"/>
                <w:szCs w:val="18"/>
              </w:rPr>
              <w:t xml:space="preserve">Special Responsibilities </w:t>
            </w:r>
          </w:p>
        </w:tc>
      </w:tr>
      <w:tr w:rsidR="00342B48" w:rsidRPr="002D67EB" w14:paraId="5EA730B6" w14:textId="77777777" w:rsidTr="00AF4CFC">
        <w:tc>
          <w:tcPr>
            <w:tcW w:w="2552" w:type="dxa"/>
            <w:shd w:val="clear" w:color="auto" w:fill="auto"/>
          </w:tcPr>
          <w:p w14:paraId="5EA730B0" w14:textId="77777777" w:rsidR="00342B48" w:rsidRPr="002D67EB" w:rsidRDefault="00342B48" w:rsidP="00B31B64">
            <w:pPr>
              <w:rPr>
                <w:rFonts w:cs="Arial"/>
                <w:sz w:val="18"/>
                <w:szCs w:val="18"/>
              </w:rPr>
            </w:pPr>
            <w:r w:rsidRPr="002D67EB">
              <w:rPr>
                <w:rFonts w:cs="Arial"/>
                <w:sz w:val="18"/>
                <w:szCs w:val="18"/>
              </w:rPr>
              <w:t xml:space="preserve">Kevin Murfitt, PhD, </w:t>
            </w:r>
          </w:p>
          <w:p w14:paraId="5EA730B1" w14:textId="77777777" w:rsidR="00342B48" w:rsidRPr="002D67EB" w:rsidRDefault="00342B48" w:rsidP="00B31B64">
            <w:pPr>
              <w:rPr>
                <w:rFonts w:cs="Arial"/>
                <w:sz w:val="18"/>
                <w:szCs w:val="18"/>
              </w:rPr>
            </w:pPr>
            <w:r w:rsidRPr="002D67EB">
              <w:rPr>
                <w:rFonts w:cs="Arial"/>
                <w:sz w:val="18"/>
                <w:szCs w:val="18"/>
              </w:rPr>
              <w:t>BA (Hons),</w:t>
            </w:r>
          </w:p>
          <w:p w14:paraId="5EA730B2" w14:textId="77777777" w:rsidR="00342B48" w:rsidRPr="002D67EB" w:rsidRDefault="00342B48" w:rsidP="00B31B64">
            <w:pPr>
              <w:rPr>
                <w:rFonts w:cs="Arial"/>
                <w:sz w:val="18"/>
                <w:szCs w:val="18"/>
              </w:rPr>
            </w:pPr>
            <w:r w:rsidRPr="002D67EB">
              <w:rPr>
                <w:rFonts w:cs="Arial"/>
                <w:sz w:val="18"/>
                <w:szCs w:val="18"/>
              </w:rPr>
              <w:t>Chair</w:t>
            </w:r>
            <w:r w:rsidRPr="002D67EB" w:rsidDel="0038680C">
              <w:rPr>
                <w:rFonts w:cs="Arial"/>
                <w:sz w:val="18"/>
                <w:szCs w:val="18"/>
              </w:rPr>
              <w:t xml:space="preserve"> </w:t>
            </w:r>
          </w:p>
        </w:tc>
        <w:tc>
          <w:tcPr>
            <w:tcW w:w="3118" w:type="dxa"/>
            <w:shd w:val="clear" w:color="auto" w:fill="auto"/>
          </w:tcPr>
          <w:p w14:paraId="5EA730B3" w14:textId="77777777" w:rsidR="00342B48" w:rsidRPr="002D67EB" w:rsidRDefault="00342B48" w:rsidP="00B31B64">
            <w:pPr>
              <w:rPr>
                <w:rFonts w:cs="Arial"/>
                <w:sz w:val="18"/>
                <w:szCs w:val="18"/>
              </w:rPr>
            </w:pPr>
            <w:r w:rsidRPr="002D67EB">
              <w:rPr>
                <w:rFonts w:cs="Arial"/>
                <w:sz w:val="18"/>
                <w:szCs w:val="18"/>
              </w:rPr>
              <w:t>Lecturer</w:t>
            </w:r>
          </w:p>
        </w:tc>
        <w:tc>
          <w:tcPr>
            <w:tcW w:w="3969" w:type="dxa"/>
            <w:shd w:val="clear" w:color="auto" w:fill="auto"/>
          </w:tcPr>
          <w:p w14:paraId="5EA730B4" w14:textId="6DA895C3" w:rsidR="00342B48" w:rsidRPr="002D67EB" w:rsidRDefault="00342B48" w:rsidP="00B31B64">
            <w:pPr>
              <w:rPr>
                <w:rFonts w:cs="Arial"/>
                <w:sz w:val="18"/>
                <w:szCs w:val="18"/>
              </w:rPr>
            </w:pPr>
            <w:r w:rsidRPr="002D67EB">
              <w:rPr>
                <w:rFonts w:cs="Arial"/>
                <w:sz w:val="18"/>
                <w:szCs w:val="18"/>
              </w:rPr>
              <w:t xml:space="preserve">Audit, Finance and Business Risk Committee, Property Committee, </w:t>
            </w:r>
            <w:r w:rsidR="00687578">
              <w:rPr>
                <w:rFonts w:cs="Arial"/>
                <w:sz w:val="18"/>
                <w:szCs w:val="18"/>
              </w:rPr>
              <w:t>People and</w:t>
            </w:r>
            <w:r w:rsidR="00CE6256">
              <w:rPr>
                <w:rFonts w:cs="Arial"/>
                <w:sz w:val="18"/>
                <w:szCs w:val="18"/>
              </w:rPr>
              <w:t xml:space="preserve"> Culture</w:t>
            </w:r>
            <w:r w:rsidRPr="002D67EB">
              <w:rPr>
                <w:rFonts w:cs="Arial"/>
                <w:sz w:val="18"/>
                <w:szCs w:val="18"/>
              </w:rPr>
              <w:t xml:space="preserve"> Committee, Client Services Committee, Board Development </w:t>
            </w:r>
            <w:r w:rsidR="00A07FE0">
              <w:rPr>
                <w:rFonts w:cs="Arial"/>
                <w:sz w:val="18"/>
                <w:szCs w:val="18"/>
              </w:rPr>
              <w:t>and</w:t>
            </w:r>
            <w:r w:rsidRPr="002D67EB">
              <w:rPr>
                <w:rFonts w:cs="Arial"/>
                <w:sz w:val="18"/>
                <w:szCs w:val="18"/>
              </w:rPr>
              <w:t xml:space="preserve"> Nominations Committee</w:t>
            </w:r>
          </w:p>
          <w:p w14:paraId="5EA730B5" w14:textId="77777777" w:rsidR="00342B48" w:rsidRPr="002D67EB" w:rsidRDefault="00342B48" w:rsidP="00B31B64">
            <w:pPr>
              <w:rPr>
                <w:rFonts w:cs="Arial"/>
                <w:sz w:val="18"/>
                <w:szCs w:val="18"/>
              </w:rPr>
            </w:pPr>
            <w:r w:rsidRPr="002D67EB">
              <w:rPr>
                <w:rFonts w:cs="Arial"/>
                <w:sz w:val="18"/>
                <w:szCs w:val="18"/>
              </w:rPr>
              <w:t>Strategic Program Committee</w:t>
            </w:r>
          </w:p>
        </w:tc>
      </w:tr>
      <w:tr w:rsidR="00342B48" w:rsidRPr="002D67EB" w14:paraId="5EA730BC" w14:textId="77777777" w:rsidTr="00AF4CFC">
        <w:tc>
          <w:tcPr>
            <w:tcW w:w="2552" w:type="dxa"/>
            <w:shd w:val="clear" w:color="auto" w:fill="auto"/>
          </w:tcPr>
          <w:p w14:paraId="5EA730B7" w14:textId="77777777" w:rsidR="00342B48" w:rsidRPr="002D67EB" w:rsidRDefault="00342B48" w:rsidP="00B31B64">
            <w:pPr>
              <w:rPr>
                <w:rFonts w:cs="Arial"/>
                <w:sz w:val="18"/>
                <w:szCs w:val="18"/>
              </w:rPr>
            </w:pPr>
            <w:r w:rsidRPr="002D67EB">
              <w:rPr>
                <w:rFonts w:cs="Arial"/>
                <w:sz w:val="18"/>
                <w:szCs w:val="18"/>
              </w:rPr>
              <w:t xml:space="preserve">Lyn Allison, </w:t>
            </w:r>
            <w:proofErr w:type="spellStart"/>
            <w:r w:rsidRPr="002D67EB">
              <w:rPr>
                <w:rFonts w:cs="Arial"/>
                <w:bCs/>
                <w:sz w:val="18"/>
                <w:szCs w:val="18"/>
              </w:rPr>
              <w:t>BEd</w:t>
            </w:r>
            <w:proofErr w:type="spellEnd"/>
            <w:r w:rsidRPr="002D67EB">
              <w:rPr>
                <w:rFonts w:cs="Arial"/>
                <w:bCs/>
                <w:sz w:val="18"/>
                <w:szCs w:val="18"/>
              </w:rPr>
              <w:t>, AAICD</w:t>
            </w:r>
            <w:r w:rsidRPr="002D67EB" w:rsidDel="0038680C">
              <w:rPr>
                <w:rFonts w:cs="Arial"/>
                <w:sz w:val="18"/>
                <w:szCs w:val="18"/>
              </w:rPr>
              <w:t xml:space="preserve"> </w:t>
            </w:r>
          </w:p>
        </w:tc>
        <w:tc>
          <w:tcPr>
            <w:tcW w:w="3118" w:type="dxa"/>
            <w:shd w:val="clear" w:color="auto" w:fill="auto"/>
          </w:tcPr>
          <w:p w14:paraId="5EA730B8" w14:textId="77777777" w:rsidR="00342B48" w:rsidRPr="002D67EB" w:rsidRDefault="00342B48" w:rsidP="00B31B64">
            <w:pPr>
              <w:rPr>
                <w:rFonts w:cs="Arial"/>
                <w:sz w:val="18"/>
                <w:szCs w:val="18"/>
              </w:rPr>
            </w:pPr>
            <w:r w:rsidRPr="002D67EB">
              <w:rPr>
                <w:rFonts w:cs="Arial"/>
                <w:sz w:val="18"/>
                <w:szCs w:val="18"/>
              </w:rPr>
              <w:t>Former Senator</w:t>
            </w:r>
          </w:p>
        </w:tc>
        <w:tc>
          <w:tcPr>
            <w:tcW w:w="3969" w:type="dxa"/>
            <w:shd w:val="clear" w:color="auto" w:fill="auto"/>
          </w:tcPr>
          <w:p w14:paraId="5EA730B9" w14:textId="5B2AA17B" w:rsidR="00342B48" w:rsidRPr="002D67EB" w:rsidRDefault="00342B48" w:rsidP="00B31B64">
            <w:pPr>
              <w:rPr>
                <w:rFonts w:cs="Arial"/>
                <w:sz w:val="18"/>
                <w:szCs w:val="18"/>
              </w:rPr>
            </w:pPr>
            <w:r w:rsidRPr="002D67EB">
              <w:rPr>
                <w:rFonts w:cs="Arial"/>
                <w:sz w:val="18"/>
                <w:szCs w:val="18"/>
              </w:rPr>
              <w:t>Client Services Committee (ceased in November 201</w:t>
            </w:r>
            <w:r w:rsidR="00CE6256">
              <w:rPr>
                <w:rFonts w:cs="Arial"/>
                <w:sz w:val="18"/>
                <w:szCs w:val="18"/>
              </w:rPr>
              <w:t>4</w:t>
            </w:r>
            <w:r w:rsidRPr="002D67EB">
              <w:rPr>
                <w:rFonts w:cs="Arial"/>
                <w:sz w:val="18"/>
                <w:szCs w:val="18"/>
              </w:rPr>
              <w:t>)</w:t>
            </w:r>
          </w:p>
          <w:p w14:paraId="5EA730BA" w14:textId="77777777" w:rsidR="00342B48" w:rsidRPr="002D67EB" w:rsidRDefault="00342B48" w:rsidP="00B31B64">
            <w:pPr>
              <w:rPr>
                <w:rFonts w:cs="Arial"/>
                <w:sz w:val="18"/>
                <w:szCs w:val="18"/>
              </w:rPr>
            </w:pPr>
            <w:r w:rsidRPr="002D67EB">
              <w:rPr>
                <w:rFonts w:cs="Arial"/>
                <w:sz w:val="18"/>
                <w:szCs w:val="18"/>
              </w:rPr>
              <w:t xml:space="preserve">Property Committee </w:t>
            </w:r>
          </w:p>
          <w:p w14:paraId="5EA730BB" w14:textId="77777777" w:rsidR="00342B48" w:rsidRPr="002D67EB" w:rsidRDefault="00342B48" w:rsidP="00B31B64">
            <w:pPr>
              <w:rPr>
                <w:rFonts w:cs="Arial"/>
                <w:sz w:val="18"/>
                <w:szCs w:val="18"/>
              </w:rPr>
            </w:pPr>
            <w:r w:rsidRPr="002D67EB">
              <w:rPr>
                <w:rFonts w:cs="Arial"/>
                <w:sz w:val="18"/>
                <w:szCs w:val="18"/>
              </w:rPr>
              <w:t>Strategic Program Committee</w:t>
            </w:r>
          </w:p>
        </w:tc>
      </w:tr>
      <w:tr w:rsidR="00342B48" w:rsidRPr="002D67EB" w14:paraId="5EA730C1" w14:textId="77777777" w:rsidTr="00AF4CFC">
        <w:tc>
          <w:tcPr>
            <w:tcW w:w="2552" w:type="dxa"/>
            <w:shd w:val="clear" w:color="auto" w:fill="auto"/>
          </w:tcPr>
          <w:p w14:paraId="5EA730BD" w14:textId="77777777" w:rsidR="00342B48" w:rsidRPr="002D67EB" w:rsidRDefault="00342B48" w:rsidP="00B31B64">
            <w:pPr>
              <w:rPr>
                <w:rFonts w:cs="Arial"/>
                <w:sz w:val="18"/>
                <w:szCs w:val="18"/>
              </w:rPr>
            </w:pPr>
            <w:r w:rsidRPr="002D67EB">
              <w:rPr>
                <w:rFonts w:cs="Arial"/>
                <w:sz w:val="18"/>
                <w:szCs w:val="18"/>
              </w:rPr>
              <w:t>Nick Carter, FRICS, FAPI, FAICD</w:t>
            </w:r>
            <w:r w:rsidR="000D21F4">
              <w:rPr>
                <w:rFonts w:cs="Arial"/>
                <w:sz w:val="18"/>
                <w:szCs w:val="18"/>
              </w:rPr>
              <w:t>, Deputy chair</w:t>
            </w:r>
          </w:p>
        </w:tc>
        <w:tc>
          <w:tcPr>
            <w:tcW w:w="3118" w:type="dxa"/>
            <w:shd w:val="clear" w:color="auto" w:fill="auto"/>
          </w:tcPr>
          <w:p w14:paraId="5EA730BE" w14:textId="77777777" w:rsidR="00342B48" w:rsidRPr="002D67EB" w:rsidRDefault="00342B48" w:rsidP="00B31B64">
            <w:pPr>
              <w:rPr>
                <w:rFonts w:cs="Arial"/>
                <w:sz w:val="18"/>
                <w:szCs w:val="18"/>
              </w:rPr>
            </w:pPr>
            <w:r w:rsidRPr="002D67EB">
              <w:rPr>
                <w:rFonts w:cs="Arial"/>
                <w:sz w:val="18"/>
                <w:szCs w:val="18"/>
              </w:rPr>
              <w:t>Business Owner</w:t>
            </w:r>
          </w:p>
        </w:tc>
        <w:tc>
          <w:tcPr>
            <w:tcW w:w="3969" w:type="dxa"/>
            <w:shd w:val="clear" w:color="auto" w:fill="auto"/>
          </w:tcPr>
          <w:p w14:paraId="5EA730BF" w14:textId="77777777" w:rsidR="00342B48" w:rsidRPr="002D67EB" w:rsidRDefault="00342B48" w:rsidP="00B31B64">
            <w:pPr>
              <w:rPr>
                <w:rFonts w:cs="Arial"/>
                <w:sz w:val="18"/>
                <w:szCs w:val="18"/>
              </w:rPr>
            </w:pPr>
            <w:r w:rsidRPr="002D67EB">
              <w:rPr>
                <w:rFonts w:cs="Arial"/>
                <w:sz w:val="18"/>
                <w:szCs w:val="18"/>
              </w:rPr>
              <w:t>Property Committee</w:t>
            </w:r>
          </w:p>
          <w:p w14:paraId="5EA730C0" w14:textId="3E14E442" w:rsidR="00342B48" w:rsidRPr="002D67EB" w:rsidRDefault="00342B48" w:rsidP="00A07FE0">
            <w:pPr>
              <w:rPr>
                <w:rFonts w:cs="Arial"/>
                <w:sz w:val="18"/>
                <w:szCs w:val="18"/>
              </w:rPr>
            </w:pPr>
            <w:r w:rsidRPr="002D67EB">
              <w:rPr>
                <w:rFonts w:cs="Arial"/>
                <w:sz w:val="18"/>
                <w:szCs w:val="18"/>
              </w:rPr>
              <w:t xml:space="preserve">Board Development </w:t>
            </w:r>
            <w:r w:rsidR="00A07FE0">
              <w:rPr>
                <w:rFonts w:cs="Arial"/>
                <w:sz w:val="18"/>
                <w:szCs w:val="18"/>
              </w:rPr>
              <w:t>and</w:t>
            </w:r>
            <w:r w:rsidRPr="002D67EB">
              <w:rPr>
                <w:rFonts w:cs="Arial"/>
                <w:sz w:val="18"/>
                <w:szCs w:val="18"/>
              </w:rPr>
              <w:t xml:space="preserve"> Nominations Committee</w:t>
            </w:r>
          </w:p>
        </w:tc>
      </w:tr>
      <w:tr w:rsidR="00342B48" w:rsidRPr="002D67EB" w14:paraId="5EA730C7" w14:textId="77777777" w:rsidTr="00AF4CFC">
        <w:tc>
          <w:tcPr>
            <w:tcW w:w="2552" w:type="dxa"/>
            <w:shd w:val="clear" w:color="auto" w:fill="auto"/>
          </w:tcPr>
          <w:p w14:paraId="5EA730C2" w14:textId="77777777" w:rsidR="00342B48" w:rsidRPr="002D67EB" w:rsidRDefault="00342B48" w:rsidP="00B31B64">
            <w:pPr>
              <w:rPr>
                <w:rFonts w:cs="Arial"/>
                <w:sz w:val="18"/>
                <w:szCs w:val="18"/>
              </w:rPr>
            </w:pPr>
            <w:r w:rsidRPr="002D67EB">
              <w:rPr>
                <w:rFonts w:cs="Arial"/>
                <w:sz w:val="18"/>
                <w:szCs w:val="18"/>
              </w:rPr>
              <w:t xml:space="preserve">Donald Fraser, BSc (Hons), Dip Ed, MBA, </w:t>
            </w:r>
            <w:proofErr w:type="spellStart"/>
            <w:r w:rsidRPr="002D67EB">
              <w:rPr>
                <w:rFonts w:cs="Arial"/>
                <w:sz w:val="18"/>
                <w:szCs w:val="18"/>
              </w:rPr>
              <w:t>M.Comm.Law</w:t>
            </w:r>
            <w:proofErr w:type="spellEnd"/>
            <w:r w:rsidRPr="002D67EB">
              <w:rPr>
                <w:rFonts w:cs="Arial"/>
                <w:sz w:val="18"/>
                <w:szCs w:val="18"/>
              </w:rPr>
              <w:t>, DBA, FACS, FAICD</w:t>
            </w:r>
            <w:r w:rsidRPr="002D67EB" w:rsidDel="0038680C">
              <w:rPr>
                <w:rFonts w:cs="Arial"/>
                <w:sz w:val="18"/>
                <w:szCs w:val="18"/>
              </w:rPr>
              <w:t xml:space="preserve"> </w:t>
            </w:r>
          </w:p>
        </w:tc>
        <w:tc>
          <w:tcPr>
            <w:tcW w:w="3118" w:type="dxa"/>
            <w:shd w:val="clear" w:color="auto" w:fill="auto"/>
          </w:tcPr>
          <w:p w14:paraId="5EA730C3" w14:textId="77777777" w:rsidR="00342B48" w:rsidRPr="002D67EB" w:rsidRDefault="00342B48" w:rsidP="00B31B64">
            <w:pPr>
              <w:rPr>
                <w:rFonts w:cs="Arial"/>
                <w:sz w:val="18"/>
                <w:szCs w:val="18"/>
              </w:rPr>
            </w:pPr>
            <w:r w:rsidRPr="002D67EB">
              <w:rPr>
                <w:rFonts w:cs="Arial"/>
                <w:sz w:val="18"/>
                <w:szCs w:val="18"/>
              </w:rPr>
              <w:t>Business Manager</w:t>
            </w:r>
          </w:p>
        </w:tc>
        <w:tc>
          <w:tcPr>
            <w:tcW w:w="3969" w:type="dxa"/>
            <w:shd w:val="clear" w:color="auto" w:fill="auto"/>
          </w:tcPr>
          <w:p w14:paraId="5EA730C4" w14:textId="133FD5CB" w:rsidR="00342B48" w:rsidRPr="002D67EB" w:rsidRDefault="00687578" w:rsidP="00B31B64">
            <w:pPr>
              <w:rPr>
                <w:rFonts w:cs="Arial"/>
                <w:sz w:val="18"/>
                <w:szCs w:val="18"/>
              </w:rPr>
            </w:pPr>
            <w:r>
              <w:rPr>
                <w:rFonts w:cs="Arial"/>
                <w:sz w:val="18"/>
                <w:szCs w:val="18"/>
              </w:rPr>
              <w:t>People and</w:t>
            </w:r>
            <w:r w:rsidR="00CE6256">
              <w:rPr>
                <w:rFonts w:cs="Arial"/>
                <w:sz w:val="18"/>
                <w:szCs w:val="18"/>
              </w:rPr>
              <w:t xml:space="preserve"> Culture</w:t>
            </w:r>
            <w:r w:rsidR="00342B48" w:rsidRPr="002D67EB">
              <w:rPr>
                <w:rFonts w:cs="Arial"/>
                <w:sz w:val="18"/>
                <w:szCs w:val="18"/>
              </w:rPr>
              <w:t xml:space="preserve"> Committee,</w:t>
            </w:r>
          </w:p>
          <w:p w14:paraId="5EA730C5" w14:textId="4FF5B9A0" w:rsidR="00342B48" w:rsidRPr="002D67EB" w:rsidRDefault="00342B48" w:rsidP="00B31B64">
            <w:pPr>
              <w:rPr>
                <w:rFonts w:cs="Arial"/>
                <w:sz w:val="18"/>
                <w:szCs w:val="18"/>
              </w:rPr>
            </w:pPr>
            <w:r w:rsidRPr="002D67EB">
              <w:rPr>
                <w:rFonts w:cs="Arial"/>
                <w:sz w:val="18"/>
                <w:szCs w:val="18"/>
              </w:rPr>
              <w:t xml:space="preserve">Board Development </w:t>
            </w:r>
            <w:r w:rsidR="00A07FE0">
              <w:rPr>
                <w:rFonts w:cs="Arial"/>
                <w:sz w:val="18"/>
                <w:szCs w:val="18"/>
              </w:rPr>
              <w:t>and</w:t>
            </w:r>
            <w:r w:rsidRPr="002D67EB">
              <w:rPr>
                <w:rFonts w:cs="Arial"/>
                <w:sz w:val="18"/>
                <w:szCs w:val="18"/>
              </w:rPr>
              <w:t xml:space="preserve"> Nominations Committee </w:t>
            </w:r>
          </w:p>
          <w:p w14:paraId="5EA730C6" w14:textId="77777777" w:rsidR="00342B48" w:rsidRPr="002D67EB" w:rsidRDefault="00342B48" w:rsidP="00B31B64">
            <w:pPr>
              <w:rPr>
                <w:rFonts w:cs="Arial"/>
                <w:sz w:val="18"/>
                <w:szCs w:val="18"/>
              </w:rPr>
            </w:pPr>
            <w:r w:rsidRPr="002D67EB">
              <w:rPr>
                <w:rFonts w:cs="Arial"/>
                <w:sz w:val="18"/>
                <w:szCs w:val="18"/>
              </w:rPr>
              <w:t>Strategic Program Committee</w:t>
            </w:r>
          </w:p>
        </w:tc>
      </w:tr>
      <w:tr w:rsidR="00342B48" w:rsidRPr="002D67EB" w14:paraId="5EA730CD" w14:textId="77777777" w:rsidTr="00AF4CFC">
        <w:tc>
          <w:tcPr>
            <w:tcW w:w="2552" w:type="dxa"/>
            <w:shd w:val="clear" w:color="auto" w:fill="auto"/>
          </w:tcPr>
          <w:p w14:paraId="5EA730C8" w14:textId="307CF35E" w:rsidR="00342B48" w:rsidRPr="002D67EB" w:rsidRDefault="00342B48" w:rsidP="006B3046">
            <w:pPr>
              <w:rPr>
                <w:rFonts w:cs="Arial"/>
                <w:sz w:val="18"/>
                <w:szCs w:val="18"/>
              </w:rPr>
            </w:pPr>
            <w:r w:rsidRPr="002D67EB">
              <w:rPr>
                <w:rFonts w:cs="Arial"/>
                <w:sz w:val="18"/>
                <w:szCs w:val="18"/>
              </w:rPr>
              <w:t xml:space="preserve">Professor Emeritus Ron McCallum AO, </w:t>
            </w:r>
            <w:proofErr w:type="spellStart"/>
            <w:r w:rsidRPr="002D67EB">
              <w:rPr>
                <w:rFonts w:cs="Arial"/>
                <w:sz w:val="18"/>
                <w:szCs w:val="18"/>
              </w:rPr>
              <w:t>BJuris</w:t>
            </w:r>
            <w:proofErr w:type="spellEnd"/>
            <w:r w:rsidRPr="002D67EB">
              <w:rPr>
                <w:rFonts w:cs="Arial"/>
                <w:sz w:val="18"/>
                <w:szCs w:val="18"/>
              </w:rPr>
              <w:t>, LLB,(Hons) (Monash), LLM Qu</w:t>
            </w:r>
            <w:r w:rsidR="000D21F4">
              <w:rPr>
                <w:rFonts w:cs="Arial"/>
                <w:sz w:val="18"/>
                <w:szCs w:val="18"/>
              </w:rPr>
              <w:t xml:space="preserve"> </w:t>
            </w:r>
          </w:p>
        </w:tc>
        <w:tc>
          <w:tcPr>
            <w:tcW w:w="3118" w:type="dxa"/>
            <w:shd w:val="clear" w:color="auto" w:fill="auto"/>
          </w:tcPr>
          <w:p w14:paraId="5EA730C9" w14:textId="77777777" w:rsidR="00342B48" w:rsidRPr="002D67EB" w:rsidRDefault="00342B48" w:rsidP="00B31B64">
            <w:pPr>
              <w:rPr>
                <w:rFonts w:cs="Arial"/>
                <w:sz w:val="18"/>
                <w:szCs w:val="18"/>
              </w:rPr>
            </w:pPr>
            <w:r w:rsidRPr="002D67EB">
              <w:rPr>
                <w:rFonts w:cs="Arial"/>
                <w:sz w:val="18"/>
                <w:szCs w:val="18"/>
              </w:rPr>
              <w:t>Professor of Law,</w:t>
            </w:r>
          </w:p>
          <w:p w14:paraId="5EA730CA" w14:textId="77777777" w:rsidR="00342B48" w:rsidRPr="002D67EB" w:rsidRDefault="00FE4C2F" w:rsidP="00B31B64">
            <w:pPr>
              <w:rPr>
                <w:rFonts w:cs="Arial"/>
                <w:sz w:val="18"/>
                <w:szCs w:val="18"/>
              </w:rPr>
            </w:pPr>
            <w:r>
              <w:rPr>
                <w:rFonts w:cs="Arial"/>
                <w:color w:val="222222"/>
                <w:sz w:val="18"/>
                <w:szCs w:val="18"/>
                <w:lang w:val="en"/>
              </w:rPr>
              <w:t xml:space="preserve">Deputy </w:t>
            </w:r>
            <w:r w:rsidR="00342B48" w:rsidRPr="002D67EB">
              <w:rPr>
                <w:rFonts w:cs="Arial"/>
                <w:color w:val="222222"/>
                <w:sz w:val="18"/>
                <w:szCs w:val="18"/>
                <w:lang w:val="en"/>
              </w:rPr>
              <w:t>Chair United Nations Committee on the Rights of Persons with Disabilities, Senior Australian of the year 2011</w:t>
            </w:r>
          </w:p>
        </w:tc>
        <w:tc>
          <w:tcPr>
            <w:tcW w:w="3969" w:type="dxa"/>
            <w:shd w:val="clear" w:color="auto" w:fill="auto"/>
          </w:tcPr>
          <w:p w14:paraId="5EA730CB" w14:textId="71ADA00A" w:rsidR="00342B48" w:rsidRPr="002D67EB" w:rsidRDefault="00687578" w:rsidP="00B31B64">
            <w:pPr>
              <w:rPr>
                <w:rFonts w:cs="Arial"/>
                <w:sz w:val="18"/>
                <w:szCs w:val="18"/>
              </w:rPr>
            </w:pPr>
            <w:r>
              <w:rPr>
                <w:rFonts w:cs="Arial"/>
                <w:sz w:val="18"/>
                <w:szCs w:val="18"/>
              </w:rPr>
              <w:t>People and</w:t>
            </w:r>
            <w:r w:rsidR="00CE6256">
              <w:rPr>
                <w:rFonts w:cs="Arial"/>
                <w:sz w:val="18"/>
                <w:szCs w:val="18"/>
              </w:rPr>
              <w:t xml:space="preserve"> Culture</w:t>
            </w:r>
            <w:r w:rsidR="00342B48" w:rsidRPr="002D67EB">
              <w:rPr>
                <w:rFonts w:cs="Arial"/>
                <w:sz w:val="18"/>
                <w:szCs w:val="18"/>
              </w:rPr>
              <w:t xml:space="preserve"> Committee, </w:t>
            </w:r>
          </w:p>
          <w:p w14:paraId="5EA730CC" w14:textId="53135F52" w:rsidR="00342B48" w:rsidRPr="002D67EB" w:rsidRDefault="00342B48" w:rsidP="00A07FE0">
            <w:pPr>
              <w:rPr>
                <w:rFonts w:cs="Arial"/>
                <w:sz w:val="18"/>
                <w:szCs w:val="18"/>
              </w:rPr>
            </w:pPr>
            <w:r w:rsidRPr="002D67EB">
              <w:rPr>
                <w:rFonts w:cs="Arial"/>
                <w:sz w:val="18"/>
                <w:szCs w:val="18"/>
              </w:rPr>
              <w:t xml:space="preserve">Board Development </w:t>
            </w:r>
            <w:r w:rsidR="00A07FE0">
              <w:rPr>
                <w:rFonts w:cs="Arial"/>
                <w:sz w:val="18"/>
                <w:szCs w:val="18"/>
              </w:rPr>
              <w:t>and</w:t>
            </w:r>
            <w:r w:rsidRPr="002D67EB">
              <w:rPr>
                <w:rFonts w:cs="Arial"/>
                <w:sz w:val="18"/>
                <w:szCs w:val="18"/>
              </w:rPr>
              <w:t xml:space="preserve"> Nominations Committee</w:t>
            </w:r>
          </w:p>
        </w:tc>
      </w:tr>
      <w:tr w:rsidR="00342B48" w:rsidRPr="002D67EB" w14:paraId="5EA730D1" w14:textId="77777777" w:rsidTr="00AF4CFC">
        <w:tc>
          <w:tcPr>
            <w:tcW w:w="2552" w:type="dxa"/>
            <w:shd w:val="clear" w:color="auto" w:fill="auto"/>
          </w:tcPr>
          <w:p w14:paraId="5EA730CE" w14:textId="77777777" w:rsidR="00342B48" w:rsidRPr="002D67EB" w:rsidRDefault="00342B48" w:rsidP="00B31B64">
            <w:pPr>
              <w:rPr>
                <w:rFonts w:cs="Arial"/>
                <w:sz w:val="18"/>
                <w:szCs w:val="18"/>
              </w:rPr>
            </w:pPr>
            <w:r w:rsidRPr="002D67EB">
              <w:rPr>
                <w:rFonts w:cs="Arial"/>
                <w:sz w:val="18"/>
                <w:szCs w:val="18"/>
              </w:rPr>
              <w:t xml:space="preserve">Andrew Moffat </w:t>
            </w:r>
            <w:proofErr w:type="spellStart"/>
            <w:r w:rsidRPr="002D67EB">
              <w:rPr>
                <w:rFonts w:cs="Arial"/>
                <w:sz w:val="18"/>
                <w:szCs w:val="18"/>
              </w:rPr>
              <w:t>BCom</w:t>
            </w:r>
            <w:proofErr w:type="spellEnd"/>
            <w:r w:rsidRPr="002D67EB">
              <w:rPr>
                <w:rFonts w:cs="Arial"/>
                <w:sz w:val="18"/>
                <w:szCs w:val="18"/>
              </w:rPr>
              <w:t xml:space="preserve">, LLB </w:t>
            </w:r>
          </w:p>
        </w:tc>
        <w:tc>
          <w:tcPr>
            <w:tcW w:w="3118" w:type="dxa"/>
            <w:shd w:val="clear" w:color="auto" w:fill="auto"/>
          </w:tcPr>
          <w:p w14:paraId="5EA730CF" w14:textId="77777777" w:rsidR="00342B48" w:rsidRPr="002D67EB" w:rsidRDefault="00342B48" w:rsidP="00B31B64">
            <w:pPr>
              <w:rPr>
                <w:rFonts w:cs="Arial"/>
                <w:sz w:val="18"/>
                <w:szCs w:val="18"/>
              </w:rPr>
            </w:pPr>
            <w:r w:rsidRPr="002D67EB">
              <w:rPr>
                <w:rFonts w:cs="Arial"/>
                <w:sz w:val="18"/>
                <w:szCs w:val="18"/>
              </w:rPr>
              <w:t>Accredited Mediator</w:t>
            </w:r>
          </w:p>
        </w:tc>
        <w:tc>
          <w:tcPr>
            <w:tcW w:w="3969" w:type="dxa"/>
            <w:shd w:val="clear" w:color="auto" w:fill="auto"/>
          </w:tcPr>
          <w:p w14:paraId="5EA730D0" w14:textId="78D33315" w:rsidR="00342B48" w:rsidRPr="002D67EB" w:rsidRDefault="00342B48" w:rsidP="00A07FE0">
            <w:pPr>
              <w:rPr>
                <w:rFonts w:cs="Arial"/>
                <w:sz w:val="18"/>
                <w:szCs w:val="18"/>
              </w:rPr>
            </w:pPr>
            <w:r w:rsidRPr="002D67EB">
              <w:rPr>
                <w:rFonts w:cs="Arial"/>
                <w:sz w:val="18"/>
                <w:szCs w:val="18"/>
              </w:rPr>
              <w:t xml:space="preserve">Audit, Finance </w:t>
            </w:r>
            <w:r w:rsidR="00A07FE0">
              <w:rPr>
                <w:rFonts w:cs="Arial"/>
                <w:sz w:val="18"/>
                <w:szCs w:val="18"/>
              </w:rPr>
              <w:t>and</w:t>
            </w:r>
            <w:r w:rsidRPr="002D67EB">
              <w:rPr>
                <w:rFonts w:cs="Arial"/>
                <w:sz w:val="18"/>
                <w:szCs w:val="18"/>
              </w:rPr>
              <w:t xml:space="preserve"> Business Risk Committee, Vision Australia Trust Board</w:t>
            </w:r>
          </w:p>
        </w:tc>
      </w:tr>
      <w:tr w:rsidR="00342B48" w:rsidRPr="002D67EB" w14:paraId="5EA730D5" w14:textId="77777777" w:rsidTr="00AF4CFC">
        <w:tc>
          <w:tcPr>
            <w:tcW w:w="2552" w:type="dxa"/>
            <w:shd w:val="clear" w:color="auto" w:fill="auto"/>
          </w:tcPr>
          <w:p w14:paraId="5EA730D2" w14:textId="43D70679" w:rsidR="00342B48" w:rsidRPr="002D67EB" w:rsidRDefault="00342B48" w:rsidP="00B31B64">
            <w:pPr>
              <w:rPr>
                <w:rFonts w:cs="Arial"/>
                <w:sz w:val="18"/>
                <w:szCs w:val="18"/>
              </w:rPr>
            </w:pPr>
            <w:r w:rsidRPr="002D67EB">
              <w:rPr>
                <w:rFonts w:cs="Arial"/>
                <w:sz w:val="18"/>
                <w:szCs w:val="18"/>
              </w:rPr>
              <w:t>Theresa Smith-Ruig, PhD, B Com (Hons)</w:t>
            </w:r>
            <w:r w:rsidR="006B3046">
              <w:rPr>
                <w:rFonts w:cs="Arial"/>
                <w:sz w:val="18"/>
                <w:szCs w:val="18"/>
              </w:rPr>
              <w:t>, Deputy Chair</w:t>
            </w:r>
          </w:p>
        </w:tc>
        <w:tc>
          <w:tcPr>
            <w:tcW w:w="3118" w:type="dxa"/>
            <w:shd w:val="clear" w:color="auto" w:fill="auto"/>
          </w:tcPr>
          <w:p w14:paraId="5EA730D3" w14:textId="77777777" w:rsidR="00342B48" w:rsidRPr="002D67EB" w:rsidRDefault="00CF3F3A" w:rsidP="00B31B64">
            <w:pPr>
              <w:rPr>
                <w:rFonts w:cs="Arial"/>
                <w:sz w:val="18"/>
                <w:szCs w:val="18"/>
              </w:rPr>
            </w:pPr>
            <w:r>
              <w:rPr>
                <w:rFonts w:cs="Arial"/>
                <w:sz w:val="18"/>
                <w:szCs w:val="18"/>
              </w:rPr>
              <w:t xml:space="preserve">Senior </w:t>
            </w:r>
            <w:r w:rsidR="00342B48" w:rsidRPr="002D67EB">
              <w:rPr>
                <w:rFonts w:cs="Arial"/>
                <w:sz w:val="18"/>
                <w:szCs w:val="18"/>
              </w:rPr>
              <w:t>Lecturer</w:t>
            </w:r>
          </w:p>
        </w:tc>
        <w:tc>
          <w:tcPr>
            <w:tcW w:w="3969" w:type="dxa"/>
            <w:shd w:val="clear" w:color="auto" w:fill="auto"/>
          </w:tcPr>
          <w:p w14:paraId="5EA730D4" w14:textId="16E7C8A5" w:rsidR="00342B48" w:rsidRPr="002D67EB" w:rsidRDefault="00687578" w:rsidP="00B31B64">
            <w:pPr>
              <w:rPr>
                <w:rFonts w:cs="Arial"/>
                <w:sz w:val="18"/>
                <w:szCs w:val="18"/>
              </w:rPr>
            </w:pPr>
            <w:r>
              <w:rPr>
                <w:rFonts w:cs="Arial"/>
                <w:sz w:val="18"/>
                <w:szCs w:val="18"/>
              </w:rPr>
              <w:t>People and</w:t>
            </w:r>
            <w:r w:rsidR="00CE6256">
              <w:rPr>
                <w:rFonts w:cs="Arial"/>
                <w:sz w:val="18"/>
                <w:szCs w:val="18"/>
              </w:rPr>
              <w:t xml:space="preserve"> Culture</w:t>
            </w:r>
            <w:r w:rsidR="00342B48" w:rsidRPr="002D67EB">
              <w:rPr>
                <w:rFonts w:cs="Arial"/>
                <w:sz w:val="18"/>
                <w:szCs w:val="18"/>
              </w:rPr>
              <w:t xml:space="preserve"> Committee </w:t>
            </w:r>
          </w:p>
        </w:tc>
      </w:tr>
      <w:tr w:rsidR="00FF1FBF" w:rsidRPr="002D67EB" w14:paraId="5EA730D9" w14:textId="77777777" w:rsidTr="00AF4CFC">
        <w:tc>
          <w:tcPr>
            <w:tcW w:w="2552" w:type="dxa"/>
            <w:shd w:val="clear" w:color="auto" w:fill="auto"/>
          </w:tcPr>
          <w:p w14:paraId="5EA730D6" w14:textId="77777777" w:rsidR="00FF1FBF" w:rsidRPr="002D67EB" w:rsidRDefault="00FF1FBF" w:rsidP="00DF1004">
            <w:pPr>
              <w:rPr>
                <w:rFonts w:cs="Arial"/>
                <w:sz w:val="18"/>
                <w:szCs w:val="18"/>
              </w:rPr>
            </w:pPr>
            <w:r w:rsidRPr="002D67EB">
              <w:rPr>
                <w:rFonts w:cs="Arial"/>
                <w:sz w:val="18"/>
                <w:szCs w:val="18"/>
              </w:rPr>
              <w:t>Caroline Waldron, LLB (Hons) London, FCIS, MAICD</w:t>
            </w:r>
          </w:p>
        </w:tc>
        <w:tc>
          <w:tcPr>
            <w:tcW w:w="3118" w:type="dxa"/>
            <w:shd w:val="clear" w:color="auto" w:fill="auto"/>
          </w:tcPr>
          <w:p w14:paraId="5EA730D7" w14:textId="77777777" w:rsidR="00FF1FBF" w:rsidRPr="002D67EB" w:rsidRDefault="00FF1FBF" w:rsidP="00B31B64">
            <w:pPr>
              <w:rPr>
                <w:rFonts w:cs="Arial"/>
                <w:sz w:val="18"/>
                <w:szCs w:val="18"/>
              </w:rPr>
            </w:pPr>
            <w:r w:rsidRPr="002D67EB">
              <w:rPr>
                <w:rFonts w:cs="Arial"/>
                <w:sz w:val="18"/>
                <w:szCs w:val="18"/>
              </w:rPr>
              <w:t>Senior Professional with legal and commercial experience in technology, retail, healthcare and professional services sectors</w:t>
            </w:r>
          </w:p>
        </w:tc>
        <w:tc>
          <w:tcPr>
            <w:tcW w:w="3969" w:type="dxa"/>
            <w:shd w:val="clear" w:color="auto" w:fill="auto"/>
          </w:tcPr>
          <w:p w14:paraId="5EA730D8" w14:textId="77777777" w:rsidR="00FF1FBF" w:rsidRPr="002D67EB" w:rsidRDefault="00FF1FBF" w:rsidP="00B31B64">
            <w:pPr>
              <w:rPr>
                <w:rFonts w:cs="Arial"/>
                <w:sz w:val="18"/>
                <w:szCs w:val="18"/>
              </w:rPr>
            </w:pPr>
            <w:r w:rsidRPr="002D67EB">
              <w:rPr>
                <w:rFonts w:cs="Arial"/>
                <w:sz w:val="18"/>
                <w:szCs w:val="18"/>
              </w:rPr>
              <w:t>Client Services Committee</w:t>
            </w:r>
          </w:p>
        </w:tc>
      </w:tr>
      <w:tr w:rsidR="00FF1FBF" w:rsidRPr="002D67EB" w14:paraId="5EA730E1" w14:textId="77777777" w:rsidTr="00AF4CFC">
        <w:tc>
          <w:tcPr>
            <w:tcW w:w="2552" w:type="dxa"/>
            <w:shd w:val="clear" w:color="auto" w:fill="auto"/>
          </w:tcPr>
          <w:p w14:paraId="5EA730DA" w14:textId="77777777" w:rsidR="00FF1FBF" w:rsidRPr="002D67EB" w:rsidRDefault="00FF1FBF" w:rsidP="00DF1004">
            <w:pPr>
              <w:rPr>
                <w:rFonts w:cs="Arial"/>
                <w:sz w:val="18"/>
                <w:szCs w:val="18"/>
              </w:rPr>
            </w:pPr>
            <w:r w:rsidRPr="002D67EB">
              <w:rPr>
                <w:rFonts w:cs="Arial"/>
                <w:sz w:val="18"/>
                <w:szCs w:val="18"/>
              </w:rPr>
              <w:t>Sara Watts, BSc, MBA, FCPA, GAICD</w:t>
            </w:r>
            <w:r w:rsidR="0090666A">
              <w:rPr>
                <w:rFonts w:cs="Arial"/>
                <w:sz w:val="18"/>
                <w:szCs w:val="18"/>
              </w:rPr>
              <w:t xml:space="preserve"> </w:t>
            </w:r>
          </w:p>
        </w:tc>
        <w:tc>
          <w:tcPr>
            <w:tcW w:w="3118" w:type="dxa"/>
            <w:shd w:val="clear" w:color="auto" w:fill="auto"/>
          </w:tcPr>
          <w:p w14:paraId="5EA730DB" w14:textId="55091724" w:rsidR="00FF1FBF" w:rsidRPr="002D67EB" w:rsidRDefault="004D3CEC" w:rsidP="00B31B64">
            <w:pPr>
              <w:rPr>
                <w:rFonts w:cs="Arial"/>
                <w:sz w:val="18"/>
                <w:szCs w:val="18"/>
              </w:rPr>
            </w:pPr>
            <w:r>
              <w:rPr>
                <w:rFonts w:cs="Arial"/>
                <w:sz w:val="18"/>
                <w:szCs w:val="18"/>
              </w:rPr>
              <w:t xml:space="preserve">Vice-Principal (Operations), University of </w:t>
            </w:r>
            <w:proofErr w:type="spellStart"/>
            <w:r>
              <w:rPr>
                <w:rFonts w:cs="Arial"/>
                <w:sz w:val="18"/>
                <w:szCs w:val="18"/>
              </w:rPr>
              <w:t>Sy</w:t>
            </w:r>
            <w:r w:rsidR="006359AE">
              <w:rPr>
                <w:rFonts w:cs="Arial"/>
                <w:sz w:val="18"/>
                <w:szCs w:val="18"/>
              </w:rPr>
              <w:t>dne</w:t>
            </w:r>
            <w:r w:rsidR="00687578">
              <w:rPr>
                <w:rFonts w:cs="Arial"/>
                <w:sz w:val="18"/>
                <w:szCs w:val="18"/>
              </w:rPr>
              <w:t>,</w:t>
            </w:r>
            <w:r w:rsidR="006359AE">
              <w:rPr>
                <w:rFonts w:cs="Arial"/>
                <w:sz w:val="18"/>
                <w:szCs w:val="18"/>
              </w:rPr>
              <w:t>y</w:t>
            </w:r>
            <w:proofErr w:type="spellEnd"/>
          </w:p>
          <w:p w14:paraId="5EA730DC" w14:textId="58C99891" w:rsidR="00444140" w:rsidRPr="002D67EB" w:rsidRDefault="00444140" w:rsidP="00687578">
            <w:pPr>
              <w:rPr>
                <w:rFonts w:cs="Arial"/>
                <w:sz w:val="18"/>
                <w:szCs w:val="18"/>
              </w:rPr>
            </w:pPr>
            <w:r w:rsidRPr="00740A1A">
              <w:rPr>
                <w:rFonts w:cs="Arial"/>
                <w:sz w:val="18"/>
                <w:szCs w:val="18"/>
              </w:rPr>
              <w:t>Chair Audit Committee - Victorian Auditor General's Office</w:t>
            </w:r>
          </w:p>
        </w:tc>
        <w:tc>
          <w:tcPr>
            <w:tcW w:w="3969" w:type="dxa"/>
            <w:shd w:val="clear" w:color="auto" w:fill="auto"/>
          </w:tcPr>
          <w:p w14:paraId="5EA730DD" w14:textId="77777777" w:rsidR="00FF1FBF" w:rsidRPr="002D67EB" w:rsidRDefault="00FF1FBF" w:rsidP="00B31B64">
            <w:pPr>
              <w:rPr>
                <w:rFonts w:cs="Arial"/>
                <w:sz w:val="18"/>
                <w:szCs w:val="18"/>
              </w:rPr>
            </w:pPr>
            <w:r w:rsidRPr="002D67EB">
              <w:rPr>
                <w:rFonts w:cs="Arial"/>
                <w:sz w:val="18"/>
                <w:szCs w:val="18"/>
              </w:rPr>
              <w:t xml:space="preserve">Vision Australia Trust Board </w:t>
            </w:r>
          </w:p>
          <w:p w14:paraId="5EA730DE" w14:textId="0CD7BE44" w:rsidR="00FF1FBF" w:rsidRDefault="00FF1FBF" w:rsidP="00B31B64">
            <w:pPr>
              <w:rPr>
                <w:rFonts w:cs="Arial"/>
                <w:sz w:val="18"/>
                <w:szCs w:val="18"/>
              </w:rPr>
            </w:pPr>
            <w:r w:rsidRPr="002D67EB">
              <w:rPr>
                <w:rFonts w:cs="Arial"/>
                <w:sz w:val="18"/>
                <w:szCs w:val="18"/>
              </w:rPr>
              <w:t xml:space="preserve">Audit, Finance </w:t>
            </w:r>
            <w:r w:rsidR="00A07FE0">
              <w:rPr>
                <w:rFonts w:cs="Arial"/>
                <w:sz w:val="18"/>
                <w:szCs w:val="18"/>
              </w:rPr>
              <w:t>and</w:t>
            </w:r>
            <w:r w:rsidRPr="002D67EB">
              <w:rPr>
                <w:rFonts w:cs="Arial"/>
                <w:sz w:val="18"/>
                <w:szCs w:val="18"/>
              </w:rPr>
              <w:t xml:space="preserve"> Business Risk Committee</w:t>
            </w:r>
          </w:p>
          <w:p w14:paraId="5EA730DF" w14:textId="77777777" w:rsidR="000073B8" w:rsidRPr="002D67EB" w:rsidRDefault="000073B8" w:rsidP="00B31B64">
            <w:pPr>
              <w:rPr>
                <w:rFonts w:cs="Arial"/>
                <w:sz w:val="18"/>
                <w:szCs w:val="18"/>
              </w:rPr>
            </w:pPr>
            <w:r>
              <w:rPr>
                <w:rFonts w:cs="Arial"/>
                <w:sz w:val="18"/>
                <w:szCs w:val="18"/>
              </w:rPr>
              <w:t>Strategic Program Committee</w:t>
            </w:r>
          </w:p>
          <w:p w14:paraId="5EA730E0" w14:textId="77777777" w:rsidR="00FF1FBF" w:rsidRPr="002D67EB" w:rsidRDefault="00FF1FBF" w:rsidP="00B31B64">
            <w:pPr>
              <w:rPr>
                <w:rFonts w:cs="Arial"/>
                <w:sz w:val="18"/>
                <w:szCs w:val="18"/>
              </w:rPr>
            </w:pPr>
          </w:p>
        </w:tc>
      </w:tr>
      <w:tr w:rsidR="00FF1FBF" w:rsidRPr="002D67EB" w14:paraId="5EA730E7" w14:textId="77777777" w:rsidTr="00AF4CFC">
        <w:trPr>
          <w:trHeight w:val="584"/>
        </w:trPr>
        <w:tc>
          <w:tcPr>
            <w:tcW w:w="2552" w:type="dxa"/>
            <w:shd w:val="clear" w:color="auto" w:fill="auto"/>
          </w:tcPr>
          <w:p w14:paraId="5EA730E2" w14:textId="77777777" w:rsidR="00FF1FBF" w:rsidRPr="002D67EB" w:rsidRDefault="00FF1FBF" w:rsidP="00DF1004">
            <w:pPr>
              <w:rPr>
                <w:rFonts w:cs="Arial"/>
                <w:sz w:val="18"/>
                <w:szCs w:val="18"/>
              </w:rPr>
            </w:pPr>
            <w:r w:rsidRPr="002D67EB">
              <w:rPr>
                <w:rFonts w:cs="Arial"/>
                <w:sz w:val="18"/>
                <w:szCs w:val="18"/>
              </w:rPr>
              <w:t xml:space="preserve">Heith Mackay-Cruise, </w:t>
            </w:r>
            <w:proofErr w:type="spellStart"/>
            <w:r w:rsidRPr="002D67EB">
              <w:rPr>
                <w:rFonts w:cs="Arial"/>
                <w:sz w:val="18"/>
                <w:szCs w:val="18"/>
              </w:rPr>
              <w:t>BEc</w:t>
            </w:r>
            <w:proofErr w:type="spellEnd"/>
            <w:r w:rsidRPr="002D67EB">
              <w:rPr>
                <w:rFonts w:cs="Arial"/>
                <w:sz w:val="18"/>
                <w:szCs w:val="18"/>
              </w:rPr>
              <w:t>, GAICD</w:t>
            </w:r>
          </w:p>
        </w:tc>
        <w:tc>
          <w:tcPr>
            <w:tcW w:w="3118" w:type="dxa"/>
            <w:shd w:val="clear" w:color="auto" w:fill="auto"/>
          </w:tcPr>
          <w:p w14:paraId="5EA730E3" w14:textId="51C25E18" w:rsidR="00FF1FBF" w:rsidRPr="002D67EB" w:rsidRDefault="00FF1FBF" w:rsidP="00B31B64">
            <w:pPr>
              <w:rPr>
                <w:rFonts w:cs="Arial"/>
                <w:sz w:val="18"/>
                <w:szCs w:val="18"/>
              </w:rPr>
            </w:pPr>
            <w:r w:rsidRPr="002D67EB">
              <w:rPr>
                <w:rFonts w:cs="Arial"/>
                <w:sz w:val="18"/>
                <w:szCs w:val="18"/>
              </w:rPr>
              <w:t xml:space="preserve">Professional </w:t>
            </w:r>
            <w:r w:rsidR="006B3046">
              <w:rPr>
                <w:rFonts w:cs="Arial"/>
                <w:sz w:val="18"/>
                <w:szCs w:val="18"/>
              </w:rPr>
              <w:t>Director</w:t>
            </w:r>
          </w:p>
          <w:p w14:paraId="5EA730E4" w14:textId="2AD2043C" w:rsidR="00FF1FBF" w:rsidRPr="002D67EB" w:rsidRDefault="00FF1FBF" w:rsidP="00B31B64">
            <w:pPr>
              <w:rPr>
                <w:rFonts w:cs="Arial"/>
                <w:sz w:val="18"/>
                <w:szCs w:val="18"/>
                <w:highlight w:val="green"/>
              </w:rPr>
            </w:pPr>
            <w:proofErr w:type="spellStart"/>
            <w:r w:rsidRPr="002D67EB">
              <w:rPr>
                <w:rFonts w:cs="Arial"/>
                <w:sz w:val="18"/>
                <w:szCs w:val="18"/>
              </w:rPr>
              <w:t>Non Executive</w:t>
            </w:r>
            <w:proofErr w:type="spellEnd"/>
            <w:r w:rsidRPr="002D67EB">
              <w:rPr>
                <w:rFonts w:cs="Arial"/>
                <w:sz w:val="18"/>
                <w:szCs w:val="18"/>
              </w:rPr>
              <w:t xml:space="preserve"> Director, </w:t>
            </w:r>
            <w:proofErr w:type="spellStart"/>
            <w:r w:rsidRPr="002D67EB">
              <w:rPr>
                <w:rFonts w:cs="Arial"/>
                <w:sz w:val="18"/>
                <w:szCs w:val="18"/>
              </w:rPr>
              <w:t>Intrepica</w:t>
            </w:r>
            <w:proofErr w:type="spellEnd"/>
            <w:r w:rsidRPr="002D67EB">
              <w:rPr>
                <w:rFonts w:cs="Arial"/>
                <w:sz w:val="18"/>
                <w:szCs w:val="18"/>
              </w:rPr>
              <w:t xml:space="preserve"> Pty Ltd</w:t>
            </w:r>
            <w:r w:rsidR="006B3046">
              <w:rPr>
                <w:rFonts w:cs="Arial"/>
                <w:sz w:val="18"/>
                <w:szCs w:val="18"/>
              </w:rPr>
              <w:t xml:space="preserve">, </w:t>
            </w:r>
            <w:proofErr w:type="spellStart"/>
            <w:r w:rsidR="006B3046">
              <w:rPr>
                <w:rFonts w:cs="Arial"/>
                <w:sz w:val="18"/>
                <w:szCs w:val="18"/>
              </w:rPr>
              <w:t>Bailad</w:t>
            </w:r>
            <w:r w:rsidR="00027975">
              <w:rPr>
                <w:rFonts w:cs="Arial"/>
                <w:sz w:val="18"/>
                <w:szCs w:val="18"/>
              </w:rPr>
              <w:t>or</w:t>
            </w:r>
            <w:proofErr w:type="spellEnd"/>
            <w:r w:rsidR="00027975">
              <w:rPr>
                <w:rFonts w:cs="Arial"/>
                <w:sz w:val="18"/>
                <w:szCs w:val="18"/>
              </w:rPr>
              <w:t xml:space="preserve"> Technology Investments Ltd, </w:t>
            </w:r>
            <w:proofErr w:type="spellStart"/>
            <w:r w:rsidR="00027975">
              <w:rPr>
                <w:rFonts w:cs="Arial"/>
                <w:sz w:val="18"/>
                <w:szCs w:val="18"/>
              </w:rPr>
              <w:t>h</w:t>
            </w:r>
            <w:r w:rsidR="006B3046">
              <w:rPr>
                <w:rFonts w:cs="Arial"/>
                <w:sz w:val="18"/>
                <w:szCs w:val="18"/>
              </w:rPr>
              <w:t>ipages</w:t>
            </w:r>
            <w:proofErr w:type="spellEnd"/>
            <w:r w:rsidR="006B3046">
              <w:rPr>
                <w:rFonts w:cs="Arial"/>
                <w:sz w:val="18"/>
                <w:szCs w:val="18"/>
              </w:rPr>
              <w:t xml:space="preserve"> Group Pty Ltd</w:t>
            </w:r>
          </w:p>
        </w:tc>
        <w:tc>
          <w:tcPr>
            <w:tcW w:w="3969" w:type="dxa"/>
            <w:shd w:val="clear" w:color="auto" w:fill="auto"/>
          </w:tcPr>
          <w:p w14:paraId="5EA730E5" w14:textId="77777777" w:rsidR="00FF1FBF" w:rsidRPr="002D67EB" w:rsidRDefault="00FF1FBF" w:rsidP="00B31B64">
            <w:pPr>
              <w:rPr>
                <w:rFonts w:cs="Arial"/>
                <w:sz w:val="18"/>
                <w:szCs w:val="18"/>
              </w:rPr>
            </w:pPr>
            <w:r w:rsidRPr="002D67EB">
              <w:rPr>
                <w:rFonts w:cs="Arial"/>
                <w:sz w:val="18"/>
                <w:szCs w:val="18"/>
              </w:rPr>
              <w:t>Strategic Program Committee</w:t>
            </w:r>
          </w:p>
          <w:p w14:paraId="6175724C" w14:textId="5C2DB39C" w:rsidR="00FF1FBF" w:rsidRDefault="00687578" w:rsidP="00B31B64">
            <w:pPr>
              <w:rPr>
                <w:rFonts w:cs="Arial"/>
                <w:sz w:val="18"/>
                <w:szCs w:val="18"/>
              </w:rPr>
            </w:pPr>
            <w:r>
              <w:rPr>
                <w:rFonts w:cs="Arial"/>
                <w:sz w:val="18"/>
                <w:szCs w:val="18"/>
              </w:rPr>
              <w:t>People and</w:t>
            </w:r>
            <w:r w:rsidR="00CE6256">
              <w:rPr>
                <w:rFonts w:cs="Arial"/>
                <w:sz w:val="18"/>
                <w:szCs w:val="18"/>
              </w:rPr>
              <w:t xml:space="preserve"> Culture</w:t>
            </w:r>
            <w:r w:rsidR="00FF1FBF" w:rsidRPr="002D67EB">
              <w:rPr>
                <w:rFonts w:cs="Arial"/>
                <w:sz w:val="18"/>
                <w:szCs w:val="18"/>
              </w:rPr>
              <w:t xml:space="preserve"> Committee</w:t>
            </w:r>
          </w:p>
          <w:p w14:paraId="42CC45B3" w14:textId="77777777" w:rsidR="00027975" w:rsidRPr="002D67EB" w:rsidRDefault="00027975" w:rsidP="00027975">
            <w:pPr>
              <w:rPr>
                <w:rFonts w:cs="Arial"/>
                <w:sz w:val="18"/>
                <w:szCs w:val="18"/>
              </w:rPr>
            </w:pPr>
            <w:r w:rsidRPr="002D67EB">
              <w:rPr>
                <w:rFonts w:cs="Arial"/>
                <w:sz w:val="18"/>
                <w:szCs w:val="18"/>
              </w:rPr>
              <w:t>Property Committee</w:t>
            </w:r>
          </w:p>
          <w:p w14:paraId="5EA730E6" w14:textId="40B7360D" w:rsidR="00027975" w:rsidRPr="002D67EB" w:rsidRDefault="00027975" w:rsidP="00B31B64">
            <w:pPr>
              <w:rPr>
                <w:rFonts w:cs="Arial"/>
                <w:sz w:val="18"/>
                <w:szCs w:val="18"/>
              </w:rPr>
            </w:pPr>
          </w:p>
        </w:tc>
      </w:tr>
      <w:tr w:rsidR="003C1D23" w:rsidRPr="002D67EB" w14:paraId="5EA730EC" w14:textId="77777777" w:rsidTr="00AF4CFC">
        <w:tc>
          <w:tcPr>
            <w:tcW w:w="2552" w:type="dxa"/>
            <w:shd w:val="clear" w:color="auto" w:fill="auto"/>
          </w:tcPr>
          <w:p w14:paraId="5EA730E8" w14:textId="77777777" w:rsidR="004C097F" w:rsidRPr="002D67EB" w:rsidRDefault="003C1D23" w:rsidP="00DF1004">
            <w:pPr>
              <w:rPr>
                <w:rFonts w:cs="Arial"/>
                <w:sz w:val="18"/>
                <w:szCs w:val="18"/>
              </w:rPr>
            </w:pPr>
            <w:r w:rsidRPr="002D67EB">
              <w:rPr>
                <w:rFonts w:cs="Arial"/>
                <w:sz w:val="18"/>
                <w:szCs w:val="18"/>
              </w:rPr>
              <w:t>Bill Jolley</w:t>
            </w:r>
            <w:r w:rsidR="00D57F3D">
              <w:rPr>
                <w:rFonts w:cs="Arial"/>
                <w:sz w:val="18"/>
                <w:szCs w:val="18"/>
              </w:rPr>
              <w:t>,</w:t>
            </w:r>
            <w:r w:rsidR="003B001E">
              <w:rPr>
                <w:rFonts w:cs="Arial"/>
                <w:sz w:val="18"/>
                <w:szCs w:val="18"/>
              </w:rPr>
              <w:t xml:space="preserve"> BA Hons (Math and Statistics), MAICD</w:t>
            </w:r>
          </w:p>
        </w:tc>
        <w:tc>
          <w:tcPr>
            <w:tcW w:w="3118" w:type="dxa"/>
            <w:shd w:val="clear" w:color="auto" w:fill="auto"/>
          </w:tcPr>
          <w:p w14:paraId="5EA730E9" w14:textId="77777777" w:rsidR="003C1D23" w:rsidRDefault="004C097F" w:rsidP="001C1097">
            <w:pPr>
              <w:rPr>
                <w:rFonts w:cs="Arial"/>
                <w:sz w:val="18"/>
                <w:szCs w:val="18"/>
              </w:rPr>
            </w:pPr>
            <w:r>
              <w:rPr>
                <w:rFonts w:cs="Arial"/>
                <w:sz w:val="18"/>
                <w:szCs w:val="18"/>
              </w:rPr>
              <w:t xml:space="preserve">Retired Public Servant </w:t>
            </w:r>
          </w:p>
          <w:p w14:paraId="5EA730EA" w14:textId="77777777" w:rsidR="003B001E" w:rsidRPr="002D67EB" w:rsidRDefault="003B001E" w:rsidP="001C1097">
            <w:pPr>
              <w:rPr>
                <w:rFonts w:cs="Arial"/>
                <w:sz w:val="18"/>
                <w:szCs w:val="18"/>
              </w:rPr>
            </w:pPr>
          </w:p>
        </w:tc>
        <w:tc>
          <w:tcPr>
            <w:tcW w:w="3969" w:type="dxa"/>
            <w:shd w:val="clear" w:color="auto" w:fill="auto"/>
          </w:tcPr>
          <w:p w14:paraId="10492691" w14:textId="77777777" w:rsidR="003C1D23" w:rsidRDefault="002D67EB" w:rsidP="00A07FE0">
            <w:pPr>
              <w:rPr>
                <w:rFonts w:cs="Arial"/>
                <w:sz w:val="18"/>
                <w:szCs w:val="18"/>
              </w:rPr>
            </w:pPr>
            <w:r w:rsidRPr="002D67EB">
              <w:rPr>
                <w:rFonts w:cs="Arial"/>
                <w:sz w:val="18"/>
                <w:szCs w:val="18"/>
              </w:rPr>
              <w:t xml:space="preserve">Audit, Finance </w:t>
            </w:r>
            <w:r w:rsidR="00A07FE0">
              <w:rPr>
                <w:rFonts w:cs="Arial"/>
                <w:sz w:val="18"/>
                <w:szCs w:val="18"/>
              </w:rPr>
              <w:t>and</w:t>
            </w:r>
            <w:r w:rsidRPr="002D67EB">
              <w:rPr>
                <w:rFonts w:cs="Arial"/>
                <w:sz w:val="18"/>
                <w:szCs w:val="18"/>
              </w:rPr>
              <w:t xml:space="preserve"> Business Risk Committee</w:t>
            </w:r>
          </w:p>
          <w:p w14:paraId="16A11371" w14:textId="77777777" w:rsidR="00CE6256" w:rsidRDefault="00CE6256" w:rsidP="00A07FE0">
            <w:pPr>
              <w:rPr>
                <w:rFonts w:cs="Arial"/>
                <w:sz w:val="18"/>
                <w:szCs w:val="18"/>
              </w:rPr>
            </w:pPr>
            <w:r w:rsidRPr="002D67EB">
              <w:rPr>
                <w:rFonts w:cs="Arial"/>
                <w:sz w:val="18"/>
                <w:szCs w:val="18"/>
              </w:rPr>
              <w:t>Client Services Committee</w:t>
            </w:r>
          </w:p>
          <w:p w14:paraId="5EA730EB" w14:textId="3C73A660" w:rsidR="00CE6256" w:rsidRPr="002D67EB" w:rsidRDefault="00CE6256" w:rsidP="00A07FE0">
            <w:pPr>
              <w:rPr>
                <w:rFonts w:cs="Arial"/>
                <w:sz w:val="18"/>
                <w:szCs w:val="18"/>
              </w:rPr>
            </w:pPr>
          </w:p>
        </w:tc>
      </w:tr>
      <w:tr w:rsidR="009C1F5D" w:rsidRPr="002D67EB" w14:paraId="5EA730F1" w14:textId="77777777" w:rsidTr="00AF4CFC">
        <w:tc>
          <w:tcPr>
            <w:tcW w:w="2552" w:type="dxa"/>
            <w:shd w:val="clear" w:color="auto" w:fill="auto"/>
          </w:tcPr>
          <w:p w14:paraId="5EA730ED" w14:textId="77777777" w:rsidR="009C1F5D" w:rsidRPr="00F40174" w:rsidRDefault="0008282F" w:rsidP="001C1097">
            <w:pPr>
              <w:rPr>
                <w:rFonts w:cs="Arial"/>
                <w:sz w:val="18"/>
                <w:szCs w:val="18"/>
              </w:rPr>
            </w:pPr>
            <w:r w:rsidRPr="00F40174">
              <w:rPr>
                <w:rFonts w:cs="Arial"/>
                <w:sz w:val="18"/>
                <w:szCs w:val="18"/>
              </w:rPr>
              <w:t xml:space="preserve">Associate Professor Sharon Bentley </w:t>
            </w:r>
            <w:proofErr w:type="spellStart"/>
            <w:r w:rsidRPr="00F40174">
              <w:rPr>
                <w:rFonts w:cs="Arial"/>
                <w:sz w:val="18"/>
                <w:szCs w:val="18"/>
              </w:rPr>
              <w:t>BScOptom</w:t>
            </w:r>
            <w:proofErr w:type="spellEnd"/>
            <w:r w:rsidRPr="00F40174">
              <w:rPr>
                <w:rFonts w:cs="Arial"/>
                <w:sz w:val="18"/>
                <w:szCs w:val="18"/>
              </w:rPr>
              <w:t xml:space="preserve">, </w:t>
            </w:r>
            <w:proofErr w:type="spellStart"/>
            <w:r w:rsidRPr="00F40174">
              <w:rPr>
                <w:rFonts w:cs="Arial"/>
                <w:sz w:val="18"/>
                <w:szCs w:val="18"/>
              </w:rPr>
              <w:t>MOptom</w:t>
            </w:r>
            <w:proofErr w:type="spellEnd"/>
            <w:r w:rsidRPr="00F40174">
              <w:rPr>
                <w:rFonts w:cs="Arial"/>
                <w:sz w:val="18"/>
                <w:szCs w:val="18"/>
              </w:rPr>
              <w:t>, PhD, MPH, FAAO, FACO</w:t>
            </w:r>
          </w:p>
        </w:tc>
        <w:tc>
          <w:tcPr>
            <w:tcW w:w="3118" w:type="dxa"/>
            <w:shd w:val="clear" w:color="auto" w:fill="auto"/>
          </w:tcPr>
          <w:p w14:paraId="5EA730EE" w14:textId="77777777" w:rsidR="0008282F" w:rsidRPr="00F40174" w:rsidRDefault="0008282F" w:rsidP="001C1097">
            <w:pPr>
              <w:rPr>
                <w:rFonts w:cs="Arial"/>
                <w:sz w:val="18"/>
                <w:szCs w:val="18"/>
              </w:rPr>
            </w:pPr>
            <w:r w:rsidRPr="00F40174">
              <w:rPr>
                <w:rFonts w:cs="Arial"/>
                <w:sz w:val="18"/>
                <w:szCs w:val="18"/>
              </w:rPr>
              <w:t>Director of Clinical Services, Australian College of Optometry</w:t>
            </w:r>
          </w:p>
          <w:p w14:paraId="5EA730EF" w14:textId="77777777" w:rsidR="009C1F5D" w:rsidRPr="00F40174" w:rsidRDefault="0008282F" w:rsidP="0008282F">
            <w:pPr>
              <w:rPr>
                <w:rFonts w:cs="Arial"/>
                <w:sz w:val="18"/>
                <w:szCs w:val="18"/>
              </w:rPr>
            </w:pPr>
            <w:r w:rsidRPr="00F40174">
              <w:rPr>
                <w:rFonts w:cs="Arial"/>
                <w:sz w:val="18"/>
                <w:szCs w:val="18"/>
              </w:rPr>
              <w:t>Honorary Principal Fellow, University of Melbourne</w:t>
            </w:r>
          </w:p>
        </w:tc>
        <w:tc>
          <w:tcPr>
            <w:tcW w:w="3969" w:type="dxa"/>
            <w:shd w:val="clear" w:color="auto" w:fill="auto"/>
          </w:tcPr>
          <w:p w14:paraId="5EA730F0" w14:textId="77777777" w:rsidR="009C1F5D" w:rsidRPr="002D67EB" w:rsidRDefault="00F40174" w:rsidP="001C1097">
            <w:pPr>
              <w:rPr>
                <w:rFonts w:cs="Arial"/>
                <w:sz w:val="18"/>
                <w:szCs w:val="18"/>
              </w:rPr>
            </w:pPr>
            <w:r>
              <w:rPr>
                <w:rFonts w:cs="Arial"/>
                <w:sz w:val="18"/>
                <w:szCs w:val="18"/>
              </w:rPr>
              <w:t>Client Services Committee</w:t>
            </w:r>
          </w:p>
        </w:tc>
      </w:tr>
      <w:tr w:rsidR="00DF1004" w:rsidRPr="002D67EB" w14:paraId="5EA730F5" w14:textId="77777777" w:rsidTr="00AF4CFC">
        <w:tc>
          <w:tcPr>
            <w:tcW w:w="2552" w:type="dxa"/>
            <w:shd w:val="clear" w:color="auto" w:fill="auto"/>
          </w:tcPr>
          <w:p w14:paraId="5EA730F2" w14:textId="77777777" w:rsidR="00DF1004" w:rsidRPr="00F40174" w:rsidRDefault="00DF1004" w:rsidP="001C1097">
            <w:pPr>
              <w:rPr>
                <w:rFonts w:cs="Arial"/>
                <w:sz w:val="18"/>
                <w:szCs w:val="18"/>
              </w:rPr>
            </w:pPr>
            <w:r w:rsidRPr="00F40174">
              <w:rPr>
                <w:rFonts w:cs="Arial"/>
                <w:sz w:val="18"/>
                <w:szCs w:val="18"/>
              </w:rPr>
              <w:t xml:space="preserve">Professor Jan </w:t>
            </w:r>
            <w:proofErr w:type="spellStart"/>
            <w:r w:rsidRPr="00F40174">
              <w:rPr>
                <w:rFonts w:cs="Arial"/>
                <w:sz w:val="18"/>
                <w:szCs w:val="18"/>
              </w:rPr>
              <w:t>Lovie-Kitchin</w:t>
            </w:r>
            <w:proofErr w:type="spellEnd"/>
            <w:r w:rsidRPr="00F40174">
              <w:rPr>
                <w:rFonts w:cs="Arial"/>
                <w:sz w:val="18"/>
                <w:szCs w:val="18"/>
              </w:rPr>
              <w:t>, PhD (QUT), MSc (</w:t>
            </w:r>
            <w:proofErr w:type="spellStart"/>
            <w:r w:rsidRPr="00F40174">
              <w:rPr>
                <w:rFonts w:cs="Arial"/>
                <w:sz w:val="18"/>
                <w:szCs w:val="18"/>
              </w:rPr>
              <w:t>Optom</w:t>
            </w:r>
            <w:proofErr w:type="spellEnd"/>
            <w:r w:rsidRPr="00F40174">
              <w:rPr>
                <w:rFonts w:cs="Arial"/>
                <w:sz w:val="18"/>
                <w:szCs w:val="18"/>
              </w:rPr>
              <w:t>) (</w:t>
            </w:r>
            <w:proofErr w:type="spellStart"/>
            <w:r w:rsidRPr="00F40174">
              <w:rPr>
                <w:rFonts w:cs="Arial"/>
                <w:sz w:val="18"/>
                <w:szCs w:val="18"/>
              </w:rPr>
              <w:t>Melb</w:t>
            </w:r>
            <w:proofErr w:type="spellEnd"/>
            <w:r w:rsidRPr="00F40174">
              <w:rPr>
                <w:rFonts w:cs="Arial"/>
                <w:sz w:val="18"/>
                <w:szCs w:val="18"/>
              </w:rPr>
              <w:t>), Grad Dip (Rehab Stud) (La Trobe)</w:t>
            </w:r>
          </w:p>
        </w:tc>
        <w:tc>
          <w:tcPr>
            <w:tcW w:w="3118" w:type="dxa"/>
            <w:shd w:val="clear" w:color="auto" w:fill="auto"/>
          </w:tcPr>
          <w:p w14:paraId="5EA730F3" w14:textId="77777777" w:rsidR="00DF1004" w:rsidRPr="00F40174" w:rsidRDefault="00DF1004" w:rsidP="001C1097">
            <w:pPr>
              <w:rPr>
                <w:rFonts w:cs="Arial"/>
                <w:sz w:val="18"/>
                <w:szCs w:val="18"/>
              </w:rPr>
            </w:pPr>
            <w:r w:rsidRPr="00F40174">
              <w:rPr>
                <w:rFonts w:cs="Arial"/>
                <w:sz w:val="18"/>
                <w:szCs w:val="18"/>
              </w:rPr>
              <w:t>Adjunct Professor and Chair of the Queensland University of Technology Human Research Ethics Committee</w:t>
            </w:r>
          </w:p>
        </w:tc>
        <w:tc>
          <w:tcPr>
            <w:tcW w:w="3969" w:type="dxa"/>
            <w:shd w:val="clear" w:color="auto" w:fill="auto"/>
          </w:tcPr>
          <w:p w14:paraId="5EA730F4" w14:textId="77777777" w:rsidR="00DF1004" w:rsidRPr="002D67EB" w:rsidRDefault="00DF1004" w:rsidP="001C1097">
            <w:pPr>
              <w:rPr>
                <w:rFonts w:cs="Arial"/>
                <w:sz w:val="18"/>
                <w:szCs w:val="18"/>
              </w:rPr>
            </w:pPr>
            <w:r w:rsidRPr="002D67EB">
              <w:rPr>
                <w:rFonts w:cs="Arial"/>
                <w:sz w:val="18"/>
                <w:szCs w:val="18"/>
              </w:rPr>
              <w:t>Client Services Committee</w:t>
            </w:r>
          </w:p>
        </w:tc>
      </w:tr>
    </w:tbl>
    <w:p w14:paraId="5EA730F6" w14:textId="77777777" w:rsidR="0083670D" w:rsidRPr="00AF4CFC" w:rsidRDefault="0083670D" w:rsidP="00A7708C">
      <w:pPr>
        <w:rPr>
          <w:rFonts w:cs="Arial"/>
          <w:b/>
          <w:sz w:val="6"/>
          <w:szCs w:val="22"/>
          <w:highlight w:val="yellow"/>
        </w:rPr>
      </w:pPr>
    </w:p>
    <w:p w14:paraId="5EA730F7" w14:textId="77777777" w:rsidR="00DF1004" w:rsidRDefault="00DF1004" w:rsidP="00A7708C">
      <w:pPr>
        <w:rPr>
          <w:rFonts w:cs="Arial"/>
          <w:b/>
          <w:sz w:val="22"/>
          <w:szCs w:val="22"/>
        </w:rPr>
      </w:pPr>
    </w:p>
    <w:p w14:paraId="5EA730F8" w14:textId="77777777" w:rsidR="00F61A0C" w:rsidRPr="00431251" w:rsidRDefault="00F61A0C" w:rsidP="00431251">
      <w:pPr>
        <w:pStyle w:val="Heading2"/>
        <w:rPr>
          <w:sz w:val="22"/>
          <w:szCs w:val="22"/>
        </w:rPr>
      </w:pPr>
      <w:bookmarkStart w:id="52" w:name="_Toc430613005"/>
      <w:bookmarkStart w:id="53" w:name="_Toc430613311"/>
      <w:bookmarkStart w:id="54" w:name="_Toc430613682"/>
      <w:r w:rsidRPr="00431251">
        <w:rPr>
          <w:sz w:val="22"/>
          <w:szCs w:val="22"/>
        </w:rPr>
        <w:t>2. Company Secretary</w:t>
      </w:r>
      <w:bookmarkEnd w:id="52"/>
      <w:bookmarkEnd w:id="53"/>
      <w:bookmarkEnd w:id="54"/>
      <w:r w:rsidRPr="00431251">
        <w:rPr>
          <w:sz w:val="22"/>
          <w:szCs w:val="22"/>
        </w:rPr>
        <w:tab/>
      </w:r>
    </w:p>
    <w:p w14:paraId="5EA730F9" w14:textId="77777777" w:rsidR="00952541" w:rsidRPr="00EE5A6D" w:rsidRDefault="00F61A0C" w:rsidP="00F61A0C">
      <w:pPr>
        <w:rPr>
          <w:rFonts w:cs="Arial"/>
          <w:sz w:val="22"/>
          <w:szCs w:val="22"/>
        </w:rPr>
      </w:pPr>
      <w:r w:rsidRPr="00EE5A6D">
        <w:rPr>
          <w:rFonts w:cs="Arial"/>
          <w:sz w:val="22"/>
          <w:szCs w:val="22"/>
        </w:rPr>
        <w:t>David Speyer</w:t>
      </w:r>
      <w:r w:rsidR="00655D3C" w:rsidRPr="00EE5A6D">
        <w:rPr>
          <w:rFonts w:cs="Arial"/>
          <w:sz w:val="22"/>
          <w:szCs w:val="22"/>
        </w:rPr>
        <w:t>,</w:t>
      </w:r>
      <w:r w:rsidRPr="00EE5A6D">
        <w:rPr>
          <w:rFonts w:cs="Arial"/>
          <w:sz w:val="22"/>
          <w:szCs w:val="22"/>
        </w:rPr>
        <w:t xml:space="preserve"> ACA</w:t>
      </w:r>
    </w:p>
    <w:p w14:paraId="5EA730FA" w14:textId="77777777" w:rsidR="006E093E" w:rsidRPr="00EE5A6D" w:rsidRDefault="00952541" w:rsidP="00F61A0C">
      <w:pPr>
        <w:rPr>
          <w:rFonts w:cs="Arial"/>
          <w:b/>
          <w:sz w:val="22"/>
          <w:szCs w:val="22"/>
        </w:rPr>
        <w:sectPr w:rsidR="006E093E" w:rsidRPr="00EE5A6D" w:rsidSect="00817B70">
          <w:headerReference w:type="even" r:id="rId15"/>
          <w:headerReference w:type="default" r:id="rId16"/>
          <w:footerReference w:type="default" r:id="rId17"/>
          <w:pgSz w:w="11907" w:h="16840" w:code="9"/>
          <w:pgMar w:top="1276" w:right="1440" w:bottom="1276" w:left="1440" w:header="720" w:footer="720" w:gutter="0"/>
          <w:pgNumType w:start="0"/>
          <w:cols w:space="708"/>
          <w:titlePg/>
          <w:docGrid w:linePitch="360"/>
        </w:sectPr>
      </w:pPr>
      <w:r w:rsidRPr="00EE5A6D">
        <w:rPr>
          <w:rFonts w:cs="Arial"/>
          <w:sz w:val="22"/>
          <w:szCs w:val="22"/>
        </w:rPr>
        <w:t>Stephen Crook</w:t>
      </w:r>
      <w:r w:rsidR="001F57F5" w:rsidRPr="00EE5A6D">
        <w:rPr>
          <w:rFonts w:cs="Arial"/>
          <w:sz w:val="22"/>
          <w:szCs w:val="22"/>
        </w:rPr>
        <w:t>, CA</w:t>
      </w:r>
      <w:r w:rsidR="00B9401B">
        <w:rPr>
          <w:rFonts w:cs="Arial"/>
          <w:sz w:val="22"/>
          <w:szCs w:val="22"/>
        </w:rPr>
        <w:t>, A</w:t>
      </w:r>
      <w:r w:rsidR="009C1F5D">
        <w:rPr>
          <w:rFonts w:cs="Arial"/>
          <w:sz w:val="22"/>
          <w:szCs w:val="22"/>
        </w:rPr>
        <w:t>GIA</w:t>
      </w:r>
      <w:r w:rsidR="00265A94" w:rsidRPr="00EE5A6D">
        <w:rPr>
          <w:rFonts w:cs="Arial"/>
          <w:sz w:val="22"/>
          <w:szCs w:val="22"/>
        </w:rPr>
        <w:t xml:space="preserve"> </w:t>
      </w:r>
    </w:p>
    <w:p w14:paraId="5EA730FB" w14:textId="77777777" w:rsidR="00EB1EC9" w:rsidRPr="00431251" w:rsidRDefault="00EB1EC9" w:rsidP="00431251">
      <w:pPr>
        <w:pStyle w:val="Heading2"/>
        <w:rPr>
          <w:sz w:val="22"/>
          <w:szCs w:val="22"/>
        </w:rPr>
      </w:pPr>
      <w:bookmarkStart w:id="55" w:name="_Toc430613006"/>
      <w:bookmarkStart w:id="56" w:name="_Toc430613312"/>
      <w:bookmarkStart w:id="57" w:name="_Toc430613683"/>
      <w:r w:rsidRPr="00431251">
        <w:rPr>
          <w:sz w:val="22"/>
          <w:szCs w:val="22"/>
        </w:rPr>
        <w:lastRenderedPageBreak/>
        <w:t>3. Directors’ meetings</w:t>
      </w:r>
      <w:bookmarkEnd w:id="55"/>
      <w:bookmarkEnd w:id="56"/>
      <w:bookmarkEnd w:id="57"/>
      <w:r w:rsidRPr="00431251">
        <w:rPr>
          <w:sz w:val="22"/>
          <w:szCs w:val="22"/>
        </w:rPr>
        <w:t xml:space="preserve"> </w:t>
      </w:r>
    </w:p>
    <w:p w14:paraId="5EA730FC" w14:textId="77777777" w:rsidR="00EB1EC9" w:rsidRPr="00EE5A6D" w:rsidRDefault="00EB1EC9" w:rsidP="00EB1EC9">
      <w:pPr>
        <w:rPr>
          <w:rFonts w:cs="Arial"/>
          <w:sz w:val="8"/>
          <w:szCs w:val="22"/>
        </w:rPr>
      </w:pPr>
    </w:p>
    <w:p w14:paraId="5EA730FD" w14:textId="4A51EC20" w:rsidR="00DD74F1" w:rsidRDefault="00EB1EC9" w:rsidP="00BA20A2">
      <w:pPr>
        <w:rPr>
          <w:rFonts w:cs="Arial"/>
          <w:sz w:val="22"/>
          <w:szCs w:val="22"/>
        </w:rPr>
      </w:pPr>
      <w:r w:rsidRPr="00EE5A6D">
        <w:rPr>
          <w:rFonts w:cs="Arial"/>
          <w:sz w:val="22"/>
          <w:szCs w:val="22"/>
        </w:rPr>
        <w:t xml:space="preserve">The following table sets out the </w:t>
      </w:r>
      <w:r w:rsidRPr="00F40174">
        <w:rPr>
          <w:rFonts w:cs="Arial"/>
          <w:sz w:val="22"/>
          <w:szCs w:val="22"/>
        </w:rPr>
        <w:t xml:space="preserve">number of </w:t>
      </w:r>
      <w:r w:rsidR="005F6A65" w:rsidRPr="00F40174">
        <w:rPr>
          <w:rFonts w:cs="Arial"/>
          <w:sz w:val="22"/>
          <w:szCs w:val="22"/>
        </w:rPr>
        <w:t>D</w:t>
      </w:r>
      <w:r w:rsidRPr="00F40174">
        <w:rPr>
          <w:rFonts w:cs="Arial"/>
          <w:sz w:val="22"/>
          <w:szCs w:val="22"/>
        </w:rPr>
        <w:t xml:space="preserve">irectors’ meetings held during the financial year and the number of meetings attended by each director (while they were a director). During the financial year there were </w:t>
      </w:r>
      <w:r w:rsidR="00F40174" w:rsidRPr="00F40174">
        <w:rPr>
          <w:rFonts w:cs="Arial"/>
          <w:sz w:val="22"/>
          <w:szCs w:val="22"/>
        </w:rPr>
        <w:t>six</w:t>
      </w:r>
      <w:r w:rsidRPr="00F40174">
        <w:rPr>
          <w:rFonts w:cs="Arial"/>
          <w:sz w:val="22"/>
          <w:szCs w:val="22"/>
        </w:rPr>
        <w:t xml:space="preserve"> Board meetings, </w:t>
      </w:r>
      <w:r w:rsidR="00655D3C" w:rsidRPr="00F40174">
        <w:rPr>
          <w:rFonts w:cs="Arial"/>
          <w:sz w:val="22"/>
          <w:szCs w:val="22"/>
        </w:rPr>
        <w:t>eight</w:t>
      </w:r>
      <w:r w:rsidRPr="00F40174">
        <w:rPr>
          <w:rFonts w:cs="Arial"/>
          <w:sz w:val="22"/>
          <w:szCs w:val="22"/>
        </w:rPr>
        <w:t xml:space="preserve"> Audit</w:t>
      </w:r>
      <w:r w:rsidR="008E4F55">
        <w:rPr>
          <w:rFonts w:cs="Arial"/>
          <w:sz w:val="22"/>
          <w:szCs w:val="22"/>
        </w:rPr>
        <w:t>,</w:t>
      </w:r>
      <w:r w:rsidRPr="00F40174">
        <w:rPr>
          <w:rFonts w:cs="Arial"/>
          <w:sz w:val="22"/>
          <w:szCs w:val="22"/>
        </w:rPr>
        <w:t xml:space="preserve"> Finance and Business Risk Committee meetings, </w:t>
      </w:r>
      <w:r w:rsidR="00247C73" w:rsidRPr="00F40174">
        <w:rPr>
          <w:rFonts w:cs="Arial"/>
          <w:sz w:val="22"/>
          <w:szCs w:val="22"/>
        </w:rPr>
        <w:t>six</w:t>
      </w:r>
      <w:r w:rsidR="00AE340A" w:rsidRPr="00F40174">
        <w:rPr>
          <w:rFonts w:cs="Arial"/>
          <w:sz w:val="22"/>
          <w:szCs w:val="22"/>
        </w:rPr>
        <w:t xml:space="preserve"> </w:t>
      </w:r>
      <w:r w:rsidRPr="00F40174">
        <w:rPr>
          <w:rFonts w:cs="Arial"/>
          <w:sz w:val="22"/>
          <w:szCs w:val="22"/>
        </w:rPr>
        <w:t xml:space="preserve">Property Committee meetings, </w:t>
      </w:r>
      <w:r w:rsidR="00F40174" w:rsidRPr="00F40174">
        <w:rPr>
          <w:rFonts w:cs="Arial"/>
          <w:sz w:val="22"/>
          <w:szCs w:val="22"/>
        </w:rPr>
        <w:t>four</w:t>
      </w:r>
      <w:r w:rsidR="00AE340A" w:rsidRPr="00F40174">
        <w:rPr>
          <w:rFonts w:cs="Arial"/>
          <w:sz w:val="22"/>
          <w:szCs w:val="22"/>
        </w:rPr>
        <w:t xml:space="preserve"> </w:t>
      </w:r>
      <w:r w:rsidR="00F32D06">
        <w:rPr>
          <w:rFonts w:cs="Arial"/>
          <w:sz w:val="22"/>
          <w:szCs w:val="22"/>
        </w:rPr>
        <w:t>People and Culture</w:t>
      </w:r>
      <w:r w:rsidRPr="00F40174">
        <w:rPr>
          <w:rFonts w:cs="Arial"/>
          <w:sz w:val="22"/>
          <w:szCs w:val="22"/>
        </w:rPr>
        <w:t xml:space="preserve"> Committee meetings, </w:t>
      </w:r>
      <w:r w:rsidR="00AE340A" w:rsidRPr="00F40174">
        <w:rPr>
          <w:rFonts w:cs="Arial"/>
          <w:sz w:val="22"/>
          <w:szCs w:val="22"/>
        </w:rPr>
        <w:t xml:space="preserve">four </w:t>
      </w:r>
      <w:r w:rsidRPr="00F40174">
        <w:rPr>
          <w:rFonts w:cs="Arial"/>
          <w:sz w:val="22"/>
          <w:szCs w:val="22"/>
        </w:rPr>
        <w:t xml:space="preserve">Client Service Committee meetings, </w:t>
      </w:r>
      <w:proofErr w:type="gramStart"/>
      <w:r w:rsidR="00F40174" w:rsidRPr="00F40174">
        <w:rPr>
          <w:rFonts w:cs="Arial"/>
          <w:sz w:val="22"/>
          <w:szCs w:val="22"/>
        </w:rPr>
        <w:t>six</w:t>
      </w:r>
      <w:r w:rsidR="00AE340A" w:rsidRPr="00F40174">
        <w:rPr>
          <w:rFonts w:cs="Arial"/>
          <w:sz w:val="22"/>
          <w:szCs w:val="22"/>
        </w:rPr>
        <w:t xml:space="preserve"> </w:t>
      </w:r>
      <w:r w:rsidRPr="00F40174">
        <w:rPr>
          <w:rFonts w:cs="Arial"/>
          <w:sz w:val="22"/>
          <w:szCs w:val="22"/>
        </w:rPr>
        <w:t>Board Development</w:t>
      </w:r>
      <w:proofErr w:type="gramEnd"/>
      <w:r w:rsidRPr="00F40174">
        <w:rPr>
          <w:rFonts w:cs="Arial"/>
          <w:sz w:val="22"/>
          <w:szCs w:val="22"/>
        </w:rPr>
        <w:t xml:space="preserve"> </w:t>
      </w:r>
      <w:r w:rsidR="00CD3922">
        <w:rPr>
          <w:rFonts w:cs="Arial"/>
          <w:sz w:val="22"/>
          <w:szCs w:val="22"/>
        </w:rPr>
        <w:t xml:space="preserve">and Nominations </w:t>
      </w:r>
      <w:r w:rsidRPr="00F40174">
        <w:rPr>
          <w:rFonts w:cs="Arial"/>
          <w:sz w:val="22"/>
          <w:szCs w:val="22"/>
        </w:rPr>
        <w:t>Committee meeting</w:t>
      </w:r>
      <w:r w:rsidR="00710F0F" w:rsidRPr="00F40174">
        <w:rPr>
          <w:rFonts w:cs="Arial"/>
          <w:sz w:val="22"/>
          <w:szCs w:val="22"/>
        </w:rPr>
        <w:t>s</w:t>
      </w:r>
      <w:r w:rsidR="00E63795" w:rsidRPr="00F40174">
        <w:rPr>
          <w:rFonts w:cs="Arial"/>
          <w:sz w:val="22"/>
          <w:szCs w:val="22"/>
        </w:rPr>
        <w:t xml:space="preserve">, </w:t>
      </w:r>
      <w:r w:rsidR="00AE340A" w:rsidRPr="00F40174">
        <w:rPr>
          <w:rFonts w:cs="Arial"/>
          <w:sz w:val="22"/>
          <w:szCs w:val="22"/>
        </w:rPr>
        <w:t xml:space="preserve">six </w:t>
      </w:r>
      <w:r w:rsidR="00A93147" w:rsidRPr="00F40174">
        <w:rPr>
          <w:rFonts w:cs="Arial"/>
          <w:sz w:val="22"/>
          <w:szCs w:val="22"/>
        </w:rPr>
        <w:t xml:space="preserve">Vision Australia Trust </w:t>
      </w:r>
      <w:r w:rsidR="00B25A91" w:rsidRPr="00F40174">
        <w:rPr>
          <w:rFonts w:cs="Arial"/>
          <w:sz w:val="22"/>
          <w:szCs w:val="22"/>
        </w:rPr>
        <w:t xml:space="preserve">(VAT) </w:t>
      </w:r>
      <w:r w:rsidR="00A93147" w:rsidRPr="00F40174">
        <w:rPr>
          <w:rFonts w:cs="Arial"/>
          <w:sz w:val="22"/>
          <w:szCs w:val="22"/>
        </w:rPr>
        <w:t>Board meetings</w:t>
      </w:r>
      <w:r w:rsidR="00E63795" w:rsidRPr="00F40174">
        <w:rPr>
          <w:rFonts w:cs="Arial"/>
          <w:sz w:val="22"/>
          <w:szCs w:val="22"/>
        </w:rPr>
        <w:t xml:space="preserve"> and six Strategic Program Committee meetings.</w:t>
      </w:r>
    </w:p>
    <w:p w14:paraId="1686F88C" w14:textId="77777777" w:rsidR="00CC7C7A" w:rsidRDefault="00CC7C7A" w:rsidP="00BA20A2">
      <w:pPr>
        <w:rPr>
          <w:rFonts w:cs="Arial"/>
          <w:sz w:val="22"/>
          <w:szCs w:val="22"/>
        </w:rPr>
      </w:pPr>
    </w:p>
    <w:p w14:paraId="6F169142" w14:textId="2F531878" w:rsidR="00CC7C7A" w:rsidRPr="00CC7C7A" w:rsidRDefault="007A7D3E" w:rsidP="00BA20A2">
      <w:pPr>
        <w:rPr>
          <w:rFonts w:cs="Arial"/>
          <w:b/>
          <w:sz w:val="22"/>
          <w:szCs w:val="22"/>
        </w:rPr>
      </w:pPr>
      <w:r>
        <w:rPr>
          <w:rFonts w:cs="Arial"/>
          <w:b/>
          <w:sz w:val="22"/>
          <w:szCs w:val="22"/>
        </w:rPr>
        <w:t>The table describes the number of meetings attended by each director out of the total amount of meetings held.</w:t>
      </w:r>
    </w:p>
    <w:p w14:paraId="4FCF7947" w14:textId="77777777" w:rsidR="00CC7C7A" w:rsidRPr="00F40174" w:rsidRDefault="00CC7C7A" w:rsidP="00BA20A2">
      <w:pPr>
        <w:rPr>
          <w:rFonts w:cs="Arial"/>
          <w:sz w:val="22"/>
          <w:szCs w:val="22"/>
        </w:rPr>
      </w:pPr>
    </w:p>
    <w:p w14:paraId="5EA730FE" w14:textId="77777777" w:rsidR="0070314C" w:rsidRPr="00F40174" w:rsidRDefault="0070314C" w:rsidP="00EB1EC9">
      <w:pPr>
        <w:tabs>
          <w:tab w:val="left" w:pos="1215"/>
        </w:tabs>
        <w:rPr>
          <w:rFonts w:cs="Arial"/>
          <w:sz w:val="10"/>
          <w:szCs w:val="22"/>
        </w:rPr>
      </w:pPr>
    </w:p>
    <w:tbl>
      <w:tblPr>
        <w:tblW w:w="14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134"/>
        <w:gridCol w:w="1701"/>
        <w:gridCol w:w="1417"/>
        <w:gridCol w:w="1389"/>
        <w:gridCol w:w="1304"/>
        <w:gridCol w:w="1560"/>
        <w:gridCol w:w="1048"/>
        <w:gridCol w:w="1304"/>
      </w:tblGrid>
      <w:tr w:rsidR="005C1CCD" w:rsidRPr="00B2767F" w14:paraId="5EA7310B" w14:textId="77777777" w:rsidTr="005C1CCD">
        <w:trPr>
          <w:trHeight w:val="1190"/>
        </w:trPr>
        <w:tc>
          <w:tcPr>
            <w:tcW w:w="2235" w:type="dxa"/>
            <w:shd w:val="clear" w:color="auto" w:fill="auto"/>
          </w:tcPr>
          <w:p w14:paraId="5EA730FF" w14:textId="10F240A9" w:rsidR="005C1CCD" w:rsidRPr="00F40174" w:rsidRDefault="005C1CCD" w:rsidP="00FF26F1">
            <w:pPr>
              <w:rPr>
                <w:rFonts w:cs="Arial"/>
                <w:b/>
                <w:sz w:val="20"/>
                <w:szCs w:val="20"/>
              </w:rPr>
            </w:pPr>
            <w:bookmarkStart w:id="58" w:name="Table_2"/>
            <w:bookmarkEnd w:id="58"/>
            <w:r>
              <w:rPr>
                <w:rFonts w:cs="Arial"/>
                <w:b/>
                <w:sz w:val="20"/>
                <w:szCs w:val="20"/>
              </w:rPr>
              <w:t>Board Member</w:t>
            </w:r>
          </w:p>
        </w:tc>
        <w:tc>
          <w:tcPr>
            <w:tcW w:w="1559" w:type="dxa"/>
            <w:shd w:val="clear" w:color="auto" w:fill="auto"/>
          </w:tcPr>
          <w:p w14:paraId="5EA73100" w14:textId="77777777" w:rsidR="005C1CCD" w:rsidRPr="00F40174" w:rsidRDefault="005C1CCD" w:rsidP="004B4CED">
            <w:pPr>
              <w:jc w:val="center"/>
              <w:rPr>
                <w:rFonts w:cs="Arial"/>
                <w:b/>
                <w:sz w:val="20"/>
                <w:szCs w:val="20"/>
              </w:rPr>
            </w:pPr>
            <w:r w:rsidRPr="00F40174">
              <w:rPr>
                <w:rFonts w:cs="Arial"/>
                <w:b/>
                <w:sz w:val="20"/>
                <w:szCs w:val="20"/>
              </w:rPr>
              <w:t>Date</w:t>
            </w:r>
          </w:p>
          <w:p w14:paraId="5EA73101" w14:textId="77777777" w:rsidR="005C1CCD" w:rsidRPr="00F40174" w:rsidRDefault="005C1CCD" w:rsidP="004B4CED">
            <w:pPr>
              <w:jc w:val="center"/>
              <w:rPr>
                <w:rFonts w:cs="Arial"/>
                <w:b/>
                <w:sz w:val="20"/>
                <w:szCs w:val="20"/>
              </w:rPr>
            </w:pPr>
            <w:r w:rsidRPr="00F40174">
              <w:rPr>
                <w:rFonts w:cs="Arial"/>
                <w:b/>
                <w:sz w:val="20"/>
                <w:szCs w:val="20"/>
              </w:rPr>
              <w:t>Appointed</w:t>
            </w:r>
          </w:p>
        </w:tc>
        <w:tc>
          <w:tcPr>
            <w:tcW w:w="1134" w:type="dxa"/>
            <w:tcBorders>
              <w:bottom w:val="single" w:sz="4" w:space="0" w:color="auto"/>
            </w:tcBorders>
            <w:shd w:val="clear" w:color="auto" w:fill="auto"/>
          </w:tcPr>
          <w:p w14:paraId="5EA73102" w14:textId="4F7C7A93" w:rsidR="005C1CCD" w:rsidRPr="00F40174" w:rsidRDefault="005C1CCD" w:rsidP="004B4CED">
            <w:pPr>
              <w:jc w:val="center"/>
              <w:rPr>
                <w:rFonts w:cs="Arial"/>
                <w:b/>
                <w:sz w:val="20"/>
                <w:szCs w:val="20"/>
              </w:rPr>
            </w:pPr>
            <w:r>
              <w:rPr>
                <w:rFonts w:cs="Arial"/>
                <w:b/>
                <w:sz w:val="20"/>
                <w:szCs w:val="20"/>
              </w:rPr>
              <w:t>Board</w:t>
            </w:r>
          </w:p>
        </w:tc>
        <w:tc>
          <w:tcPr>
            <w:tcW w:w="1701" w:type="dxa"/>
            <w:tcBorders>
              <w:bottom w:val="single" w:sz="4" w:space="0" w:color="auto"/>
            </w:tcBorders>
            <w:shd w:val="clear" w:color="auto" w:fill="auto"/>
          </w:tcPr>
          <w:p w14:paraId="682B868E" w14:textId="2C54E25B" w:rsidR="005C1CCD" w:rsidRPr="00F40174" w:rsidRDefault="005C1CCD" w:rsidP="00F24363">
            <w:pPr>
              <w:jc w:val="center"/>
              <w:rPr>
                <w:rFonts w:cs="Arial"/>
                <w:b/>
                <w:sz w:val="20"/>
                <w:szCs w:val="20"/>
              </w:rPr>
            </w:pPr>
            <w:r>
              <w:rPr>
                <w:rFonts w:cs="Arial"/>
                <w:b/>
                <w:sz w:val="20"/>
                <w:szCs w:val="20"/>
              </w:rPr>
              <w:t>Audit, Finance &amp; Business Risk Committee</w:t>
            </w:r>
          </w:p>
        </w:tc>
        <w:tc>
          <w:tcPr>
            <w:tcW w:w="1417" w:type="dxa"/>
            <w:tcBorders>
              <w:bottom w:val="single" w:sz="4" w:space="0" w:color="auto"/>
            </w:tcBorders>
            <w:shd w:val="clear" w:color="auto" w:fill="auto"/>
          </w:tcPr>
          <w:p w14:paraId="115B9156" w14:textId="05146227" w:rsidR="005C1CCD" w:rsidRPr="00F40174" w:rsidRDefault="005C1CCD" w:rsidP="004B4CED">
            <w:pPr>
              <w:jc w:val="center"/>
              <w:rPr>
                <w:rFonts w:cs="Arial"/>
                <w:b/>
                <w:sz w:val="20"/>
                <w:szCs w:val="20"/>
              </w:rPr>
            </w:pPr>
            <w:r>
              <w:rPr>
                <w:rFonts w:cs="Arial"/>
                <w:b/>
                <w:sz w:val="20"/>
                <w:szCs w:val="20"/>
              </w:rPr>
              <w:t>Property Committee</w:t>
            </w:r>
          </w:p>
        </w:tc>
        <w:tc>
          <w:tcPr>
            <w:tcW w:w="1389" w:type="dxa"/>
            <w:tcBorders>
              <w:bottom w:val="single" w:sz="4" w:space="0" w:color="auto"/>
            </w:tcBorders>
            <w:shd w:val="clear" w:color="auto" w:fill="auto"/>
          </w:tcPr>
          <w:p w14:paraId="2F263648" w14:textId="77777777" w:rsidR="005C1CCD" w:rsidRDefault="005C1CCD" w:rsidP="007A7D3E">
            <w:pPr>
              <w:jc w:val="center"/>
              <w:rPr>
                <w:rFonts w:cs="Arial"/>
                <w:b/>
                <w:sz w:val="20"/>
                <w:szCs w:val="20"/>
              </w:rPr>
            </w:pPr>
            <w:r>
              <w:rPr>
                <w:rFonts w:cs="Arial"/>
                <w:b/>
                <w:sz w:val="20"/>
                <w:szCs w:val="20"/>
              </w:rPr>
              <w:t>People and Culture  Committee</w:t>
            </w:r>
          </w:p>
          <w:p w14:paraId="1B7018AA" w14:textId="77777777" w:rsidR="005C1CCD" w:rsidRPr="00F40174" w:rsidRDefault="005C1CCD" w:rsidP="00CD3922">
            <w:pPr>
              <w:jc w:val="center"/>
              <w:rPr>
                <w:rFonts w:cs="Arial"/>
                <w:b/>
                <w:sz w:val="20"/>
                <w:szCs w:val="20"/>
              </w:rPr>
            </w:pPr>
          </w:p>
        </w:tc>
        <w:tc>
          <w:tcPr>
            <w:tcW w:w="1304" w:type="dxa"/>
            <w:tcBorders>
              <w:bottom w:val="single" w:sz="4" w:space="0" w:color="auto"/>
            </w:tcBorders>
            <w:shd w:val="clear" w:color="auto" w:fill="auto"/>
          </w:tcPr>
          <w:p w14:paraId="6A3A9623" w14:textId="77777777" w:rsidR="005C1CCD" w:rsidRDefault="005C1CCD" w:rsidP="007A7D3E">
            <w:pPr>
              <w:jc w:val="center"/>
              <w:rPr>
                <w:rFonts w:cs="Arial"/>
                <w:b/>
                <w:sz w:val="20"/>
                <w:szCs w:val="20"/>
              </w:rPr>
            </w:pPr>
            <w:r>
              <w:rPr>
                <w:rFonts w:cs="Arial"/>
                <w:b/>
                <w:sz w:val="20"/>
                <w:szCs w:val="20"/>
              </w:rPr>
              <w:t>Client Services Committee</w:t>
            </w:r>
          </w:p>
          <w:p w14:paraId="6D333C38" w14:textId="77777777" w:rsidR="005C1CCD" w:rsidRPr="00F40174" w:rsidRDefault="005C1CCD" w:rsidP="004B4CED">
            <w:pPr>
              <w:jc w:val="center"/>
              <w:rPr>
                <w:rFonts w:cs="Arial"/>
                <w:b/>
                <w:sz w:val="20"/>
                <w:szCs w:val="20"/>
              </w:rPr>
            </w:pPr>
          </w:p>
        </w:tc>
        <w:tc>
          <w:tcPr>
            <w:tcW w:w="1560" w:type="dxa"/>
            <w:tcBorders>
              <w:bottom w:val="single" w:sz="4" w:space="0" w:color="auto"/>
            </w:tcBorders>
            <w:shd w:val="clear" w:color="auto" w:fill="auto"/>
          </w:tcPr>
          <w:p w14:paraId="107D1C66" w14:textId="77777777" w:rsidR="005C1CCD" w:rsidRDefault="005C1CCD" w:rsidP="007A7D3E">
            <w:pPr>
              <w:jc w:val="center"/>
              <w:rPr>
                <w:rFonts w:cs="Arial"/>
                <w:b/>
                <w:sz w:val="20"/>
                <w:szCs w:val="20"/>
              </w:rPr>
            </w:pPr>
            <w:r>
              <w:rPr>
                <w:rFonts w:cs="Arial"/>
                <w:b/>
                <w:sz w:val="20"/>
                <w:szCs w:val="20"/>
              </w:rPr>
              <w:t>Board Development &amp; Nominations Committee</w:t>
            </w:r>
          </w:p>
          <w:p w14:paraId="2CCC5301" w14:textId="77777777" w:rsidR="005C1CCD" w:rsidRPr="00F40174" w:rsidRDefault="005C1CCD" w:rsidP="00F24363">
            <w:pPr>
              <w:jc w:val="center"/>
              <w:rPr>
                <w:rFonts w:cs="Arial"/>
                <w:b/>
                <w:sz w:val="20"/>
                <w:szCs w:val="20"/>
              </w:rPr>
            </w:pPr>
          </w:p>
        </w:tc>
        <w:tc>
          <w:tcPr>
            <w:tcW w:w="1048" w:type="dxa"/>
            <w:tcBorders>
              <w:bottom w:val="single" w:sz="4" w:space="0" w:color="auto"/>
            </w:tcBorders>
          </w:tcPr>
          <w:p w14:paraId="1B8C5737" w14:textId="77777777" w:rsidR="005C1CCD" w:rsidRDefault="005C1CCD" w:rsidP="005C1CCD">
            <w:pPr>
              <w:jc w:val="center"/>
              <w:rPr>
                <w:rFonts w:cs="Arial"/>
                <w:b/>
                <w:sz w:val="20"/>
                <w:szCs w:val="20"/>
              </w:rPr>
            </w:pPr>
            <w:r>
              <w:rPr>
                <w:rFonts w:cs="Arial"/>
                <w:b/>
                <w:sz w:val="20"/>
                <w:szCs w:val="20"/>
              </w:rPr>
              <w:t>VAT Board</w:t>
            </w:r>
          </w:p>
          <w:p w14:paraId="381C98DB" w14:textId="77777777" w:rsidR="005C1CCD" w:rsidRPr="00F40174" w:rsidRDefault="005C1CCD" w:rsidP="004B4CED">
            <w:pPr>
              <w:jc w:val="center"/>
              <w:rPr>
                <w:rFonts w:cs="Arial"/>
                <w:b/>
                <w:sz w:val="20"/>
                <w:szCs w:val="20"/>
              </w:rPr>
            </w:pPr>
          </w:p>
        </w:tc>
        <w:tc>
          <w:tcPr>
            <w:tcW w:w="1304" w:type="dxa"/>
            <w:tcBorders>
              <w:bottom w:val="single" w:sz="4" w:space="0" w:color="auto"/>
            </w:tcBorders>
          </w:tcPr>
          <w:p w14:paraId="0E609379" w14:textId="3CFB5576" w:rsidR="005C1CCD" w:rsidRPr="00F40174" w:rsidRDefault="005C1CCD" w:rsidP="004B4CED">
            <w:pPr>
              <w:jc w:val="center"/>
              <w:rPr>
                <w:rFonts w:cs="Arial"/>
                <w:b/>
                <w:sz w:val="20"/>
                <w:szCs w:val="20"/>
              </w:rPr>
            </w:pPr>
            <w:r>
              <w:rPr>
                <w:rFonts w:cs="Arial"/>
                <w:b/>
                <w:sz w:val="20"/>
                <w:szCs w:val="20"/>
              </w:rPr>
              <w:t>Strategic Program Committee</w:t>
            </w:r>
          </w:p>
        </w:tc>
      </w:tr>
      <w:tr w:rsidR="005C1CCD" w:rsidRPr="00B2767F" w14:paraId="5EA73131" w14:textId="77777777" w:rsidTr="005C1CCD">
        <w:trPr>
          <w:trHeight w:val="284"/>
        </w:trPr>
        <w:tc>
          <w:tcPr>
            <w:tcW w:w="2235" w:type="dxa"/>
            <w:shd w:val="clear" w:color="auto" w:fill="auto"/>
            <w:vAlign w:val="center"/>
          </w:tcPr>
          <w:p w14:paraId="5EA7311F" w14:textId="77777777" w:rsidR="005C1CCD" w:rsidRPr="00F40174" w:rsidRDefault="005C1CCD" w:rsidP="00B62BA2">
            <w:pPr>
              <w:rPr>
                <w:rFonts w:cs="Arial"/>
                <w:sz w:val="20"/>
                <w:szCs w:val="20"/>
              </w:rPr>
            </w:pPr>
            <w:r w:rsidRPr="00F40174">
              <w:rPr>
                <w:rFonts w:cs="Arial"/>
                <w:sz w:val="20"/>
                <w:szCs w:val="20"/>
              </w:rPr>
              <w:t>Kevin Murfitt (Chair)</w:t>
            </w:r>
          </w:p>
        </w:tc>
        <w:tc>
          <w:tcPr>
            <w:tcW w:w="1559" w:type="dxa"/>
            <w:shd w:val="clear" w:color="auto" w:fill="auto"/>
            <w:vAlign w:val="center"/>
          </w:tcPr>
          <w:p w14:paraId="5EA73120" w14:textId="77777777" w:rsidR="005C1CCD" w:rsidRPr="00F40174" w:rsidRDefault="005C1CCD" w:rsidP="00A93147">
            <w:pPr>
              <w:jc w:val="center"/>
              <w:rPr>
                <w:rFonts w:cs="Arial"/>
                <w:sz w:val="20"/>
                <w:szCs w:val="20"/>
              </w:rPr>
            </w:pPr>
            <w:r w:rsidRPr="00F40174">
              <w:rPr>
                <w:rFonts w:cs="Arial"/>
                <w:sz w:val="20"/>
                <w:szCs w:val="20"/>
              </w:rPr>
              <w:t>11 May 04</w:t>
            </w:r>
          </w:p>
        </w:tc>
        <w:tc>
          <w:tcPr>
            <w:tcW w:w="1134" w:type="dxa"/>
            <w:tcBorders>
              <w:top w:val="single" w:sz="4" w:space="0" w:color="auto"/>
            </w:tcBorders>
            <w:shd w:val="clear" w:color="auto" w:fill="auto"/>
            <w:vAlign w:val="center"/>
          </w:tcPr>
          <w:p w14:paraId="5EA73122" w14:textId="3C06E8F0" w:rsidR="005C1CCD" w:rsidRPr="00F40174" w:rsidRDefault="005C1CCD" w:rsidP="007A7D3E">
            <w:pPr>
              <w:jc w:val="center"/>
              <w:rPr>
                <w:rFonts w:cs="Arial"/>
                <w:sz w:val="20"/>
                <w:szCs w:val="20"/>
                <w:highlight w:val="yellow"/>
              </w:rPr>
            </w:pPr>
            <w:r w:rsidRPr="00F40174">
              <w:rPr>
                <w:rFonts w:cs="Arial"/>
                <w:sz w:val="20"/>
                <w:szCs w:val="20"/>
              </w:rPr>
              <w:t>6</w:t>
            </w:r>
            <w:r>
              <w:rPr>
                <w:rFonts w:cs="Arial"/>
                <w:sz w:val="20"/>
                <w:szCs w:val="20"/>
              </w:rPr>
              <w:t xml:space="preserve"> of 6 </w:t>
            </w:r>
          </w:p>
        </w:tc>
        <w:tc>
          <w:tcPr>
            <w:tcW w:w="1701" w:type="dxa"/>
            <w:tcBorders>
              <w:top w:val="single" w:sz="4" w:space="0" w:color="auto"/>
            </w:tcBorders>
            <w:shd w:val="clear" w:color="auto" w:fill="auto"/>
            <w:vAlign w:val="center"/>
          </w:tcPr>
          <w:p w14:paraId="5EA73123" w14:textId="02637187" w:rsidR="005C1CCD" w:rsidRPr="00FE4461" w:rsidRDefault="005C1CCD" w:rsidP="00B62BA2">
            <w:pPr>
              <w:jc w:val="center"/>
              <w:rPr>
                <w:rFonts w:cs="Arial"/>
                <w:sz w:val="20"/>
                <w:szCs w:val="20"/>
              </w:rPr>
            </w:pPr>
            <w:r w:rsidRPr="00FE4461">
              <w:rPr>
                <w:rFonts w:cs="Arial"/>
                <w:sz w:val="20"/>
                <w:szCs w:val="20"/>
              </w:rPr>
              <w:t>6</w:t>
            </w:r>
            <w:r>
              <w:rPr>
                <w:rFonts w:cs="Arial"/>
                <w:sz w:val="20"/>
                <w:szCs w:val="20"/>
              </w:rPr>
              <w:t xml:space="preserve"> of 8</w:t>
            </w:r>
          </w:p>
        </w:tc>
        <w:tc>
          <w:tcPr>
            <w:tcW w:w="1417" w:type="dxa"/>
            <w:tcBorders>
              <w:top w:val="single" w:sz="4" w:space="0" w:color="auto"/>
            </w:tcBorders>
            <w:shd w:val="clear" w:color="auto" w:fill="auto"/>
            <w:vAlign w:val="center"/>
          </w:tcPr>
          <w:p w14:paraId="5EA73125" w14:textId="79B07AC9" w:rsidR="005C1CCD" w:rsidRPr="00FE4461" w:rsidRDefault="005C1CCD" w:rsidP="00B62BA2">
            <w:pPr>
              <w:jc w:val="center"/>
              <w:rPr>
                <w:rFonts w:cs="Arial"/>
                <w:sz w:val="20"/>
                <w:szCs w:val="20"/>
              </w:rPr>
            </w:pPr>
            <w:r w:rsidRPr="00FE4461">
              <w:rPr>
                <w:rFonts w:cs="Arial"/>
                <w:sz w:val="20"/>
                <w:szCs w:val="20"/>
              </w:rPr>
              <w:t>6</w:t>
            </w:r>
            <w:r>
              <w:rPr>
                <w:rFonts w:cs="Arial"/>
                <w:sz w:val="20"/>
                <w:szCs w:val="20"/>
              </w:rPr>
              <w:t xml:space="preserve"> of 6</w:t>
            </w:r>
          </w:p>
        </w:tc>
        <w:tc>
          <w:tcPr>
            <w:tcW w:w="1389" w:type="dxa"/>
            <w:tcBorders>
              <w:top w:val="single" w:sz="4" w:space="0" w:color="auto"/>
            </w:tcBorders>
            <w:shd w:val="clear" w:color="auto" w:fill="auto"/>
            <w:vAlign w:val="center"/>
          </w:tcPr>
          <w:p w14:paraId="5EA73127" w14:textId="7577381C" w:rsidR="005C1CCD" w:rsidRPr="00FE4461" w:rsidRDefault="005C1CCD" w:rsidP="00B62BA2">
            <w:pPr>
              <w:jc w:val="center"/>
              <w:rPr>
                <w:rFonts w:cs="Arial"/>
                <w:sz w:val="20"/>
                <w:szCs w:val="20"/>
              </w:rPr>
            </w:pPr>
            <w:r>
              <w:rPr>
                <w:rFonts w:cs="Arial"/>
                <w:sz w:val="20"/>
                <w:szCs w:val="20"/>
              </w:rPr>
              <w:t xml:space="preserve">4 of </w:t>
            </w:r>
            <w:r w:rsidRPr="00FE4461">
              <w:rPr>
                <w:rFonts w:cs="Arial"/>
                <w:sz w:val="20"/>
                <w:szCs w:val="20"/>
              </w:rPr>
              <w:t>4</w:t>
            </w:r>
          </w:p>
        </w:tc>
        <w:tc>
          <w:tcPr>
            <w:tcW w:w="1304" w:type="dxa"/>
            <w:tcBorders>
              <w:top w:val="single" w:sz="4" w:space="0" w:color="auto"/>
            </w:tcBorders>
            <w:vAlign w:val="center"/>
          </w:tcPr>
          <w:p w14:paraId="5EA73129" w14:textId="5FCD6034" w:rsidR="005C1CCD" w:rsidRPr="00FE4461" w:rsidRDefault="005C1CCD" w:rsidP="00B31B64">
            <w:pPr>
              <w:jc w:val="center"/>
              <w:rPr>
                <w:rFonts w:cs="Arial"/>
                <w:sz w:val="20"/>
                <w:szCs w:val="20"/>
              </w:rPr>
            </w:pPr>
            <w:r>
              <w:rPr>
                <w:rFonts w:cs="Arial"/>
                <w:sz w:val="20"/>
                <w:szCs w:val="20"/>
              </w:rPr>
              <w:t xml:space="preserve">4 of </w:t>
            </w:r>
            <w:r w:rsidRPr="00FE4461">
              <w:rPr>
                <w:rFonts w:cs="Arial"/>
                <w:sz w:val="20"/>
                <w:szCs w:val="20"/>
              </w:rPr>
              <w:t>4</w:t>
            </w:r>
          </w:p>
        </w:tc>
        <w:tc>
          <w:tcPr>
            <w:tcW w:w="1560" w:type="dxa"/>
            <w:tcBorders>
              <w:top w:val="single" w:sz="4" w:space="0" w:color="auto"/>
            </w:tcBorders>
            <w:shd w:val="clear" w:color="auto" w:fill="auto"/>
            <w:vAlign w:val="center"/>
          </w:tcPr>
          <w:p w14:paraId="5EA7312B" w14:textId="2C545F23" w:rsidR="005C1CCD" w:rsidRPr="00FE4461" w:rsidRDefault="005C1CCD" w:rsidP="00B62BA2">
            <w:pPr>
              <w:jc w:val="center"/>
              <w:rPr>
                <w:rFonts w:cs="Arial"/>
                <w:sz w:val="20"/>
                <w:szCs w:val="20"/>
              </w:rPr>
            </w:pPr>
            <w:r w:rsidRPr="00FE4461">
              <w:rPr>
                <w:rFonts w:cs="Arial"/>
                <w:sz w:val="20"/>
                <w:szCs w:val="20"/>
              </w:rPr>
              <w:t>6</w:t>
            </w:r>
            <w:r>
              <w:rPr>
                <w:rFonts w:cs="Arial"/>
                <w:sz w:val="20"/>
                <w:szCs w:val="20"/>
              </w:rPr>
              <w:t xml:space="preserve"> of 6</w:t>
            </w:r>
          </w:p>
        </w:tc>
        <w:tc>
          <w:tcPr>
            <w:tcW w:w="1048" w:type="dxa"/>
            <w:tcBorders>
              <w:top w:val="single" w:sz="4" w:space="0" w:color="auto"/>
            </w:tcBorders>
            <w:shd w:val="clear" w:color="auto" w:fill="auto"/>
            <w:vAlign w:val="center"/>
          </w:tcPr>
          <w:p w14:paraId="5EA7312D" w14:textId="58CCD47A" w:rsidR="005C1CCD" w:rsidRPr="00FE4461" w:rsidRDefault="005C1CCD" w:rsidP="00B62BA2">
            <w:pPr>
              <w:jc w:val="center"/>
              <w:rPr>
                <w:rFonts w:cs="Arial"/>
                <w:sz w:val="20"/>
                <w:szCs w:val="20"/>
              </w:rPr>
            </w:pPr>
            <w:r>
              <w:rPr>
                <w:rFonts w:cs="Arial"/>
                <w:sz w:val="20"/>
                <w:szCs w:val="20"/>
              </w:rPr>
              <w:t xml:space="preserve">5 of </w:t>
            </w:r>
            <w:r w:rsidRPr="00FE4461">
              <w:rPr>
                <w:rFonts w:cs="Arial"/>
                <w:sz w:val="20"/>
                <w:szCs w:val="20"/>
              </w:rPr>
              <w:t>6</w:t>
            </w:r>
          </w:p>
        </w:tc>
        <w:tc>
          <w:tcPr>
            <w:tcW w:w="1304" w:type="dxa"/>
            <w:vAlign w:val="center"/>
          </w:tcPr>
          <w:p w14:paraId="5EA7312F" w14:textId="3ED66F6C" w:rsidR="005C1CCD" w:rsidRPr="00FE4461" w:rsidRDefault="005C1CCD" w:rsidP="00B31B64">
            <w:pPr>
              <w:jc w:val="center"/>
              <w:rPr>
                <w:rFonts w:cs="Arial"/>
                <w:sz w:val="20"/>
                <w:szCs w:val="20"/>
              </w:rPr>
            </w:pPr>
            <w:r>
              <w:rPr>
                <w:rFonts w:cs="Arial"/>
                <w:sz w:val="20"/>
                <w:szCs w:val="20"/>
              </w:rPr>
              <w:t xml:space="preserve">5 of </w:t>
            </w:r>
            <w:r w:rsidRPr="00FE4461">
              <w:rPr>
                <w:rFonts w:cs="Arial"/>
                <w:sz w:val="20"/>
                <w:szCs w:val="20"/>
              </w:rPr>
              <w:t>6</w:t>
            </w:r>
          </w:p>
        </w:tc>
      </w:tr>
      <w:tr w:rsidR="005C1CCD" w:rsidRPr="00B2767F" w14:paraId="5EA73144" w14:textId="77777777" w:rsidTr="005C1CCD">
        <w:trPr>
          <w:trHeight w:val="284"/>
        </w:trPr>
        <w:tc>
          <w:tcPr>
            <w:tcW w:w="2235" w:type="dxa"/>
            <w:shd w:val="clear" w:color="auto" w:fill="auto"/>
            <w:vAlign w:val="center"/>
          </w:tcPr>
          <w:p w14:paraId="5EA73132" w14:textId="77777777" w:rsidR="005C1CCD" w:rsidRPr="00F40174" w:rsidRDefault="005C1CCD" w:rsidP="007B2B61">
            <w:pPr>
              <w:rPr>
                <w:rFonts w:cs="Arial"/>
                <w:sz w:val="20"/>
                <w:szCs w:val="20"/>
              </w:rPr>
            </w:pPr>
            <w:r w:rsidRPr="00F40174">
              <w:rPr>
                <w:rFonts w:cs="Arial"/>
                <w:sz w:val="20"/>
                <w:szCs w:val="20"/>
              </w:rPr>
              <w:t>Lyn Allison</w:t>
            </w:r>
          </w:p>
        </w:tc>
        <w:tc>
          <w:tcPr>
            <w:tcW w:w="1559" w:type="dxa"/>
            <w:shd w:val="clear" w:color="auto" w:fill="auto"/>
            <w:vAlign w:val="center"/>
          </w:tcPr>
          <w:p w14:paraId="5EA73133" w14:textId="77777777" w:rsidR="005C1CCD" w:rsidRPr="00F40174" w:rsidRDefault="005C1CCD" w:rsidP="004B4CED">
            <w:pPr>
              <w:jc w:val="center"/>
              <w:rPr>
                <w:rFonts w:cs="Arial"/>
                <w:sz w:val="20"/>
                <w:szCs w:val="20"/>
              </w:rPr>
            </w:pPr>
            <w:r w:rsidRPr="00F40174">
              <w:rPr>
                <w:rFonts w:cs="Arial"/>
                <w:sz w:val="20"/>
                <w:szCs w:val="20"/>
              </w:rPr>
              <w:t>31 Jul 08</w:t>
            </w:r>
          </w:p>
        </w:tc>
        <w:tc>
          <w:tcPr>
            <w:tcW w:w="1134" w:type="dxa"/>
            <w:shd w:val="clear" w:color="auto" w:fill="auto"/>
            <w:vAlign w:val="center"/>
          </w:tcPr>
          <w:p w14:paraId="5EA73135" w14:textId="70230F10" w:rsidR="005C1CCD" w:rsidRPr="00F40174" w:rsidRDefault="005C1CCD" w:rsidP="00B62BA2">
            <w:pPr>
              <w:jc w:val="center"/>
              <w:rPr>
                <w:rFonts w:cs="Arial"/>
                <w:sz w:val="20"/>
                <w:szCs w:val="20"/>
                <w:highlight w:val="yellow"/>
              </w:rPr>
            </w:pPr>
            <w:r w:rsidRPr="00F40174">
              <w:rPr>
                <w:rFonts w:cs="Arial"/>
                <w:sz w:val="20"/>
                <w:szCs w:val="20"/>
              </w:rPr>
              <w:t>6</w:t>
            </w:r>
            <w:r>
              <w:rPr>
                <w:rFonts w:cs="Arial"/>
                <w:sz w:val="20"/>
                <w:szCs w:val="20"/>
              </w:rPr>
              <w:t xml:space="preserve"> of 6 </w:t>
            </w:r>
          </w:p>
        </w:tc>
        <w:tc>
          <w:tcPr>
            <w:tcW w:w="1701" w:type="dxa"/>
            <w:shd w:val="clear" w:color="auto" w:fill="auto"/>
            <w:vAlign w:val="center"/>
          </w:tcPr>
          <w:p w14:paraId="5EA73136" w14:textId="5F67E0D4" w:rsidR="005C1CCD" w:rsidRPr="00FE4461" w:rsidRDefault="005C1CCD" w:rsidP="00B62BA2">
            <w:pPr>
              <w:jc w:val="center"/>
              <w:rPr>
                <w:rFonts w:cs="Arial"/>
                <w:sz w:val="20"/>
                <w:szCs w:val="20"/>
              </w:rPr>
            </w:pPr>
            <w:r>
              <w:rPr>
                <w:rFonts w:cs="Arial"/>
                <w:sz w:val="20"/>
                <w:szCs w:val="20"/>
              </w:rPr>
              <w:t>NA</w:t>
            </w:r>
          </w:p>
        </w:tc>
        <w:tc>
          <w:tcPr>
            <w:tcW w:w="1417" w:type="dxa"/>
            <w:shd w:val="clear" w:color="auto" w:fill="auto"/>
            <w:vAlign w:val="center"/>
          </w:tcPr>
          <w:p w14:paraId="5EA73138" w14:textId="5C92DD14" w:rsidR="005C1CCD" w:rsidRPr="00FE4461" w:rsidRDefault="005C1CCD" w:rsidP="00FE4461">
            <w:pPr>
              <w:jc w:val="center"/>
              <w:rPr>
                <w:rFonts w:cs="Arial"/>
                <w:sz w:val="20"/>
                <w:szCs w:val="20"/>
              </w:rPr>
            </w:pPr>
            <w:r w:rsidRPr="00FE4461">
              <w:rPr>
                <w:rFonts w:cs="Arial"/>
                <w:sz w:val="20"/>
                <w:szCs w:val="20"/>
              </w:rPr>
              <w:t>6</w:t>
            </w:r>
            <w:r>
              <w:rPr>
                <w:rFonts w:cs="Arial"/>
                <w:sz w:val="20"/>
                <w:szCs w:val="20"/>
              </w:rPr>
              <w:t xml:space="preserve"> of 6</w:t>
            </w:r>
          </w:p>
        </w:tc>
        <w:tc>
          <w:tcPr>
            <w:tcW w:w="1389" w:type="dxa"/>
            <w:shd w:val="clear" w:color="auto" w:fill="auto"/>
            <w:vAlign w:val="center"/>
          </w:tcPr>
          <w:p w14:paraId="5EA7313A" w14:textId="6B710116" w:rsidR="005C1CCD" w:rsidRPr="00FE4461" w:rsidRDefault="005C1CCD" w:rsidP="00B62BA2">
            <w:pPr>
              <w:jc w:val="center"/>
              <w:rPr>
                <w:rFonts w:cs="Arial"/>
                <w:sz w:val="20"/>
                <w:szCs w:val="20"/>
              </w:rPr>
            </w:pPr>
            <w:r>
              <w:rPr>
                <w:rFonts w:cs="Arial"/>
                <w:sz w:val="20"/>
                <w:szCs w:val="20"/>
              </w:rPr>
              <w:t>NA</w:t>
            </w:r>
          </w:p>
        </w:tc>
        <w:tc>
          <w:tcPr>
            <w:tcW w:w="1304" w:type="dxa"/>
            <w:vAlign w:val="center"/>
          </w:tcPr>
          <w:p w14:paraId="5EA7313C" w14:textId="48B76F36" w:rsidR="005C1CCD" w:rsidRPr="00FE4461" w:rsidRDefault="005C1CCD" w:rsidP="00B31B64">
            <w:pPr>
              <w:jc w:val="center"/>
              <w:rPr>
                <w:rFonts w:cs="Arial"/>
                <w:sz w:val="20"/>
                <w:szCs w:val="20"/>
              </w:rPr>
            </w:pPr>
            <w:r>
              <w:rPr>
                <w:rFonts w:cs="Arial"/>
                <w:sz w:val="20"/>
                <w:szCs w:val="20"/>
              </w:rPr>
              <w:t>NA</w:t>
            </w:r>
          </w:p>
        </w:tc>
        <w:tc>
          <w:tcPr>
            <w:tcW w:w="1560" w:type="dxa"/>
            <w:shd w:val="clear" w:color="auto" w:fill="auto"/>
            <w:vAlign w:val="center"/>
          </w:tcPr>
          <w:p w14:paraId="5EA7313E" w14:textId="4032377E" w:rsidR="005C1CCD" w:rsidRPr="00FE4461" w:rsidRDefault="005C1CCD" w:rsidP="00B62BA2">
            <w:pPr>
              <w:jc w:val="center"/>
              <w:rPr>
                <w:rFonts w:cs="Arial"/>
                <w:sz w:val="20"/>
                <w:szCs w:val="20"/>
              </w:rPr>
            </w:pPr>
            <w:r>
              <w:rPr>
                <w:rFonts w:cs="Arial"/>
                <w:sz w:val="20"/>
                <w:szCs w:val="20"/>
              </w:rPr>
              <w:t>NA</w:t>
            </w:r>
          </w:p>
        </w:tc>
        <w:tc>
          <w:tcPr>
            <w:tcW w:w="1048" w:type="dxa"/>
            <w:shd w:val="clear" w:color="auto" w:fill="auto"/>
            <w:vAlign w:val="center"/>
          </w:tcPr>
          <w:p w14:paraId="5EA73140" w14:textId="6EC9886C" w:rsidR="005C1CCD" w:rsidRPr="00FE4461" w:rsidRDefault="005C1CCD" w:rsidP="00B62BA2">
            <w:pPr>
              <w:jc w:val="center"/>
              <w:rPr>
                <w:rFonts w:cs="Arial"/>
                <w:sz w:val="20"/>
                <w:szCs w:val="20"/>
              </w:rPr>
            </w:pPr>
            <w:r>
              <w:rPr>
                <w:rFonts w:cs="Arial"/>
                <w:sz w:val="20"/>
                <w:szCs w:val="20"/>
              </w:rPr>
              <w:t>NA</w:t>
            </w:r>
          </w:p>
        </w:tc>
        <w:tc>
          <w:tcPr>
            <w:tcW w:w="1304" w:type="dxa"/>
            <w:vAlign w:val="center"/>
          </w:tcPr>
          <w:p w14:paraId="5EA73142" w14:textId="437D630B" w:rsidR="005C1CCD" w:rsidRPr="00FE4461" w:rsidRDefault="005C1CCD" w:rsidP="00B31B64">
            <w:pPr>
              <w:jc w:val="center"/>
              <w:rPr>
                <w:rFonts w:cs="Arial"/>
                <w:sz w:val="20"/>
                <w:szCs w:val="20"/>
              </w:rPr>
            </w:pPr>
            <w:r>
              <w:rPr>
                <w:rFonts w:cs="Arial"/>
                <w:sz w:val="20"/>
                <w:szCs w:val="20"/>
              </w:rPr>
              <w:t xml:space="preserve">6 of </w:t>
            </w:r>
            <w:r w:rsidRPr="00FE4461">
              <w:rPr>
                <w:rFonts w:cs="Arial"/>
                <w:sz w:val="20"/>
                <w:szCs w:val="20"/>
              </w:rPr>
              <w:t>6</w:t>
            </w:r>
          </w:p>
        </w:tc>
      </w:tr>
      <w:tr w:rsidR="005C1CCD" w:rsidRPr="00B2767F" w14:paraId="5EA73157" w14:textId="77777777" w:rsidTr="005C1CCD">
        <w:trPr>
          <w:trHeight w:val="284"/>
        </w:trPr>
        <w:tc>
          <w:tcPr>
            <w:tcW w:w="2235" w:type="dxa"/>
            <w:shd w:val="clear" w:color="auto" w:fill="auto"/>
            <w:vAlign w:val="center"/>
          </w:tcPr>
          <w:p w14:paraId="5EA73145" w14:textId="77777777" w:rsidR="005C1CCD" w:rsidRPr="00F40174" w:rsidRDefault="005C1CCD" w:rsidP="007B2B61">
            <w:pPr>
              <w:rPr>
                <w:rFonts w:cs="Arial"/>
                <w:sz w:val="20"/>
                <w:szCs w:val="20"/>
              </w:rPr>
            </w:pPr>
            <w:r w:rsidRPr="00F40174">
              <w:rPr>
                <w:rFonts w:cs="Arial"/>
                <w:sz w:val="20"/>
                <w:szCs w:val="20"/>
              </w:rPr>
              <w:t>Nick Carter</w:t>
            </w:r>
          </w:p>
        </w:tc>
        <w:tc>
          <w:tcPr>
            <w:tcW w:w="1559" w:type="dxa"/>
            <w:shd w:val="clear" w:color="auto" w:fill="auto"/>
            <w:vAlign w:val="center"/>
          </w:tcPr>
          <w:p w14:paraId="5EA73146" w14:textId="77777777" w:rsidR="005C1CCD" w:rsidRPr="00F40174" w:rsidRDefault="005C1CCD" w:rsidP="004B4CED">
            <w:pPr>
              <w:jc w:val="center"/>
              <w:rPr>
                <w:rFonts w:cs="Arial"/>
                <w:sz w:val="20"/>
                <w:szCs w:val="20"/>
              </w:rPr>
            </w:pPr>
            <w:r w:rsidRPr="00F40174">
              <w:rPr>
                <w:rFonts w:cs="Arial"/>
                <w:sz w:val="20"/>
                <w:szCs w:val="20"/>
              </w:rPr>
              <w:t>15 Dec 06</w:t>
            </w:r>
          </w:p>
        </w:tc>
        <w:tc>
          <w:tcPr>
            <w:tcW w:w="1134" w:type="dxa"/>
            <w:shd w:val="clear" w:color="auto" w:fill="auto"/>
            <w:vAlign w:val="center"/>
          </w:tcPr>
          <w:p w14:paraId="5EA73148" w14:textId="0C05BB6C" w:rsidR="005C1CCD" w:rsidRPr="00F40174" w:rsidRDefault="005C1CCD" w:rsidP="00B62BA2">
            <w:pPr>
              <w:jc w:val="center"/>
              <w:rPr>
                <w:rFonts w:cs="Arial"/>
                <w:sz w:val="20"/>
                <w:szCs w:val="20"/>
                <w:highlight w:val="yellow"/>
              </w:rPr>
            </w:pPr>
            <w:r w:rsidRPr="00F40174">
              <w:rPr>
                <w:rFonts w:cs="Arial"/>
                <w:sz w:val="20"/>
                <w:szCs w:val="20"/>
              </w:rPr>
              <w:t>6</w:t>
            </w:r>
            <w:r>
              <w:rPr>
                <w:rFonts w:cs="Arial"/>
                <w:sz w:val="20"/>
                <w:szCs w:val="20"/>
              </w:rPr>
              <w:t xml:space="preserve"> of 6 </w:t>
            </w:r>
          </w:p>
        </w:tc>
        <w:tc>
          <w:tcPr>
            <w:tcW w:w="1701" w:type="dxa"/>
            <w:shd w:val="clear" w:color="auto" w:fill="auto"/>
            <w:vAlign w:val="center"/>
          </w:tcPr>
          <w:p w14:paraId="5EA73149" w14:textId="2F290706" w:rsidR="005C1CCD" w:rsidRPr="00FE4461" w:rsidRDefault="005C1CCD" w:rsidP="00B62BA2">
            <w:pPr>
              <w:jc w:val="center"/>
              <w:rPr>
                <w:rFonts w:cs="Arial"/>
                <w:sz w:val="20"/>
                <w:szCs w:val="20"/>
              </w:rPr>
            </w:pPr>
            <w:r>
              <w:rPr>
                <w:rFonts w:cs="Arial"/>
                <w:sz w:val="20"/>
                <w:szCs w:val="20"/>
              </w:rPr>
              <w:t>NA</w:t>
            </w:r>
          </w:p>
        </w:tc>
        <w:tc>
          <w:tcPr>
            <w:tcW w:w="1417" w:type="dxa"/>
            <w:shd w:val="clear" w:color="auto" w:fill="auto"/>
            <w:vAlign w:val="center"/>
          </w:tcPr>
          <w:p w14:paraId="5EA7314B" w14:textId="09383B6F" w:rsidR="005C1CCD" w:rsidRPr="00FE4461" w:rsidRDefault="005C1CCD" w:rsidP="007A7D3E">
            <w:pPr>
              <w:jc w:val="center"/>
              <w:rPr>
                <w:rFonts w:cs="Arial"/>
                <w:sz w:val="20"/>
                <w:szCs w:val="20"/>
              </w:rPr>
            </w:pPr>
            <w:r>
              <w:rPr>
                <w:rFonts w:cs="Arial"/>
                <w:sz w:val="20"/>
                <w:szCs w:val="20"/>
              </w:rPr>
              <w:t>5 of 6</w:t>
            </w:r>
          </w:p>
        </w:tc>
        <w:tc>
          <w:tcPr>
            <w:tcW w:w="1389" w:type="dxa"/>
            <w:shd w:val="clear" w:color="auto" w:fill="auto"/>
            <w:vAlign w:val="center"/>
          </w:tcPr>
          <w:p w14:paraId="5EA7314D" w14:textId="6963FC8C" w:rsidR="005C1CCD" w:rsidRPr="00FE4461" w:rsidRDefault="005C1CCD" w:rsidP="00B62BA2">
            <w:pPr>
              <w:jc w:val="center"/>
              <w:rPr>
                <w:rFonts w:cs="Arial"/>
                <w:sz w:val="20"/>
                <w:szCs w:val="20"/>
              </w:rPr>
            </w:pPr>
            <w:r>
              <w:rPr>
                <w:rFonts w:cs="Arial"/>
                <w:sz w:val="20"/>
                <w:szCs w:val="20"/>
              </w:rPr>
              <w:t>NA</w:t>
            </w:r>
          </w:p>
        </w:tc>
        <w:tc>
          <w:tcPr>
            <w:tcW w:w="1304" w:type="dxa"/>
            <w:vAlign w:val="center"/>
          </w:tcPr>
          <w:p w14:paraId="5EA7314F" w14:textId="6187C48C" w:rsidR="005C1CCD" w:rsidRPr="00FE4461" w:rsidRDefault="005C1CCD" w:rsidP="00B31B64">
            <w:pPr>
              <w:jc w:val="center"/>
              <w:rPr>
                <w:rFonts w:cs="Arial"/>
                <w:sz w:val="20"/>
                <w:szCs w:val="20"/>
              </w:rPr>
            </w:pPr>
            <w:r>
              <w:rPr>
                <w:rFonts w:cs="Arial"/>
                <w:sz w:val="20"/>
                <w:szCs w:val="20"/>
              </w:rPr>
              <w:t>NA</w:t>
            </w:r>
          </w:p>
        </w:tc>
        <w:tc>
          <w:tcPr>
            <w:tcW w:w="1560" w:type="dxa"/>
            <w:shd w:val="clear" w:color="auto" w:fill="auto"/>
            <w:vAlign w:val="center"/>
          </w:tcPr>
          <w:p w14:paraId="5EA73151" w14:textId="3BD27BC9" w:rsidR="005C1CCD" w:rsidRPr="00FE4461" w:rsidRDefault="005C1CCD" w:rsidP="00B62BA2">
            <w:pPr>
              <w:jc w:val="center"/>
              <w:rPr>
                <w:rFonts w:cs="Arial"/>
                <w:sz w:val="20"/>
                <w:szCs w:val="20"/>
              </w:rPr>
            </w:pPr>
            <w:r>
              <w:rPr>
                <w:rFonts w:cs="Arial"/>
                <w:sz w:val="20"/>
                <w:szCs w:val="20"/>
              </w:rPr>
              <w:t xml:space="preserve">4 of </w:t>
            </w:r>
            <w:r w:rsidRPr="00FE4461">
              <w:rPr>
                <w:rFonts w:cs="Arial"/>
                <w:sz w:val="20"/>
                <w:szCs w:val="20"/>
              </w:rPr>
              <w:t>6</w:t>
            </w:r>
          </w:p>
        </w:tc>
        <w:tc>
          <w:tcPr>
            <w:tcW w:w="1048" w:type="dxa"/>
            <w:shd w:val="clear" w:color="auto" w:fill="auto"/>
            <w:vAlign w:val="center"/>
          </w:tcPr>
          <w:p w14:paraId="5EA73153" w14:textId="4500422F" w:rsidR="005C1CCD" w:rsidRPr="00FE4461" w:rsidRDefault="005C1CCD" w:rsidP="00B62BA2">
            <w:pPr>
              <w:jc w:val="center"/>
              <w:rPr>
                <w:rFonts w:cs="Arial"/>
                <w:sz w:val="20"/>
                <w:szCs w:val="20"/>
              </w:rPr>
            </w:pPr>
            <w:r>
              <w:rPr>
                <w:rFonts w:cs="Arial"/>
                <w:sz w:val="20"/>
                <w:szCs w:val="20"/>
              </w:rPr>
              <w:t xml:space="preserve">0 of </w:t>
            </w:r>
            <w:r w:rsidRPr="00FE4461">
              <w:rPr>
                <w:rFonts w:cs="Arial"/>
                <w:sz w:val="20"/>
                <w:szCs w:val="20"/>
              </w:rPr>
              <w:t>1</w:t>
            </w:r>
          </w:p>
        </w:tc>
        <w:tc>
          <w:tcPr>
            <w:tcW w:w="1304" w:type="dxa"/>
            <w:vAlign w:val="center"/>
          </w:tcPr>
          <w:p w14:paraId="5EA73155" w14:textId="185F4E69" w:rsidR="005C1CCD" w:rsidRPr="00FE4461" w:rsidRDefault="005C1CCD" w:rsidP="00B31B64">
            <w:pPr>
              <w:jc w:val="center"/>
              <w:rPr>
                <w:rFonts w:cs="Arial"/>
                <w:sz w:val="20"/>
                <w:szCs w:val="20"/>
              </w:rPr>
            </w:pPr>
            <w:r>
              <w:rPr>
                <w:rFonts w:cs="Arial"/>
                <w:sz w:val="20"/>
                <w:szCs w:val="20"/>
              </w:rPr>
              <w:t>NA</w:t>
            </w:r>
          </w:p>
        </w:tc>
      </w:tr>
      <w:tr w:rsidR="005C1CCD" w:rsidRPr="00B2767F" w14:paraId="5EA7316A" w14:textId="77777777" w:rsidTr="005C1CCD">
        <w:trPr>
          <w:trHeight w:val="284"/>
        </w:trPr>
        <w:tc>
          <w:tcPr>
            <w:tcW w:w="2235" w:type="dxa"/>
            <w:shd w:val="clear" w:color="auto" w:fill="auto"/>
            <w:vAlign w:val="center"/>
          </w:tcPr>
          <w:p w14:paraId="5EA73158" w14:textId="77777777" w:rsidR="005C1CCD" w:rsidRPr="00F40174" w:rsidRDefault="005C1CCD" w:rsidP="007B2B61">
            <w:pPr>
              <w:rPr>
                <w:rFonts w:cs="Arial"/>
                <w:sz w:val="20"/>
                <w:szCs w:val="20"/>
              </w:rPr>
            </w:pPr>
            <w:r w:rsidRPr="00F40174">
              <w:rPr>
                <w:rFonts w:cs="Arial"/>
                <w:sz w:val="20"/>
                <w:szCs w:val="20"/>
              </w:rPr>
              <w:t>Don Fraser</w:t>
            </w:r>
          </w:p>
        </w:tc>
        <w:tc>
          <w:tcPr>
            <w:tcW w:w="1559" w:type="dxa"/>
            <w:shd w:val="clear" w:color="auto" w:fill="auto"/>
            <w:vAlign w:val="center"/>
          </w:tcPr>
          <w:p w14:paraId="5EA73159" w14:textId="77777777" w:rsidR="005C1CCD" w:rsidRPr="00F40174" w:rsidRDefault="005C1CCD" w:rsidP="004B4CED">
            <w:pPr>
              <w:jc w:val="center"/>
              <w:rPr>
                <w:rFonts w:cs="Arial"/>
                <w:sz w:val="20"/>
                <w:szCs w:val="20"/>
              </w:rPr>
            </w:pPr>
            <w:r w:rsidRPr="00F40174">
              <w:rPr>
                <w:rFonts w:cs="Arial"/>
                <w:sz w:val="20"/>
                <w:szCs w:val="20"/>
              </w:rPr>
              <w:t>31 Jul 08</w:t>
            </w:r>
          </w:p>
        </w:tc>
        <w:tc>
          <w:tcPr>
            <w:tcW w:w="1134" w:type="dxa"/>
            <w:shd w:val="clear" w:color="auto" w:fill="auto"/>
            <w:vAlign w:val="center"/>
          </w:tcPr>
          <w:p w14:paraId="5EA7315B" w14:textId="52F3D335" w:rsidR="005C1CCD" w:rsidRPr="00F40174" w:rsidRDefault="005C1CCD" w:rsidP="00B62BA2">
            <w:pPr>
              <w:jc w:val="center"/>
              <w:rPr>
                <w:rFonts w:cs="Arial"/>
                <w:sz w:val="20"/>
                <w:szCs w:val="20"/>
                <w:highlight w:val="yellow"/>
              </w:rPr>
            </w:pPr>
            <w:r w:rsidRPr="00F40174">
              <w:rPr>
                <w:rFonts w:cs="Arial"/>
                <w:sz w:val="20"/>
                <w:szCs w:val="20"/>
              </w:rPr>
              <w:t>6</w:t>
            </w:r>
            <w:r>
              <w:rPr>
                <w:rFonts w:cs="Arial"/>
                <w:sz w:val="20"/>
                <w:szCs w:val="20"/>
              </w:rPr>
              <w:t xml:space="preserve"> of 6 </w:t>
            </w:r>
          </w:p>
        </w:tc>
        <w:tc>
          <w:tcPr>
            <w:tcW w:w="1701" w:type="dxa"/>
            <w:shd w:val="clear" w:color="auto" w:fill="auto"/>
            <w:vAlign w:val="center"/>
          </w:tcPr>
          <w:p w14:paraId="5EA7315C" w14:textId="53FF3B22" w:rsidR="005C1CCD" w:rsidRPr="00FE4461" w:rsidRDefault="005C1CCD" w:rsidP="00B62BA2">
            <w:pPr>
              <w:jc w:val="center"/>
              <w:rPr>
                <w:rFonts w:cs="Arial"/>
                <w:sz w:val="20"/>
                <w:szCs w:val="20"/>
              </w:rPr>
            </w:pPr>
            <w:r>
              <w:rPr>
                <w:rFonts w:cs="Arial"/>
                <w:sz w:val="20"/>
                <w:szCs w:val="20"/>
              </w:rPr>
              <w:t>NA</w:t>
            </w:r>
          </w:p>
        </w:tc>
        <w:tc>
          <w:tcPr>
            <w:tcW w:w="1417" w:type="dxa"/>
            <w:shd w:val="clear" w:color="auto" w:fill="auto"/>
            <w:vAlign w:val="center"/>
          </w:tcPr>
          <w:p w14:paraId="5EA7315E" w14:textId="1E8AB662" w:rsidR="005C1CCD" w:rsidRPr="00FE4461" w:rsidRDefault="005C1CCD" w:rsidP="00B62BA2">
            <w:pPr>
              <w:jc w:val="center"/>
              <w:rPr>
                <w:rFonts w:cs="Arial"/>
                <w:sz w:val="20"/>
                <w:szCs w:val="20"/>
              </w:rPr>
            </w:pPr>
            <w:r>
              <w:rPr>
                <w:rFonts w:cs="Arial"/>
                <w:sz w:val="20"/>
                <w:szCs w:val="20"/>
              </w:rPr>
              <w:t>NA</w:t>
            </w:r>
          </w:p>
        </w:tc>
        <w:tc>
          <w:tcPr>
            <w:tcW w:w="1389" w:type="dxa"/>
            <w:shd w:val="clear" w:color="auto" w:fill="auto"/>
            <w:vAlign w:val="center"/>
          </w:tcPr>
          <w:p w14:paraId="5EA73160" w14:textId="4D4CCBC5" w:rsidR="005C1CCD" w:rsidRPr="00FE4461" w:rsidRDefault="005C1CCD" w:rsidP="00B62BA2">
            <w:pPr>
              <w:jc w:val="center"/>
              <w:rPr>
                <w:rFonts w:cs="Arial"/>
                <w:sz w:val="20"/>
                <w:szCs w:val="20"/>
              </w:rPr>
            </w:pPr>
            <w:r w:rsidRPr="00FE4461">
              <w:rPr>
                <w:rFonts w:cs="Arial"/>
                <w:sz w:val="20"/>
                <w:szCs w:val="20"/>
              </w:rPr>
              <w:t>4</w:t>
            </w:r>
            <w:r>
              <w:rPr>
                <w:rFonts w:cs="Arial"/>
                <w:sz w:val="20"/>
                <w:szCs w:val="20"/>
              </w:rPr>
              <w:t xml:space="preserve"> of 4</w:t>
            </w:r>
          </w:p>
        </w:tc>
        <w:tc>
          <w:tcPr>
            <w:tcW w:w="1304" w:type="dxa"/>
            <w:vAlign w:val="center"/>
          </w:tcPr>
          <w:p w14:paraId="5EA73162" w14:textId="308C1EA7" w:rsidR="005C1CCD" w:rsidRPr="00FE4461" w:rsidRDefault="005C1CCD" w:rsidP="00B31B64">
            <w:pPr>
              <w:jc w:val="center"/>
              <w:rPr>
                <w:rFonts w:cs="Arial"/>
                <w:sz w:val="20"/>
                <w:szCs w:val="20"/>
              </w:rPr>
            </w:pPr>
            <w:r>
              <w:rPr>
                <w:rFonts w:cs="Arial"/>
                <w:sz w:val="20"/>
                <w:szCs w:val="20"/>
              </w:rPr>
              <w:t>NA</w:t>
            </w:r>
          </w:p>
        </w:tc>
        <w:tc>
          <w:tcPr>
            <w:tcW w:w="1560" w:type="dxa"/>
            <w:shd w:val="clear" w:color="auto" w:fill="auto"/>
            <w:vAlign w:val="center"/>
          </w:tcPr>
          <w:p w14:paraId="5EA73164" w14:textId="14E39F18" w:rsidR="005C1CCD" w:rsidRPr="00FE4461" w:rsidRDefault="005C1CCD" w:rsidP="00B62BA2">
            <w:pPr>
              <w:jc w:val="center"/>
              <w:rPr>
                <w:rFonts w:cs="Arial"/>
                <w:sz w:val="20"/>
                <w:szCs w:val="20"/>
              </w:rPr>
            </w:pPr>
            <w:r w:rsidRPr="00FE4461">
              <w:rPr>
                <w:rFonts w:cs="Arial"/>
                <w:sz w:val="20"/>
                <w:szCs w:val="20"/>
              </w:rPr>
              <w:t>6</w:t>
            </w:r>
            <w:r>
              <w:rPr>
                <w:rFonts w:cs="Arial"/>
                <w:sz w:val="20"/>
                <w:szCs w:val="20"/>
              </w:rPr>
              <w:t xml:space="preserve"> of 6</w:t>
            </w:r>
          </w:p>
        </w:tc>
        <w:tc>
          <w:tcPr>
            <w:tcW w:w="1048" w:type="dxa"/>
            <w:shd w:val="clear" w:color="auto" w:fill="auto"/>
            <w:vAlign w:val="center"/>
          </w:tcPr>
          <w:p w14:paraId="5EA73166" w14:textId="2BB25A72" w:rsidR="005C1CCD" w:rsidRPr="00FE4461" w:rsidRDefault="005C1CCD" w:rsidP="00B62BA2">
            <w:pPr>
              <w:jc w:val="center"/>
              <w:rPr>
                <w:rFonts w:cs="Arial"/>
                <w:sz w:val="20"/>
                <w:szCs w:val="20"/>
              </w:rPr>
            </w:pPr>
            <w:r>
              <w:rPr>
                <w:rFonts w:cs="Arial"/>
                <w:sz w:val="20"/>
                <w:szCs w:val="20"/>
              </w:rPr>
              <w:t>NA</w:t>
            </w:r>
          </w:p>
        </w:tc>
        <w:tc>
          <w:tcPr>
            <w:tcW w:w="1304" w:type="dxa"/>
            <w:vAlign w:val="center"/>
          </w:tcPr>
          <w:p w14:paraId="5EA73168" w14:textId="3C4D6A8C" w:rsidR="005C1CCD" w:rsidRPr="00FE4461" w:rsidRDefault="005C1CCD" w:rsidP="00B31B64">
            <w:pPr>
              <w:jc w:val="center"/>
              <w:rPr>
                <w:rFonts w:cs="Arial"/>
                <w:sz w:val="20"/>
                <w:szCs w:val="20"/>
              </w:rPr>
            </w:pPr>
            <w:r>
              <w:rPr>
                <w:rFonts w:cs="Arial"/>
                <w:sz w:val="20"/>
                <w:szCs w:val="20"/>
              </w:rPr>
              <w:t xml:space="preserve">6 of </w:t>
            </w:r>
            <w:r w:rsidRPr="00FE4461">
              <w:rPr>
                <w:rFonts w:cs="Arial"/>
                <w:sz w:val="20"/>
                <w:szCs w:val="20"/>
              </w:rPr>
              <w:t>6</w:t>
            </w:r>
          </w:p>
        </w:tc>
      </w:tr>
      <w:tr w:rsidR="005C1CCD" w:rsidRPr="00B2767F" w14:paraId="5EA7317D" w14:textId="77777777" w:rsidTr="005C1CCD">
        <w:trPr>
          <w:trHeight w:val="284"/>
        </w:trPr>
        <w:tc>
          <w:tcPr>
            <w:tcW w:w="2235" w:type="dxa"/>
            <w:shd w:val="clear" w:color="auto" w:fill="auto"/>
            <w:vAlign w:val="center"/>
          </w:tcPr>
          <w:p w14:paraId="5EA7316B" w14:textId="77777777" w:rsidR="005C1CCD" w:rsidRPr="00F40174" w:rsidRDefault="005C1CCD" w:rsidP="007B2B61">
            <w:pPr>
              <w:rPr>
                <w:rFonts w:cs="Arial"/>
                <w:sz w:val="20"/>
                <w:szCs w:val="20"/>
              </w:rPr>
            </w:pPr>
            <w:r w:rsidRPr="00F40174">
              <w:rPr>
                <w:rFonts w:cs="Arial"/>
                <w:sz w:val="20"/>
                <w:szCs w:val="20"/>
              </w:rPr>
              <w:t>Ron McCallum AO</w:t>
            </w:r>
          </w:p>
        </w:tc>
        <w:tc>
          <w:tcPr>
            <w:tcW w:w="1559" w:type="dxa"/>
            <w:shd w:val="clear" w:color="auto" w:fill="auto"/>
            <w:vAlign w:val="center"/>
          </w:tcPr>
          <w:p w14:paraId="5EA7316C" w14:textId="77777777" w:rsidR="005C1CCD" w:rsidRPr="00F40174" w:rsidRDefault="005C1CCD" w:rsidP="004B4CED">
            <w:pPr>
              <w:jc w:val="center"/>
              <w:rPr>
                <w:rFonts w:cs="Arial"/>
                <w:sz w:val="20"/>
                <w:szCs w:val="20"/>
              </w:rPr>
            </w:pPr>
            <w:r w:rsidRPr="00F40174">
              <w:rPr>
                <w:rFonts w:cs="Arial"/>
                <w:sz w:val="20"/>
                <w:szCs w:val="20"/>
              </w:rPr>
              <w:t>09 Jan 06</w:t>
            </w:r>
          </w:p>
        </w:tc>
        <w:tc>
          <w:tcPr>
            <w:tcW w:w="1134" w:type="dxa"/>
            <w:shd w:val="clear" w:color="auto" w:fill="auto"/>
            <w:vAlign w:val="center"/>
          </w:tcPr>
          <w:p w14:paraId="5EA7316E" w14:textId="6EFA8233" w:rsidR="005C1CCD" w:rsidRPr="00F40174" w:rsidRDefault="005C1CCD" w:rsidP="00B62BA2">
            <w:pPr>
              <w:jc w:val="center"/>
              <w:rPr>
                <w:rFonts w:cs="Arial"/>
                <w:sz w:val="20"/>
                <w:szCs w:val="20"/>
                <w:highlight w:val="yellow"/>
              </w:rPr>
            </w:pPr>
            <w:r w:rsidRPr="00F40174">
              <w:rPr>
                <w:rFonts w:cs="Arial"/>
                <w:sz w:val="20"/>
                <w:szCs w:val="20"/>
              </w:rPr>
              <w:t>6</w:t>
            </w:r>
            <w:r>
              <w:rPr>
                <w:rFonts w:cs="Arial"/>
                <w:sz w:val="20"/>
                <w:szCs w:val="20"/>
              </w:rPr>
              <w:t xml:space="preserve"> of 6 </w:t>
            </w:r>
          </w:p>
        </w:tc>
        <w:tc>
          <w:tcPr>
            <w:tcW w:w="1701" w:type="dxa"/>
            <w:shd w:val="clear" w:color="auto" w:fill="auto"/>
            <w:vAlign w:val="center"/>
          </w:tcPr>
          <w:p w14:paraId="5EA7316F" w14:textId="018C6BE9" w:rsidR="005C1CCD" w:rsidRPr="00FE4461" w:rsidRDefault="005C1CCD" w:rsidP="00B62BA2">
            <w:pPr>
              <w:jc w:val="center"/>
              <w:rPr>
                <w:rFonts w:cs="Arial"/>
                <w:sz w:val="20"/>
                <w:szCs w:val="20"/>
              </w:rPr>
            </w:pPr>
            <w:r>
              <w:rPr>
                <w:rFonts w:cs="Arial"/>
                <w:sz w:val="20"/>
                <w:szCs w:val="20"/>
              </w:rPr>
              <w:t>NA</w:t>
            </w:r>
          </w:p>
        </w:tc>
        <w:tc>
          <w:tcPr>
            <w:tcW w:w="1417" w:type="dxa"/>
            <w:shd w:val="clear" w:color="auto" w:fill="auto"/>
            <w:vAlign w:val="center"/>
          </w:tcPr>
          <w:p w14:paraId="5EA73171" w14:textId="4A837D8E" w:rsidR="005C1CCD" w:rsidRPr="00FE4461" w:rsidRDefault="005C1CCD" w:rsidP="00B62BA2">
            <w:pPr>
              <w:jc w:val="center"/>
              <w:rPr>
                <w:rFonts w:cs="Arial"/>
                <w:sz w:val="20"/>
                <w:szCs w:val="20"/>
              </w:rPr>
            </w:pPr>
            <w:r>
              <w:rPr>
                <w:rFonts w:cs="Arial"/>
                <w:sz w:val="20"/>
                <w:szCs w:val="20"/>
              </w:rPr>
              <w:t>NA</w:t>
            </w:r>
          </w:p>
        </w:tc>
        <w:tc>
          <w:tcPr>
            <w:tcW w:w="1389" w:type="dxa"/>
            <w:shd w:val="clear" w:color="auto" w:fill="auto"/>
            <w:vAlign w:val="center"/>
          </w:tcPr>
          <w:p w14:paraId="5EA73173" w14:textId="19EDE2AA" w:rsidR="005C1CCD" w:rsidRPr="00FE4461" w:rsidRDefault="005C1CCD" w:rsidP="00B62BA2">
            <w:pPr>
              <w:jc w:val="center"/>
              <w:rPr>
                <w:rFonts w:cs="Arial"/>
                <w:sz w:val="20"/>
                <w:szCs w:val="20"/>
              </w:rPr>
            </w:pPr>
            <w:r>
              <w:rPr>
                <w:rFonts w:cs="Arial"/>
                <w:sz w:val="20"/>
                <w:szCs w:val="20"/>
              </w:rPr>
              <w:t>2 of 4</w:t>
            </w:r>
          </w:p>
        </w:tc>
        <w:tc>
          <w:tcPr>
            <w:tcW w:w="1304" w:type="dxa"/>
            <w:vAlign w:val="center"/>
          </w:tcPr>
          <w:p w14:paraId="5EA73175" w14:textId="0A80C6CF" w:rsidR="005C1CCD" w:rsidRPr="00FE4461" w:rsidRDefault="005C1CCD" w:rsidP="00B31B64">
            <w:pPr>
              <w:jc w:val="center"/>
              <w:rPr>
                <w:rFonts w:cs="Arial"/>
                <w:sz w:val="20"/>
                <w:szCs w:val="20"/>
              </w:rPr>
            </w:pPr>
            <w:r>
              <w:rPr>
                <w:rFonts w:cs="Arial"/>
                <w:sz w:val="20"/>
                <w:szCs w:val="20"/>
              </w:rPr>
              <w:t>NA</w:t>
            </w:r>
          </w:p>
        </w:tc>
        <w:tc>
          <w:tcPr>
            <w:tcW w:w="1560" w:type="dxa"/>
            <w:shd w:val="clear" w:color="auto" w:fill="auto"/>
            <w:vAlign w:val="center"/>
          </w:tcPr>
          <w:p w14:paraId="5EA73177" w14:textId="7B5B23B9" w:rsidR="005C1CCD" w:rsidRPr="00FE4461" w:rsidRDefault="005C1CCD" w:rsidP="00B62BA2">
            <w:pPr>
              <w:jc w:val="center"/>
              <w:rPr>
                <w:rFonts w:cs="Arial"/>
                <w:sz w:val="20"/>
                <w:szCs w:val="20"/>
              </w:rPr>
            </w:pPr>
            <w:r>
              <w:rPr>
                <w:rFonts w:cs="Arial"/>
                <w:sz w:val="20"/>
                <w:szCs w:val="20"/>
              </w:rPr>
              <w:t xml:space="preserve">2 of </w:t>
            </w:r>
            <w:r w:rsidRPr="00FE4461">
              <w:rPr>
                <w:rFonts w:cs="Arial"/>
                <w:sz w:val="20"/>
                <w:szCs w:val="20"/>
              </w:rPr>
              <w:t>3</w:t>
            </w:r>
          </w:p>
        </w:tc>
        <w:tc>
          <w:tcPr>
            <w:tcW w:w="1048" w:type="dxa"/>
            <w:shd w:val="clear" w:color="auto" w:fill="auto"/>
            <w:vAlign w:val="center"/>
          </w:tcPr>
          <w:p w14:paraId="5EA73179" w14:textId="56FF50CF" w:rsidR="005C1CCD" w:rsidRPr="00FE4461" w:rsidRDefault="005C1CCD" w:rsidP="00B62BA2">
            <w:pPr>
              <w:jc w:val="center"/>
              <w:rPr>
                <w:rFonts w:cs="Arial"/>
                <w:sz w:val="20"/>
                <w:szCs w:val="20"/>
              </w:rPr>
            </w:pPr>
            <w:r>
              <w:rPr>
                <w:rFonts w:cs="Arial"/>
                <w:sz w:val="20"/>
                <w:szCs w:val="20"/>
              </w:rPr>
              <w:t>NA</w:t>
            </w:r>
          </w:p>
        </w:tc>
        <w:tc>
          <w:tcPr>
            <w:tcW w:w="1304" w:type="dxa"/>
            <w:vAlign w:val="center"/>
          </w:tcPr>
          <w:p w14:paraId="5EA7317B" w14:textId="08AA8663" w:rsidR="005C1CCD" w:rsidRPr="00FE4461" w:rsidRDefault="005C1CCD" w:rsidP="00B31B64">
            <w:pPr>
              <w:jc w:val="center"/>
              <w:rPr>
                <w:rFonts w:cs="Arial"/>
                <w:sz w:val="20"/>
                <w:szCs w:val="20"/>
              </w:rPr>
            </w:pPr>
            <w:r>
              <w:rPr>
                <w:rFonts w:cs="Arial"/>
                <w:sz w:val="20"/>
                <w:szCs w:val="20"/>
              </w:rPr>
              <w:t>NA</w:t>
            </w:r>
          </w:p>
        </w:tc>
      </w:tr>
      <w:tr w:rsidR="005C1CCD" w:rsidRPr="00B2767F" w14:paraId="5EA73190" w14:textId="77777777" w:rsidTr="005C1CCD">
        <w:trPr>
          <w:trHeight w:val="284"/>
        </w:trPr>
        <w:tc>
          <w:tcPr>
            <w:tcW w:w="2235" w:type="dxa"/>
            <w:shd w:val="clear" w:color="auto" w:fill="auto"/>
            <w:vAlign w:val="center"/>
          </w:tcPr>
          <w:p w14:paraId="5EA7317E" w14:textId="77777777" w:rsidR="005C1CCD" w:rsidRPr="00F40174" w:rsidRDefault="005C1CCD" w:rsidP="007B2B61">
            <w:pPr>
              <w:rPr>
                <w:rFonts w:cs="Arial"/>
                <w:sz w:val="20"/>
                <w:szCs w:val="20"/>
              </w:rPr>
            </w:pPr>
            <w:r w:rsidRPr="00F40174">
              <w:rPr>
                <w:rFonts w:cs="Arial"/>
                <w:sz w:val="20"/>
                <w:szCs w:val="20"/>
              </w:rPr>
              <w:t>Andrew Moffat</w:t>
            </w:r>
          </w:p>
        </w:tc>
        <w:tc>
          <w:tcPr>
            <w:tcW w:w="1559" w:type="dxa"/>
            <w:shd w:val="clear" w:color="auto" w:fill="auto"/>
            <w:vAlign w:val="center"/>
          </w:tcPr>
          <w:p w14:paraId="5EA7317F" w14:textId="77777777" w:rsidR="005C1CCD" w:rsidRPr="00F40174" w:rsidRDefault="005C1CCD" w:rsidP="004B4CED">
            <w:pPr>
              <w:jc w:val="center"/>
              <w:rPr>
                <w:rFonts w:cs="Arial"/>
                <w:sz w:val="20"/>
                <w:szCs w:val="20"/>
              </w:rPr>
            </w:pPr>
            <w:r w:rsidRPr="00F40174">
              <w:rPr>
                <w:rFonts w:cs="Arial"/>
                <w:sz w:val="20"/>
                <w:szCs w:val="20"/>
              </w:rPr>
              <w:t>26 Aug 11</w:t>
            </w:r>
          </w:p>
        </w:tc>
        <w:tc>
          <w:tcPr>
            <w:tcW w:w="1134" w:type="dxa"/>
            <w:shd w:val="clear" w:color="auto" w:fill="auto"/>
            <w:vAlign w:val="center"/>
          </w:tcPr>
          <w:p w14:paraId="5EA73181" w14:textId="1B61D897" w:rsidR="005C1CCD" w:rsidRPr="00F40174" w:rsidRDefault="005C1CCD" w:rsidP="00B62BA2">
            <w:pPr>
              <w:jc w:val="center"/>
              <w:rPr>
                <w:rFonts w:cs="Arial"/>
                <w:sz w:val="20"/>
                <w:szCs w:val="20"/>
                <w:highlight w:val="yellow"/>
              </w:rPr>
            </w:pPr>
            <w:r w:rsidRPr="00F40174">
              <w:rPr>
                <w:rFonts w:cs="Arial"/>
                <w:sz w:val="20"/>
                <w:szCs w:val="20"/>
              </w:rPr>
              <w:t>6</w:t>
            </w:r>
            <w:r>
              <w:rPr>
                <w:rFonts w:cs="Arial"/>
                <w:sz w:val="20"/>
                <w:szCs w:val="20"/>
              </w:rPr>
              <w:t xml:space="preserve"> of 6 </w:t>
            </w:r>
          </w:p>
        </w:tc>
        <w:tc>
          <w:tcPr>
            <w:tcW w:w="1701" w:type="dxa"/>
            <w:shd w:val="clear" w:color="auto" w:fill="auto"/>
            <w:vAlign w:val="center"/>
          </w:tcPr>
          <w:p w14:paraId="5EA73182" w14:textId="6BE573A8" w:rsidR="005C1CCD" w:rsidRPr="00FE4461" w:rsidRDefault="005C1CCD" w:rsidP="00B62BA2">
            <w:pPr>
              <w:jc w:val="center"/>
              <w:rPr>
                <w:rFonts w:cs="Arial"/>
                <w:sz w:val="20"/>
                <w:szCs w:val="20"/>
              </w:rPr>
            </w:pPr>
            <w:r>
              <w:rPr>
                <w:rFonts w:cs="Arial"/>
                <w:sz w:val="20"/>
                <w:szCs w:val="20"/>
              </w:rPr>
              <w:t>8 of 8</w:t>
            </w:r>
          </w:p>
        </w:tc>
        <w:tc>
          <w:tcPr>
            <w:tcW w:w="1417" w:type="dxa"/>
            <w:shd w:val="clear" w:color="auto" w:fill="auto"/>
            <w:vAlign w:val="center"/>
          </w:tcPr>
          <w:p w14:paraId="5EA73184" w14:textId="31749404" w:rsidR="005C1CCD" w:rsidRPr="00FE4461" w:rsidRDefault="005C1CCD" w:rsidP="00B62BA2">
            <w:pPr>
              <w:jc w:val="center"/>
              <w:rPr>
                <w:rFonts w:cs="Arial"/>
                <w:sz w:val="20"/>
                <w:szCs w:val="20"/>
              </w:rPr>
            </w:pPr>
            <w:r>
              <w:rPr>
                <w:rFonts w:cs="Arial"/>
                <w:sz w:val="20"/>
                <w:szCs w:val="20"/>
              </w:rPr>
              <w:t>NA</w:t>
            </w:r>
          </w:p>
        </w:tc>
        <w:tc>
          <w:tcPr>
            <w:tcW w:w="1389" w:type="dxa"/>
            <w:shd w:val="clear" w:color="auto" w:fill="auto"/>
            <w:vAlign w:val="center"/>
          </w:tcPr>
          <w:p w14:paraId="5EA73186" w14:textId="3BDC6CFD" w:rsidR="005C1CCD" w:rsidRPr="00FE4461" w:rsidRDefault="005C1CCD" w:rsidP="00B62BA2">
            <w:pPr>
              <w:jc w:val="center"/>
              <w:rPr>
                <w:rFonts w:cs="Arial"/>
                <w:sz w:val="20"/>
                <w:szCs w:val="20"/>
              </w:rPr>
            </w:pPr>
            <w:r>
              <w:rPr>
                <w:rFonts w:cs="Arial"/>
                <w:sz w:val="20"/>
                <w:szCs w:val="20"/>
              </w:rPr>
              <w:t>NA</w:t>
            </w:r>
          </w:p>
        </w:tc>
        <w:tc>
          <w:tcPr>
            <w:tcW w:w="1304" w:type="dxa"/>
            <w:vAlign w:val="center"/>
          </w:tcPr>
          <w:p w14:paraId="5EA73188" w14:textId="0957BA62" w:rsidR="005C1CCD" w:rsidRPr="00FE4461" w:rsidRDefault="005C1CCD" w:rsidP="00B31B64">
            <w:pPr>
              <w:jc w:val="center"/>
              <w:rPr>
                <w:rFonts w:cs="Arial"/>
                <w:sz w:val="20"/>
                <w:szCs w:val="20"/>
              </w:rPr>
            </w:pPr>
            <w:r>
              <w:rPr>
                <w:rFonts w:cs="Arial"/>
                <w:sz w:val="20"/>
                <w:szCs w:val="20"/>
              </w:rPr>
              <w:t>NA</w:t>
            </w:r>
          </w:p>
        </w:tc>
        <w:tc>
          <w:tcPr>
            <w:tcW w:w="1560" w:type="dxa"/>
            <w:shd w:val="clear" w:color="auto" w:fill="auto"/>
            <w:vAlign w:val="center"/>
          </w:tcPr>
          <w:p w14:paraId="5EA7318A" w14:textId="681DECF3" w:rsidR="005C1CCD" w:rsidRPr="00FE4461" w:rsidRDefault="005C1CCD" w:rsidP="00B62BA2">
            <w:pPr>
              <w:jc w:val="center"/>
              <w:rPr>
                <w:rFonts w:cs="Arial"/>
                <w:sz w:val="20"/>
                <w:szCs w:val="20"/>
              </w:rPr>
            </w:pPr>
            <w:r>
              <w:rPr>
                <w:rFonts w:cs="Arial"/>
                <w:sz w:val="20"/>
                <w:szCs w:val="20"/>
              </w:rPr>
              <w:t>NA</w:t>
            </w:r>
          </w:p>
        </w:tc>
        <w:tc>
          <w:tcPr>
            <w:tcW w:w="1048" w:type="dxa"/>
            <w:shd w:val="clear" w:color="auto" w:fill="auto"/>
            <w:vAlign w:val="center"/>
          </w:tcPr>
          <w:p w14:paraId="5EA7318C" w14:textId="35F7D433" w:rsidR="005C1CCD" w:rsidRPr="00FE4461" w:rsidRDefault="005C1CCD" w:rsidP="00B62BA2">
            <w:pPr>
              <w:jc w:val="center"/>
              <w:rPr>
                <w:rFonts w:cs="Arial"/>
                <w:sz w:val="20"/>
                <w:szCs w:val="20"/>
              </w:rPr>
            </w:pPr>
            <w:r w:rsidRPr="00FE4461">
              <w:rPr>
                <w:rFonts w:cs="Arial"/>
                <w:sz w:val="20"/>
                <w:szCs w:val="20"/>
              </w:rPr>
              <w:t>6</w:t>
            </w:r>
            <w:r>
              <w:rPr>
                <w:rFonts w:cs="Arial"/>
                <w:sz w:val="20"/>
                <w:szCs w:val="20"/>
              </w:rPr>
              <w:t xml:space="preserve"> of 6 </w:t>
            </w:r>
          </w:p>
        </w:tc>
        <w:tc>
          <w:tcPr>
            <w:tcW w:w="1304" w:type="dxa"/>
            <w:vAlign w:val="center"/>
          </w:tcPr>
          <w:p w14:paraId="5EA7318E" w14:textId="5E23DC51" w:rsidR="005C1CCD" w:rsidRPr="00FE4461" w:rsidRDefault="005C1CCD" w:rsidP="00B31B64">
            <w:pPr>
              <w:jc w:val="center"/>
              <w:rPr>
                <w:rFonts w:cs="Arial"/>
                <w:sz w:val="20"/>
                <w:szCs w:val="20"/>
              </w:rPr>
            </w:pPr>
            <w:r>
              <w:rPr>
                <w:rFonts w:cs="Arial"/>
                <w:sz w:val="20"/>
                <w:szCs w:val="20"/>
              </w:rPr>
              <w:t>NA</w:t>
            </w:r>
          </w:p>
        </w:tc>
      </w:tr>
      <w:tr w:rsidR="005C1CCD" w:rsidRPr="00B2767F" w14:paraId="5EA731A3" w14:textId="77777777" w:rsidTr="005C1CCD">
        <w:trPr>
          <w:trHeight w:val="284"/>
        </w:trPr>
        <w:tc>
          <w:tcPr>
            <w:tcW w:w="2235" w:type="dxa"/>
            <w:shd w:val="clear" w:color="auto" w:fill="auto"/>
            <w:vAlign w:val="center"/>
          </w:tcPr>
          <w:p w14:paraId="5EA73191" w14:textId="77777777" w:rsidR="005C1CCD" w:rsidRPr="00F40174" w:rsidRDefault="005C1CCD" w:rsidP="007B2B61">
            <w:pPr>
              <w:rPr>
                <w:rFonts w:cs="Arial"/>
                <w:sz w:val="20"/>
                <w:szCs w:val="20"/>
              </w:rPr>
            </w:pPr>
            <w:r w:rsidRPr="00F40174">
              <w:rPr>
                <w:rFonts w:cs="Arial"/>
                <w:sz w:val="20"/>
                <w:szCs w:val="20"/>
              </w:rPr>
              <w:t>Theresa Smith-Ruig</w:t>
            </w:r>
          </w:p>
        </w:tc>
        <w:tc>
          <w:tcPr>
            <w:tcW w:w="1559" w:type="dxa"/>
            <w:shd w:val="clear" w:color="auto" w:fill="auto"/>
            <w:vAlign w:val="center"/>
          </w:tcPr>
          <w:p w14:paraId="5EA73192" w14:textId="77777777" w:rsidR="005C1CCD" w:rsidRPr="00F40174" w:rsidRDefault="005C1CCD" w:rsidP="004B4CED">
            <w:pPr>
              <w:jc w:val="center"/>
              <w:rPr>
                <w:rFonts w:cs="Arial"/>
                <w:sz w:val="20"/>
                <w:szCs w:val="20"/>
              </w:rPr>
            </w:pPr>
            <w:r w:rsidRPr="00F40174">
              <w:rPr>
                <w:rFonts w:cs="Arial"/>
                <w:sz w:val="20"/>
                <w:szCs w:val="20"/>
              </w:rPr>
              <w:t>26 Jun 07</w:t>
            </w:r>
          </w:p>
        </w:tc>
        <w:tc>
          <w:tcPr>
            <w:tcW w:w="1134" w:type="dxa"/>
            <w:shd w:val="clear" w:color="auto" w:fill="auto"/>
            <w:vAlign w:val="center"/>
          </w:tcPr>
          <w:p w14:paraId="5EA73194" w14:textId="13BEC84A" w:rsidR="005C1CCD" w:rsidRPr="00F40174" w:rsidRDefault="005C1CCD" w:rsidP="00B62BA2">
            <w:pPr>
              <w:jc w:val="center"/>
              <w:rPr>
                <w:rFonts w:cs="Arial"/>
                <w:sz w:val="20"/>
                <w:szCs w:val="20"/>
                <w:highlight w:val="yellow"/>
              </w:rPr>
            </w:pPr>
            <w:r w:rsidRPr="00F40174">
              <w:rPr>
                <w:rFonts w:cs="Arial"/>
                <w:sz w:val="20"/>
                <w:szCs w:val="20"/>
              </w:rPr>
              <w:t>6</w:t>
            </w:r>
            <w:r>
              <w:rPr>
                <w:rFonts w:cs="Arial"/>
                <w:sz w:val="20"/>
                <w:szCs w:val="20"/>
              </w:rPr>
              <w:t xml:space="preserve"> of 6 </w:t>
            </w:r>
          </w:p>
        </w:tc>
        <w:tc>
          <w:tcPr>
            <w:tcW w:w="1701" w:type="dxa"/>
            <w:shd w:val="clear" w:color="auto" w:fill="auto"/>
            <w:vAlign w:val="center"/>
          </w:tcPr>
          <w:p w14:paraId="5EA73195" w14:textId="48DD420D" w:rsidR="005C1CCD" w:rsidRPr="00FE4461" w:rsidRDefault="005C1CCD" w:rsidP="00B62BA2">
            <w:pPr>
              <w:jc w:val="center"/>
              <w:rPr>
                <w:rFonts w:cs="Arial"/>
                <w:sz w:val="20"/>
                <w:szCs w:val="20"/>
              </w:rPr>
            </w:pPr>
            <w:r>
              <w:rPr>
                <w:rFonts w:cs="Arial"/>
                <w:sz w:val="20"/>
                <w:szCs w:val="20"/>
              </w:rPr>
              <w:t>NA</w:t>
            </w:r>
          </w:p>
        </w:tc>
        <w:tc>
          <w:tcPr>
            <w:tcW w:w="1417" w:type="dxa"/>
            <w:shd w:val="clear" w:color="auto" w:fill="auto"/>
            <w:vAlign w:val="center"/>
          </w:tcPr>
          <w:p w14:paraId="5EA73197" w14:textId="605F38B7" w:rsidR="005C1CCD" w:rsidRPr="00FE4461" w:rsidRDefault="005C1CCD" w:rsidP="00B62BA2">
            <w:pPr>
              <w:jc w:val="center"/>
              <w:rPr>
                <w:rFonts w:cs="Arial"/>
                <w:sz w:val="20"/>
                <w:szCs w:val="20"/>
              </w:rPr>
            </w:pPr>
            <w:r>
              <w:rPr>
                <w:rFonts w:cs="Arial"/>
                <w:sz w:val="20"/>
                <w:szCs w:val="20"/>
              </w:rPr>
              <w:t>NA</w:t>
            </w:r>
          </w:p>
        </w:tc>
        <w:tc>
          <w:tcPr>
            <w:tcW w:w="1389" w:type="dxa"/>
            <w:shd w:val="clear" w:color="auto" w:fill="auto"/>
            <w:vAlign w:val="center"/>
          </w:tcPr>
          <w:p w14:paraId="5EA73199" w14:textId="561D5E76" w:rsidR="005C1CCD" w:rsidRPr="00FE4461" w:rsidRDefault="005C1CCD" w:rsidP="00B62BA2">
            <w:pPr>
              <w:jc w:val="center"/>
              <w:rPr>
                <w:rFonts w:cs="Arial"/>
                <w:sz w:val="20"/>
                <w:szCs w:val="20"/>
              </w:rPr>
            </w:pPr>
            <w:r w:rsidRPr="00FE4461">
              <w:rPr>
                <w:rFonts w:cs="Arial"/>
                <w:sz w:val="20"/>
                <w:szCs w:val="20"/>
              </w:rPr>
              <w:t>4</w:t>
            </w:r>
            <w:r>
              <w:rPr>
                <w:rFonts w:cs="Arial"/>
                <w:sz w:val="20"/>
                <w:szCs w:val="20"/>
              </w:rPr>
              <w:t xml:space="preserve"> of 4</w:t>
            </w:r>
          </w:p>
        </w:tc>
        <w:tc>
          <w:tcPr>
            <w:tcW w:w="1304" w:type="dxa"/>
            <w:vAlign w:val="center"/>
          </w:tcPr>
          <w:p w14:paraId="5EA7319B" w14:textId="05960A83" w:rsidR="005C1CCD" w:rsidRPr="00FE4461" w:rsidRDefault="005C1CCD" w:rsidP="00B31B64">
            <w:pPr>
              <w:jc w:val="center"/>
              <w:rPr>
                <w:rFonts w:cs="Arial"/>
                <w:sz w:val="20"/>
                <w:szCs w:val="20"/>
              </w:rPr>
            </w:pPr>
            <w:r>
              <w:rPr>
                <w:rFonts w:cs="Arial"/>
                <w:sz w:val="20"/>
                <w:szCs w:val="20"/>
              </w:rPr>
              <w:t>NA</w:t>
            </w:r>
          </w:p>
        </w:tc>
        <w:tc>
          <w:tcPr>
            <w:tcW w:w="1560" w:type="dxa"/>
            <w:shd w:val="clear" w:color="auto" w:fill="auto"/>
            <w:vAlign w:val="center"/>
          </w:tcPr>
          <w:p w14:paraId="5EA7319D" w14:textId="72765F66" w:rsidR="005C1CCD" w:rsidRPr="00FE4461" w:rsidRDefault="005C1CCD" w:rsidP="00B62BA2">
            <w:pPr>
              <w:jc w:val="center"/>
              <w:rPr>
                <w:rFonts w:cs="Arial"/>
                <w:sz w:val="20"/>
                <w:szCs w:val="20"/>
              </w:rPr>
            </w:pPr>
            <w:r w:rsidRPr="00FE4461">
              <w:rPr>
                <w:rFonts w:cs="Arial"/>
                <w:sz w:val="20"/>
                <w:szCs w:val="20"/>
              </w:rPr>
              <w:t>3</w:t>
            </w:r>
            <w:r>
              <w:rPr>
                <w:rFonts w:cs="Arial"/>
                <w:sz w:val="20"/>
                <w:szCs w:val="20"/>
              </w:rPr>
              <w:t xml:space="preserve"> of 3</w:t>
            </w:r>
          </w:p>
        </w:tc>
        <w:tc>
          <w:tcPr>
            <w:tcW w:w="1048" w:type="dxa"/>
            <w:shd w:val="clear" w:color="auto" w:fill="auto"/>
            <w:vAlign w:val="center"/>
          </w:tcPr>
          <w:p w14:paraId="5EA7319F" w14:textId="22AF580A" w:rsidR="005C1CCD" w:rsidRPr="00FE4461" w:rsidRDefault="005C1CCD" w:rsidP="00B62BA2">
            <w:pPr>
              <w:jc w:val="center"/>
              <w:rPr>
                <w:rFonts w:cs="Arial"/>
                <w:sz w:val="20"/>
                <w:szCs w:val="20"/>
              </w:rPr>
            </w:pPr>
            <w:r>
              <w:rPr>
                <w:rFonts w:cs="Arial"/>
                <w:sz w:val="20"/>
                <w:szCs w:val="20"/>
              </w:rPr>
              <w:t>NA</w:t>
            </w:r>
          </w:p>
        </w:tc>
        <w:tc>
          <w:tcPr>
            <w:tcW w:w="1304" w:type="dxa"/>
            <w:vAlign w:val="center"/>
          </w:tcPr>
          <w:p w14:paraId="5EA731A1" w14:textId="56848F93" w:rsidR="005C1CCD" w:rsidRPr="00FE4461" w:rsidRDefault="005C1CCD" w:rsidP="00B31B64">
            <w:pPr>
              <w:jc w:val="center"/>
              <w:rPr>
                <w:rFonts w:cs="Arial"/>
                <w:sz w:val="20"/>
                <w:szCs w:val="20"/>
              </w:rPr>
            </w:pPr>
            <w:r>
              <w:rPr>
                <w:rFonts w:cs="Arial"/>
                <w:sz w:val="20"/>
                <w:szCs w:val="20"/>
              </w:rPr>
              <w:t>NA</w:t>
            </w:r>
          </w:p>
        </w:tc>
      </w:tr>
      <w:tr w:rsidR="005C1CCD" w:rsidRPr="00B2767F" w14:paraId="5EA731B6" w14:textId="77777777" w:rsidTr="005C1CCD">
        <w:trPr>
          <w:trHeight w:val="284"/>
        </w:trPr>
        <w:tc>
          <w:tcPr>
            <w:tcW w:w="2235" w:type="dxa"/>
            <w:shd w:val="clear" w:color="auto" w:fill="auto"/>
            <w:vAlign w:val="center"/>
          </w:tcPr>
          <w:p w14:paraId="5EA731A4" w14:textId="77777777" w:rsidR="005C1CCD" w:rsidRPr="00F40174" w:rsidRDefault="005C1CCD" w:rsidP="007B2B61">
            <w:pPr>
              <w:rPr>
                <w:rFonts w:cs="Arial"/>
                <w:sz w:val="20"/>
                <w:szCs w:val="20"/>
              </w:rPr>
            </w:pPr>
            <w:r w:rsidRPr="00F40174">
              <w:rPr>
                <w:rFonts w:cs="Arial"/>
                <w:sz w:val="20"/>
                <w:szCs w:val="20"/>
              </w:rPr>
              <w:t>Caroline Waldron</w:t>
            </w:r>
          </w:p>
        </w:tc>
        <w:tc>
          <w:tcPr>
            <w:tcW w:w="1559" w:type="dxa"/>
            <w:shd w:val="clear" w:color="auto" w:fill="auto"/>
            <w:vAlign w:val="center"/>
          </w:tcPr>
          <w:p w14:paraId="5EA731A5" w14:textId="77777777" w:rsidR="005C1CCD" w:rsidRPr="00F40174" w:rsidRDefault="005C1CCD" w:rsidP="004B4CED">
            <w:pPr>
              <w:jc w:val="center"/>
              <w:rPr>
                <w:rFonts w:cs="Arial"/>
                <w:sz w:val="20"/>
                <w:szCs w:val="20"/>
              </w:rPr>
            </w:pPr>
            <w:r w:rsidRPr="00F40174">
              <w:rPr>
                <w:rFonts w:cs="Arial"/>
                <w:sz w:val="20"/>
                <w:szCs w:val="20"/>
              </w:rPr>
              <w:t>08 Nov 13</w:t>
            </w:r>
          </w:p>
        </w:tc>
        <w:tc>
          <w:tcPr>
            <w:tcW w:w="1134" w:type="dxa"/>
            <w:shd w:val="clear" w:color="auto" w:fill="auto"/>
            <w:vAlign w:val="center"/>
          </w:tcPr>
          <w:p w14:paraId="5EA731A7" w14:textId="19167189" w:rsidR="005C1CCD" w:rsidRPr="00F40174" w:rsidRDefault="005C1CCD" w:rsidP="00B62BA2">
            <w:pPr>
              <w:jc w:val="center"/>
              <w:rPr>
                <w:rFonts w:cs="Arial"/>
                <w:sz w:val="20"/>
                <w:szCs w:val="20"/>
                <w:highlight w:val="yellow"/>
              </w:rPr>
            </w:pPr>
            <w:r w:rsidRPr="00F40174">
              <w:rPr>
                <w:rFonts w:cs="Arial"/>
                <w:sz w:val="20"/>
                <w:szCs w:val="20"/>
              </w:rPr>
              <w:t>6</w:t>
            </w:r>
            <w:r>
              <w:rPr>
                <w:rFonts w:cs="Arial"/>
                <w:sz w:val="20"/>
                <w:szCs w:val="20"/>
              </w:rPr>
              <w:t xml:space="preserve"> of 6 </w:t>
            </w:r>
          </w:p>
        </w:tc>
        <w:tc>
          <w:tcPr>
            <w:tcW w:w="1701" w:type="dxa"/>
            <w:shd w:val="clear" w:color="auto" w:fill="auto"/>
            <w:vAlign w:val="center"/>
          </w:tcPr>
          <w:p w14:paraId="5EA731A8" w14:textId="6B3BD1A6" w:rsidR="005C1CCD" w:rsidRPr="00FE4461" w:rsidRDefault="005C1CCD" w:rsidP="00B62BA2">
            <w:pPr>
              <w:jc w:val="center"/>
              <w:rPr>
                <w:rFonts w:cs="Arial"/>
                <w:sz w:val="20"/>
                <w:szCs w:val="20"/>
              </w:rPr>
            </w:pPr>
            <w:r>
              <w:rPr>
                <w:rFonts w:cs="Arial"/>
                <w:sz w:val="20"/>
                <w:szCs w:val="20"/>
              </w:rPr>
              <w:t>NA</w:t>
            </w:r>
          </w:p>
        </w:tc>
        <w:tc>
          <w:tcPr>
            <w:tcW w:w="1417" w:type="dxa"/>
            <w:shd w:val="clear" w:color="auto" w:fill="auto"/>
            <w:vAlign w:val="center"/>
          </w:tcPr>
          <w:p w14:paraId="5EA731AA" w14:textId="400FA776" w:rsidR="005C1CCD" w:rsidRPr="00FE4461" w:rsidRDefault="005C1CCD" w:rsidP="00B62BA2">
            <w:pPr>
              <w:jc w:val="center"/>
              <w:rPr>
                <w:rFonts w:cs="Arial"/>
                <w:sz w:val="20"/>
                <w:szCs w:val="20"/>
              </w:rPr>
            </w:pPr>
            <w:r>
              <w:rPr>
                <w:rFonts w:cs="Arial"/>
                <w:sz w:val="20"/>
                <w:szCs w:val="20"/>
              </w:rPr>
              <w:t>NA</w:t>
            </w:r>
          </w:p>
        </w:tc>
        <w:tc>
          <w:tcPr>
            <w:tcW w:w="1389" w:type="dxa"/>
            <w:shd w:val="clear" w:color="auto" w:fill="auto"/>
            <w:vAlign w:val="center"/>
          </w:tcPr>
          <w:p w14:paraId="5EA731AC" w14:textId="124DEF7E" w:rsidR="005C1CCD" w:rsidRPr="00FE4461" w:rsidRDefault="005C1CCD" w:rsidP="00B62BA2">
            <w:pPr>
              <w:jc w:val="center"/>
              <w:rPr>
                <w:rFonts w:cs="Arial"/>
                <w:sz w:val="20"/>
                <w:szCs w:val="20"/>
              </w:rPr>
            </w:pPr>
            <w:r>
              <w:rPr>
                <w:rFonts w:cs="Arial"/>
                <w:sz w:val="20"/>
                <w:szCs w:val="20"/>
              </w:rPr>
              <w:t>NA</w:t>
            </w:r>
          </w:p>
        </w:tc>
        <w:tc>
          <w:tcPr>
            <w:tcW w:w="1304" w:type="dxa"/>
            <w:vAlign w:val="center"/>
          </w:tcPr>
          <w:p w14:paraId="5EA731AE" w14:textId="64F08FBE" w:rsidR="005C1CCD" w:rsidRPr="00FE4461" w:rsidRDefault="005C1CCD" w:rsidP="00B31B64">
            <w:pPr>
              <w:jc w:val="center"/>
              <w:rPr>
                <w:rFonts w:cs="Arial"/>
                <w:sz w:val="20"/>
                <w:szCs w:val="20"/>
              </w:rPr>
            </w:pPr>
            <w:r w:rsidRPr="00FE4461">
              <w:rPr>
                <w:rFonts w:cs="Arial"/>
                <w:sz w:val="20"/>
                <w:szCs w:val="20"/>
              </w:rPr>
              <w:t>4</w:t>
            </w:r>
            <w:r>
              <w:rPr>
                <w:rFonts w:cs="Arial"/>
                <w:sz w:val="20"/>
                <w:szCs w:val="20"/>
              </w:rPr>
              <w:t xml:space="preserve"> of 4</w:t>
            </w:r>
          </w:p>
        </w:tc>
        <w:tc>
          <w:tcPr>
            <w:tcW w:w="1560" w:type="dxa"/>
            <w:shd w:val="clear" w:color="auto" w:fill="auto"/>
            <w:vAlign w:val="center"/>
          </w:tcPr>
          <w:p w14:paraId="5EA731B0" w14:textId="5F180A4E" w:rsidR="005C1CCD" w:rsidRPr="00FE4461" w:rsidRDefault="005C1CCD" w:rsidP="00B62BA2">
            <w:pPr>
              <w:jc w:val="center"/>
              <w:rPr>
                <w:rFonts w:cs="Arial"/>
                <w:sz w:val="20"/>
                <w:szCs w:val="20"/>
              </w:rPr>
            </w:pPr>
            <w:r>
              <w:rPr>
                <w:rFonts w:cs="Arial"/>
                <w:sz w:val="20"/>
                <w:szCs w:val="20"/>
              </w:rPr>
              <w:t>NA</w:t>
            </w:r>
          </w:p>
        </w:tc>
        <w:tc>
          <w:tcPr>
            <w:tcW w:w="1048" w:type="dxa"/>
            <w:shd w:val="clear" w:color="auto" w:fill="auto"/>
            <w:vAlign w:val="center"/>
          </w:tcPr>
          <w:p w14:paraId="5EA731B2" w14:textId="59C5D4C2" w:rsidR="005C1CCD" w:rsidRPr="00FE4461" w:rsidRDefault="005C1CCD" w:rsidP="00B62BA2">
            <w:pPr>
              <w:jc w:val="center"/>
              <w:rPr>
                <w:rFonts w:cs="Arial"/>
                <w:sz w:val="20"/>
                <w:szCs w:val="20"/>
              </w:rPr>
            </w:pPr>
            <w:r>
              <w:rPr>
                <w:rFonts w:cs="Arial"/>
                <w:sz w:val="20"/>
                <w:szCs w:val="20"/>
              </w:rPr>
              <w:t>NA</w:t>
            </w:r>
          </w:p>
        </w:tc>
        <w:tc>
          <w:tcPr>
            <w:tcW w:w="1304" w:type="dxa"/>
            <w:vAlign w:val="center"/>
          </w:tcPr>
          <w:p w14:paraId="5EA731B4" w14:textId="0BBAB74B" w:rsidR="005C1CCD" w:rsidRPr="00FE4461" w:rsidRDefault="005C1CCD" w:rsidP="00B31B64">
            <w:pPr>
              <w:jc w:val="center"/>
              <w:rPr>
                <w:rFonts w:cs="Arial"/>
                <w:sz w:val="20"/>
                <w:szCs w:val="20"/>
              </w:rPr>
            </w:pPr>
            <w:r>
              <w:rPr>
                <w:rFonts w:cs="Arial"/>
                <w:sz w:val="20"/>
                <w:szCs w:val="20"/>
              </w:rPr>
              <w:t>NA</w:t>
            </w:r>
          </w:p>
        </w:tc>
      </w:tr>
      <w:tr w:rsidR="005C1CCD" w:rsidRPr="00B2767F" w14:paraId="5EA731C9" w14:textId="77777777" w:rsidTr="005C1CCD">
        <w:trPr>
          <w:trHeight w:val="284"/>
        </w:trPr>
        <w:tc>
          <w:tcPr>
            <w:tcW w:w="2235" w:type="dxa"/>
            <w:shd w:val="clear" w:color="auto" w:fill="auto"/>
            <w:vAlign w:val="center"/>
          </w:tcPr>
          <w:p w14:paraId="5EA731B7" w14:textId="77777777" w:rsidR="005C1CCD" w:rsidRPr="00F40174" w:rsidRDefault="005C1CCD" w:rsidP="007B2B61">
            <w:pPr>
              <w:rPr>
                <w:rFonts w:cs="Arial"/>
                <w:sz w:val="20"/>
                <w:szCs w:val="20"/>
              </w:rPr>
            </w:pPr>
            <w:r w:rsidRPr="00F40174">
              <w:rPr>
                <w:rFonts w:cs="Arial"/>
                <w:sz w:val="20"/>
                <w:szCs w:val="20"/>
              </w:rPr>
              <w:t>Sara Watts</w:t>
            </w:r>
          </w:p>
        </w:tc>
        <w:tc>
          <w:tcPr>
            <w:tcW w:w="1559" w:type="dxa"/>
            <w:shd w:val="clear" w:color="auto" w:fill="auto"/>
            <w:vAlign w:val="center"/>
          </w:tcPr>
          <w:p w14:paraId="5EA731B8" w14:textId="77777777" w:rsidR="005C1CCD" w:rsidRPr="00F40174" w:rsidRDefault="005C1CCD" w:rsidP="00B31B64">
            <w:pPr>
              <w:jc w:val="center"/>
              <w:rPr>
                <w:rFonts w:cs="Arial"/>
                <w:sz w:val="20"/>
                <w:szCs w:val="20"/>
              </w:rPr>
            </w:pPr>
            <w:r w:rsidRPr="00F40174">
              <w:rPr>
                <w:rFonts w:cs="Arial"/>
                <w:sz w:val="20"/>
                <w:szCs w:val="20"/>
              </w:rPr>
              <w:t>08 Nov 13</w:t>
            </w:r>
          </w:p>
        </w:tc>
        <w:tc>
          <w:tcPr>
            <w:tcW w:w="1134" w:type="dxa"/>
            <w:shd w:val="clear" w:color="auto" w:fill="auto"/>
            <w:vAlign w:val="center"/>
          </w:tcPr>
          <w:p w14:paraId="5EA731BA" w14:textId="0D0E6685" w:rsidR="005C1CCD" w:rsidRPr="00F40174" w:rsidRDefault="005C1CCD" w:rsidP="00B31B64">
            <w:pPr>
              <w:jc w:val="center"/>
              <w:rPr>
                <w:rFonts w:cs="Arial"/>
                <w:sz w:val="20"/>
                <w:szCs w:val="20"/>
                <w:highlight w:val="yellow"/>
              </w:rPr>
            </w:pPr>
            <w:r w:rsidRPr="00F40174">
              <w:rPr>
                <w:rFonts w:cs="Arial"/>
                <w:sz w:val="20"/>
                <w:szCs w:val="20"/>
              </w:rPr>
              <w:t>6</w:t>
            </w:r>
            <w:r>
              <w:rPr>
                <w:rFonts w:cs="Arial"/>
                <w:sz w:val="20"/>
                <w:szCs w:val="20"/>
              </w:rPr>
              <w:t xml:space="preserve"> of 6 </w:t>
            </w:r>
          </w:p>
        </w:tc>
        <w:tc>
          <w:tcPr>
            <w:tcW w:w="1701" w:type="dxa"/>
            <w:shd w:val="clear" w:color="auto" w:fill="auto"/>
            <w:vAlign w:val="center"/>
          </w:tcPr>
          <w:p w14:paraId="5EA731BB" w14:textId="2AE34547" w:rsidR="005C1CCD" w:rsidRPr="00FE4461" w:rsidRDefault="005C1CCD" w:rsidP="00B62BA2">
            <w:pPr>
              <w:jc w:val="center"/>
              <w:rPr>
                <w:rFonts w:cs="Arial"/>
                <w:sz w:val="20"/>
                <w:szCs w:val="20"/>
              </w:rPr>
            </w:pPr>
            <w:r w:rsidRPr="00FE4461">
              <w:rPr>
                <w:rFonts w:cs="Arial"/>
                <w:sz w:val="20"/>
                <w:szCs w:val="20"/>
              </w:rPr>
              <w:t>6</w:t>
            </w:r>
            <w:r>
              <w:rPr>
                <w:rFonts w:cs="Arial"/>
                <w:sz w:val="20"/>
                <w:szCs w:val="20"/>
              </w:rPr>
              <w:t xml:space="preserve"> of 8</w:t>
            </w:r>
          </w:p>
        </w:tc>
        <w:tc>
          <w:tcPr>
            <w:tcW w:w="1417" w:type="dxa"/>
            <w:shd w:val="clear" w:color="auto" w:fill="auto"/>
            <w:vAlign w:val="center"/>
          </w:tcPr>
          <w:p w14:paraId="5EA731BD" w14:textId="339831AF" w:rsidR="005C1CCD" w:rsidRPr="00FE4461" w:rsidRDefault="005C1CCD" w:rsidP="00B62BA2">
            <w:pPr>
              <w:jc w:val="center"/>
              <w:rPr>
                <w:rFonts w:cs="Arial"/>
                <w:sz w:val="20"/>
                <w:szCs w:val="20"/>
              </w:rPr>
            </w:pPr>
            <w:r>
              <w:rPr>
                <w:rFonts w:cs="Arial"/>
                <w:sz w:val="20"/>
                <w:szCs w:val="20"/>
              </w:rPr>
              <w:t>NA</w:t>
            </w:r>
          </w:p>
        </w:tc>
        <w:tc>
          <w:tcPr>
            <w:tcW w:w="1389" w:type="dxa"/>
            <w:shd w:val="clear" w:color="auto" w:fill="auto"/>
            <w:vAlign w:val="center"/>
          </w:tcPr>
          <w:p w14:paraId="5EA731BF" w14:textId="52E9767C" w:rsidR="005C1CCD" w:rsidRPr="00FE4461" w:rsidRDefault="005C1CCD" w:rsidP="00B62BA2">
            <w:pPr>
              <w:jc w:val="center"/>
              <w:rPr>
                <w:rFonts w:cs="Arial"/>
                <w:sz w:val="20"/>
                <w:szCs w:val="20"/>
              </w:rPr>
            </w:pPr>
            <w:r>
              <w:rPr>
                <w:rFonts w:cs="Arial"/>
                <w:sz w:val="20"/>
                <w:szCs w:val="20"/>
              </w:rPr>
              <w:t>NA</w:t>
            </w:r>
          </w:p>
        </w:tc>
        <w:tc>
          <w:tcPr>
            <w:tcW w:w="1304" w:type="dxa"/>
            <w:vAlign w:val="center"/>
          </w:tcPr>
          <w:p w14:paraId="5EA731C1" w14:textId="1A043BCC" w:rsidR="005C1CCD" w:rsidRPr="00FE4461" w:rsidRDefault="005C1CCD" w:rsidP="00B31B64">
            <w:pPr>
              <w:jc w:val="center"/>
              <w:rPr>
                <w:rFonts w:cs="Arial"/>
                <w:sz w:val="20"/>
                <w:szCs w:val="20"/>
              </w:rPr>
            </w:pPr>
            <w:r>
              <w:rPr>
                <w:rFonts w:cs="Arial"/>
                <w:sz w:val="20"/>
                <w:szCs w:val="20"/>
              </w:rPr>
              <w:t>NA</w:t>
            </w:r>
          </w:p>
        </w:tc>
        <w:tc>
          <w:tcPr>
            <w:tcW w:w="1560" w:type="dxa"/>
            <w:shd w:val="clear" w:color="auto" w:fill="auto"/>
            <w:vAlign w:val="center"/>
          </w:tcPr>
          <w:p w14:paraId="5EA731C3" w14:textId="38503EFC" w:rsidR="005C1CCD" w:rsidRPr="00FE4461" w:rsidRDefault="005C1CCD" w:rsidP="00B62BA2">
            <w:pPr>
              <w:jc w:val="center"/>
              <w:rPr>
                <w:rFonts w:cs="Arial"/>
                <w:sz w:val="20"/>
                <w:szCs w:val="20"/>
              </w:rPr>
            </w:pPr>
            <w:r>
              <w:rPr>
                <w:rFonts w:cs="Arial"/>
                <w:sz w:val="20"/>
                <w:szCs w:val="20"/>
              </w:rPr>
              <w:t>NA</w:t>
            </w:r>
          </w:p>
        </w:tc>
        <w:tc>
          <w:tcPr>
            <w:tcW w:w="1048" w:type="dxa"/>
            <w:shd w:val="clear" w:color="auto" w:fill="auto"/>
            <w:vAlign w:val="center"/>
          </w:tcPr>
          <w:p w14:paraId="5EA731C5" w14:textId="7F947B2B" w:rsidR="005C1CCD" w:rsidRPr="00FE4461" w:rsidRDefault="005C1CCD" w:rsidP="00B62BA2">
            <w:pPr>
              <w:jc w:val="center"/>
              <w:rPr>
                <w:rFonts w:cs="Arial"/>
                <w:sz w:val="20"/>
                <w:szCs w:val="20"/>
              </w:rPr>
            </w:pPr>
            <w:r w:rsidRPr="00FE4461">
              <w:rPr>
                <w:rFonts w:cs="Arial"/>
                <w:sz w:val="20"/>
                <w:szCs w:val="20"/>
              </w:rPr>
              <w:t>6</w:t>
            </w:r>
            <w:r>
              <w:rPr>
                <w:rFonts w:cs="Arial"/>
                <w:sz w:val="20"/>
                <w:szCs w:val="20"/>
              </w:rPr>
              <w:t xml:space="preserve"> of 6 </w:t>
            </w:r>
          </w:p>
        </w:tc>
        <w:tc>
          <w:tcPr>
            <w:tcW w:w="1304" w:type="dxa"/>
            <w:vAlign w:val="center"/>
          </w:tcPr>
          <w:p w14:paraId="5EA731C7" w14:textId="00FD56A1" w:rsidR="005C1CCD" w:rsidRPr="00FE4461" w:rsidRDefault="005C1CCD" w:rsidP="00B31B64">
            <w:pPr>
              <w:jc w:val="center"/>
              <w:rPr>
                <w:rFonts w:cs="Arial"/>
                <w:sz w:val="20"/>
                <w:szCs w:val="20"/>
              </w:rPr>
            </w:pPr>
            <w:r>
              <w:rPr>
                <w:rFonts w:cs="Arial"/>
                <w:sz w:val="20"/>
                <w:szCs w:val="20"/>
              </w:rPr>
              <w:t xml:space="preserve">5 of </w:t>
            </w:r>
            <w:r w:rsidRPr="00FE4461">
              <w:rPr>
                <w:rFonts w:cs="Arial"/>
                <w:sz w:val="20"/>
                <w:szCs w:val="20"/>
              </w:rPr>
              <w:t>6</w:t>
            </w:r>
          </w:p>
        </w:tc>
      </w:tr>
      <w:tr w:rsidR="005C1CCD" w:rsidRPr="00B2767F" w14:paraId="5EA731DC" w14:textId="77777777" w:rsidTr="005C1CCD">
        <w:trPr>
          <w:trHeight w:val="284"/>
        </w:trPr>
        <w:tc>
          <w:tcPr>
            <w:tcW w:w="2235" w:type="dxa"/>
            <w:shd w:val="clear" w:color="auto" w:fill="auto"/>
            <w:vAlign w:val="center"/>
          </w:tcPr>
          <w:p w14:paraId="5EA731CA" w14:textId="77777777" w:rsidR="005C1CCD" w:rsidRPr="00F40174" w:rsidRDefault="005C1CCD" w:rsidP="001C1097">
            <w:pPr>
              <w:rPr>
                <w:rFonts w:cs="Arial"/>
                <w:sz w:val="20"/>
                <w:szCs w:val="20"/>
              </w:rPr>
            </w:pPr>
            <w:r w:rsidRPr="00F40174">
              <w:rPr>
                <w:rFonts w:cs="Arial"/>
                <w:sz w:val="20"/>
                <w:szCs w:val="20"/>
              </w:rPr>
              <w:t>Heith Mackay-Cruise</w:t>
            </w:r>
          </w:p>
        </w:tc>
        <w:tc>
          <w:tcPr>
            <w:tcW w:w="1559" w:type="dxa"/>
            <w:shd w:val="clear" w:color="auto" w:fill="auto"/>
            <w:vAlign w:val="center"/>
          </w:tcPr>
          <w:p w14:paraId="5EA731CB" w14:textId="77777777" w:rsidR="005C1CCD" w:rsidRPr="00F40174" w:rsidRDefault="005C1CCD" w:rsidP="001C1097">
            <w:pPr>
              <w:jc w:val="center"/>
              <w:rPr>
                <w:rFonts w:cs="Arial"/>
                <w:sz w:val="20"/>
                <w:szCs w:val="20"/>
              </w:rPr>
            </w:pPr>
            <w:r w:rsidRPr="00F40174">
              <w:rPr>
                <w:rFonts w:cs="Arial"/>
                <w:sz w:val="20"/>
                <w:szCs w:val="20"/>
              </w:rPr>
              <w:t>08 Nov 13</w:t>
            </w:r>
          </w:p>
        </w:tc>
        <w:tc>
          <w:tcPr>
            <w:tcW w:w="1134" w:type="dxa"/>
            <w:shd w:val="clear" w:color="auto" w:fill="auto"/>
            <w:vAlign w:val="center"/>
          </w:tcPr>
          <w:p w14:paraId="5EA731CD" w14:textId="7C7FB64F" w:rsidR="005C1CCD" w:rsidRPr="00F40174" w:rsidRDefault="005C1CCD" w:rsidP="001C1097">
            <w:pPr>
              <w:jc w:val="center"/>
              <w:rPr>
                <w:rFonts w:cs="Arial"/>
                <w:sz w:val="20"/>
                <w:szCs w:val="20"/>
                <w:highlight w:val="yellow"/>
              </w:rPr>
            </w:pPr>
            <w:r w:rsidRPr="00F40174">
              <w:rPr>
                <w:rFonts w:cs="Arial"/>
                <w:sz w:val="20"/>
                <w:szCs w:val="20"/>
              </w:rPr>
              <w:t>6</w:t>
            </w:r>
            <w:r>
              <w:rPr>
                <w:rFonts w:cs="Arial"/>
                <w:sz w:val="20"/>
                <w:szCs w:val="20"/>
              </w:rPr>
              <w:t xml:space="preserve"> of 6 </w:t>
            </w:r>
          </w:p>
        </w:tc>
        <w:tc>
          <w:tcPr>
            <w:tcW w:w="1701" w:type="dxa"/>
            <w:shd w:val="clear" w:color="auto" w:fill="auto"/>
            <w:vAlign w:val="center"/>
          </w:tcPr>
          <w:p w14:paraId="5EA731CE" w14:textId="7246FA7F" w:rsidR="005C1CCD" w:rsidRPr="00FE4461" w:rsidRDefault="005C1CCD" w:rsidP="001C1097">
            <w:pPr>
              <w:jc w:val="center"/>
              <w:rPr>
                <w:rFonts w:cs="Arial"/>
                <w:sz w:val="20"/>
                <w:szCs w:val="20"/>
              </w:rPr>
            </w:pPr>
            <w:r>
              <w:rPr>
                <w:rFonts w:cs="Arial"/>
                <w:sz w:val="20"/>
                <w:szCs w:val="20"/>
              </w:rPr>
              <w:t>NA</w:t>
            </w:r>
          </w:p>
        </w:tc>
        <w:tc>
          <w:tcPr>
            <w:tcW w:w="1417" w:type="dxa"/>
            <w:shd w:val="clear" w:color="auto" w:fill="auto"/>
            <w:vAlign w:val="center"/>
          </w:tcPr>
          <w:p w14:paraId="5EA731D0" w14:textId="064547E1" w:rsidR="005C1CCD" w:rsidRPr="00FE4461" w:rsidRDefault="005C1CCD" w:rsidP="001C1097">
            <w:pPr>
              <w:jc w:val="center"/>
              <w:rPr>
                <w:rFonts w:cs="Arial"/>
                <w:sz w:val="20"/>
                <w:szCs w:val="20"/>
              </w:rPr>
            </w:pPr>
            <w:r>
              <w:rPr>
                <w:rFonts w:cs="Arial"/>
                <w:sz w:val="20"/>
                <w:szCs w:val="20"/>
              </w:rPr>
              <w:t>2 of 3</w:t>
            </w:r>
          </w:p>
        </w:tc>
        <w:tc>
          <w:tcPr>
            <w:tcW w:w="1389" w:type="dxa"/>
            <w:shd w:val="clear" w:color="auto" w:fill="auto"/>
            <w:vAlign w:val="center"/>
          </w:tcPr>
          <w:p w14:paraId="5EA731D2" w14:textId="3FBDB261" w:rsidR="005C1CCD" w:rsidRPr="00FE4461" w:rsidRDefault="005C1CCD" w:rsidP="001C1097">
            <w:pPr>
              <w:jc w:val="center"/>
              <w:rPr>
                <w:rFonts w:cs="Arial"/>
                <w:sz w:val="20"/>
                <w:szCs w:val="20"/>
              </w:rPr>
            </w:pPr>
            <w:r w:rsidRPr="00FE4461">
              <w:rPr>
                <w:rFonts w:cs="Arial"/>
                <w:sz w:val="20"/>
                <w:szCs w:val="20"/>
              </w:rPr>
              <w:t>4</w:t>
            </w:r>
            <w:r>
              <w:rPr>
                <w:rFonts w:cs="Arial"/>
                <w:sz w:val="20"/>
                <w:szCs w:val="20"/>
              </w:rPr>
              <w:t xml:space="preserve"> of 4</w:t>
            </w:r>
          </w:p>
        </w:tc>
        <w:tc>
          <w:tcPr>
            <w:tcW w:w="1304" w:type="dxa"/>
            <w:vAlign w:val="center"/>
          </w:tcPr>
          <w:p w14:paraId="5EA731D4" w14:textId="4C454F69" w:rsidR="005C1CCD" w:rsidRPr="00FE4461" w:rsidRDefault="005C1CCD" w:rsidP="001C1097">
            <w:pPr>
              <w:jc w:val="center"/>
              <w:rPr>
                <w:rFonts w:cs="Arial"/>
                <w:sz w:val="20"/>
                <w:szCs w:val="20"/>
              </w:rPr>
            </w:pPr>
            <w:r>
              <w:rPr>
                <w:rFonts w:cs="Arial"/>
                <w:sz w:val="20"/>
                <w:szCs w:val="20"/>
              </w:rPr>
              <w:t>NA</w:t>
            </w:r>
          </w:p>
        </w:tc>
        <w:tc>
          <w:tcPr>
            <w:tcW w:w="1560" w:type="dxa"/>
            <w:shd w:val="clear" w:color="auto" w:fill="auto"/>
            <w:vAlign w:val="center"/>
          </w:tcPr>
          <w:p w14:paraId="5EA731D6" w14:textId="798D0B8E" w:rsidR="005C1CCD" w:rsidRPr="00FE4461" w:rsidRDefault="005C1CCD" w:rsidP="001C1097">
            <w:pPr>
              <w:jc w:val="center"/>
              <w:rPr>
                <w:rFonts w:cs="Arial"/>
                <w:sz w:val="20"/>
                <w:szCs w:val="20"/>
              </w:rPr>
            </w:pPr>
            <w:r>
              <w:rPr>
                <w:rFonts w:cs="Arial"/>
                <w:sz w:val="20"/>
                <w:szCs w:val="20"/>
              </w:rPr>
              <w:t>NA</w:t>
            </w:r>
          </w:p>
        </w:tc>
        <w:tc>
          <w:tcPr>
            <w:tcW w:w="1048" w:type="dxa"/>
            <w:shd w:val="clear" w:color="auto" w:fill="auto"/>
            <w:vAlign w:val="center"/>
          </w:tcPr>
          <w:p w14:paraId="5EA731D8" w14:textId="2DE67F0A" w:rsidR="005C1CCD" w:rsidRPr="00FE4461" w:rsidRDefault="005C1CCD" w:rsidP="001C1097">
            <w:pPr>
              <w:jc w:val="center"/>
              <w:rPr>
                <w:rFonts w:cs="Arial"/>
                <w:sz w:val="20"/>
                <w:szCs w:val="20"/>
              </w:rPr>
            </w:pPr>
            <w:r>
              <w:rPr>
                <w:rFonts w:cs="Arial"/>
                <w:sz w:val="20"/>
                <w:szCs w:val="20"/>
              </w:rPr>
              <w:t>NA</w:t>
            </w:r>
          </w:p>
        </w:tc>
        <w:tc>
          <w:tcPr>
            <w:tcW w:w="1304" w:type="dxa"/>
            <w:vAlign w:val="center"/>
          </w:tcPr>
          <w:p w14:paraId="5EA731DA" w14:textId="11F102D5" w:rsidR="005C1CCD" w:rsidRPr="00FE4461" w:rsidRDefault="005C1CCD" w:rsidP="001C1097">
            <w:pPr>
              <w:jc w:val="center"/>
              <w:rPr>
                <w:rFonts w:cs="Arial"/>
                <w:sz w:val="20"/>
                <w:szCs w:val="20"/>
              </w:rPr>
            </w:pPr>
            <w:r>
              <w:rPr>
                <w:rFonts w:cs="Arial"/>
                <w:sz w:val="20"/>
                <w:szCs w:val="20"/>
              </w:rPr>
              <w:t xml:space="preserve">5 of </w:t>
            </w:r>
            <w:r w:rsidRPr="00FE4461">
              <w:rPr>
                <w:rFonts w:cs="Arial"/>
                <w:sz w:val="20"/>
                <w:szCs w:val="20"/>
              </w:rPr>
              <w:t>6</w:t>
            </w:r>
          </w:p>
        </w:tc>
      </w:tr>
      <w:tr w:rsidR="005C1CCD" w:rsidRPr="00B2767F" w14:paraId="5EA731EF" w14:textId="77777777" w:rsidTr="005C1CCD">
        <w:trPr>
          <w:trHeight w:val="284"/>
        </w:trPr>
        <w:tc>
          <w:tcPr>
            <w:tcW w:w="2235" w:type="dxa"/>
            <w:shd w:val="clear" w:color="auto" w:fill="auto"/>
            <w:vAlign w:val="center"/>
          </w:tcPr>
          <w:p w14:paraId="5EA731DD" w14:textId="77777777" w:rsidR="005C1CCD" w:rsidRDefault="005C1CCD" w:rsidP="001C1097">
            <w:pPr>
              <w:rPr>
                <w:rFonts w:cs="Arial"/>
                <w:sz w:val="20"/>
                <w:szCs w:val="20"/>
              </w:rPr>
            </w:pPr>
            <w:r>
              <w:rPr>
                <w:rFonts w:cs="Arial"/>
                <w:sz w:val="20"/>
                <w:szCs w:val="20"/>
              </w:rPr>
              <w:t>Bill Jolley</w:t>
            </w:r>
          </w:p>
        </w:tc>
        <w:tc>
          <w:tcPr>
            <w:tcW w:w="1559" w:type="dxa"/>
            <w:shd w:val="clear" w:color="auto" w:fill="auto"/>
            <w:vAlign w:val="center"/>
          </w:tcPr>
          <w:p w14:paraId="5EA731DE" w14:textId="77777777" w:rsidR="005C1CCD" w:rsidRPr="00F40174" w:rsidRDefault="005C1CCD" w:rsidP="001C1097">
            <w:pPr>
              <w:jc w:val="center"/>
              <w:rPr>
                <w:rFonts w:cs="Arial"/>
                <w:sz w:val="20"/>
                <w:szCs w:val="20"/>
              </w:rPr>
            </w:pPr>
            <w:r>
              <w:rPr>
                <w:rFonts w:cs="Arial"/>
                <w:sz w:val="20"/>
                <w:szCs w:val="20"/>
              </w:rPr>
              <w:t>01 Jul 14</w:t>
            </w:r>
          </w:p>
        </w:tc>
        <w:tc>
          <w:tcPr>
            <w:tcW w:w="1134" w:type="dxa"/>
            <w:shd w:val="clear" w:color="auto" w:fill="auto"/>
            <w:vAlign w:val="center"/>
          </w:tcPr>
          <w:p w14:paraId="5EA731E0" w14:textId="4A81E52B" w:rsidR="005C1CCD" w:rsidRPr="00F40174" w:rsidRDefault="005C1CCD" w:rsidP="001C1097">
            <w:pPr>
              <w:jc w:val="center"/>
              <w:rPr>
                <w:rFonts w:cs="Arial"/>
                <w:sz w:val="20"/>
                <w:szCs w:val="20"/>
              </w:rPr>
            </w:pPr>
            <w:r w:rsidRPr="00F40174">
              <w:rPr>
                <w:rFonts w:cs="Arial"/>
                <w:sz w:val="20"/>
                <w:szCs w:val="20"/>
              </w:rPr>
              <w:t>6</w:t>
            </w:r>
            <w:r>
              <w:rPr>
                <w:rFonts w:cs="Arial"/>
                <w:sz w:val="20"/>
                <w:szCs w:val="20"/>
              </w:rPr>
              <w:t xml:space="preserve"> of 6 </w:t>
            </w:r>
          </w:p>
        </w:tc>
        <w:tc>
          <w:tcPr>
            <w:tcW w:w="1701" w:type="dxa"/>
            <w:shd w:val="clear" w:color="auto" w:fill="auto"/>
            <w:vAlign w:val="center"/>
          </w:tcPr>
          <w:p w14:paraId="5EA731E1" w14:textId="09B1D501" w:rsidR="005C1CCD" w:rsidRPr="00FE4461" w:rsidRDefault="005C1CCD" w:rsidP="001C1097">
            <w:pPr>
              <w:jc w:val="center"/>
              <w:rPr>
                <w:rFonts w:cs="Arial"/>
                <w:sz w:val="20"/>
                <w:szCs w:val="20"/>
              </w:rPr>
            </w:pPr>
            <w:r>
              <w:rPr>
                <w:rFonts w:cs="Arial"/>
                <w:sz w:val="20"/>
                <w:szCs w:val="20"/>
              </w:rPr>
              <w:t>8 of 8</w:t>
            </w:r>
          </w:p>
        </w:tc>
        <w:tc>
          <w:tcPr>
            <w:tcW w:w="1417" w:type="dxa"/>
            <w:shd w:val="clear" w:color="auto" w:fill="auto"/>
            <w:vAlign w:val="center"/>
          </w:tcPr>
          <w:p w14:paraId="5EA731E3" w14:textId="128DA182" w:rsidR="005C1CCD" w:rsidRPr="00FE4461" w:rsidRDefault="005C1CCD" w:rsidP="001C1097">
            <w:pPr>
              <w:jc w:val="center"/>
              <w:rPr>
                <w:rFonts w:cs="Arial"/>
                <w:sz w:val="20"/>
                <w:szCs w:val="20"/>
              </w:rPr>
            </w:pPr>
            <w:r>
              <w:rPr>
                <w:rFonts w:cs="Arial"/>
                <w:sz w:val="20"/>
                <w:szCs w:val="20"/>
              </w:rPr>
              <w:t>NA</w:t>
            </w:r>
          </w:p>
        </w:tc>
        <w:tc>
          <w:tcPr>
            <w:tcW w:w="1389" w:type="dxa"/>
            <w:shd w:val="clear" w:color="auto" w:fill="auto"/>
            <w:vAlign w:val="center"/>
          </w:tcPr>
          <w:p w14:paraId="5EA731E5" w14:textId="61735859" w:rsidR="005C1CCD" w:rsidRPr="00FE4461" w:rsidRDefault="005C1CCD" w:rsidP="001C1097">
            <w:pPr>
              <w:jc w:val="center"/>
              <w:rPr>
                <w:rFonts w:cs="Arial"/>
                <w:sz w:val="20"/>
                <w:szCs w:val="20"/>
              </w:rPr>
            </w:pPr>
            <w:r>
              <w:rPr>
                <w:rFonts w:cs="Arial"/>
                <w:sz w:val="20"/>
                <w:szCs w:val="20"/>
              </w:rPr>
              <w:t>NA</w:t>
            </w:r>
          </w:p>
        </w:tc>
        <w:tc>
          <w:tcPr>
            <w:tcW w:w="1304" w:type="dxa"/>
            <w:vAlign w:val="center"/>
          </w:tcPr>
          <w:p w14:paraId="5EA731E7" w14:textId="7BC75897" w:rsidR="005C1CCD" w:rsidRPr="00FE4461" w:rsidRDefault="005C1CCD" w:rsidP="001C1097">
            <w:pPr>
              <w:jc w:val="center"/>
              <w:rPr>
                <w:rFonts w:cs="Arial"/>
                <w:sz w:val="20"/>
                <w:szCs w:val="20"/>
              </w:rPr>
            </w:pPr>
            <w:r w:rsidRPr="00FE4461">
              <w:rPr>
                <w:rFonts w:cs="Arial"/>
                <w:sz w:val="20"/>
                <w:szCs w:val="20"/>
              </w:rPr>
              <w:t>2</w:t>
            </w:r>
            <w:r>
              <w:rPr>
                <w:rFonts w:cs="Arial"/>
                <w:sz w:val="20"/>
                <w:szCs w:val="20"/>
              </w:rPr>
              <w:t xml:space="preserve"> of 2</w:t>
            </w:r>
          </w:p>
        </w:tc>
        <w:tc>
          <w:tcPr>
            <w:tcW w:w="1560" w:type="dxa"/>
            <w:shd w:val="clear" w:color="auto" w:fill="auto"/>
            <w:vAlign w:val="center"/>
          </w:tcPr>
          <w:p w14:paraId="5EA731E9" w14:textId="330147C3" w:rsidR="005C1CCD" w:rsidRPr="00FE4461" w:rsidRDefault="005C1CCD" w:rsidP="001C1097">
            <w:pPr>
              <w:jc w:val="center"/>
              <w:rPr>
                <w:rFonts w:cs="Arial"/>
                <w:sz w:val="20"/>
                <w:szCs w:val="20"/>
              </w:rPr>
            </w:pPr>
            <w:r>
              <w:rPr>
                <w:rFonts w:cs="Arial"/>
                <w:sz w:val="20"/>
                <w:szCs w:val="20"/>
              </w:rPr>
              <w:t>NA</w:t>
            </w:r>
          </w:p>
        </w:tc>
        <w:tc>
          <w:tcPr>
            <w:tcW w:w="1048" w:type="dxa"/>
            <w:shd w:val="clear" w:color="auto" w:fill="auto"/>
            <w:vAlign w:val="center"/>
          </w:tcPr>
          <w:p w14:paraId="5EA731EB" w14:textId="439E8390" w:rsidR="005C1CCD" w:rsidRPr="00FE4461" w:rsidRDefault="005C1CCD" w:rsidP="001C1097">
            <w:pPr>
              <w:jc w:val="center"/>
              <w:rPr>
                <w:rFonts w:cs="Arial"/>
                <w:sz w:val="20"/>
                <w:szCs w:val="20"/>
              </w:rPr>
            </w:pPr>
            <w:r>
              <w:rPr>
                <w:rFonts w:cs="Arial"/>
                <w:sz w:val="20"/>
                <w:szCs w:val="20"/>
              </w:rPr>
              <w:t>NA</w:t>
            </w:r>
          </w:p>
        </w:tc>
        <w:tc>
          <w:tcPr>
            <w:tcW w:w="1304" w:type="dxa"/>
            <w:vAlign w:val="center"/>
          </w:tcPr>
          <w:p w14:paraId="5EA731ED" w14:textId="364DF6CB" w:rsidR="005C1CCD" w:rsidRPr="00FE4461" w:rsidRDefault="005C1CCD" w:rsidP="001C1097">
            <w:pPr>
              <w:jc w:val="center"/>
              <w:rPr>
                <w:rFonts w:cs="Arial"/>
                <w:sz w:val="20"/>
                <w:szCs w:val="20"/>
              </w:rPr>
            </w:pPr>
            <w:r>
              <w:rPr>
                <w:rFonts w:cs="Arial"/>
                <w:sz w:val="20"/>
                <w:szCs w:val="20"/>
              </w:rPr>
              <w:t>NA</w:t>
            </w:r>
          </w:p>
        </w:tc>
      </w:tr>
      <w:tr w:rsidR="005C1CCD" w:rsidRPr="00DC3B09" w14:paraId="5EA73202" w14:textId="77777777" w:rsidTr="005C1CCD">
        <w:trPr>
          <w:trHeight w:val="284"/>
        </w:trPr>
        <w:tc>
          <w:tcPr>
            <w:tcW w:w="2235" w:type="dxa"/>
            <w:shd w:val="clear" w:color="auto" w:fill="auto"/>
            <w:vAlign w:val="center"/>
          </w:tcPr>
          <w:p w14:paraId="5EA731F0" w14:textId="77777777" w:rsidR="005C1CCD" w:rsidRPr="00F40174" w:rsidRDefault="005C1CCD" w:rsidP="001C1097">
            <w:pPr>
              <w:rPr>
                <w:rFonts w:cs="Arial"/>
                <w:sz w:val="20"/>
                <w:szCs w:val="20"/>
              </w:rPr>
            </w:pPr>
            <w:r w:rsidRPr="00F40174">
              <w:rPr>
                <w:rFonts w:cs="Arial"/>
                <w:sz w:val="20"/>
                <w:szCs w:val="20"/>
              </w:rPr>
              <w:t>Sharon Bentley</w:t>
            </w:r>
          </w:p>
        </w:tc>
        <w:tc>
          <w:tcPr>
            <w:tcW w:w="1559" w:type="dxa"/>
            <w:shd w:val="clear" w:color="auto" w:fill="auto"/>
            <w:vAlign w:val="center"/>
          </w:tcPr>
          <w:p w14:paraId="5EA731F1" w14:textId="77777777" w:rsidR="005C1CCD" w:rsidRPr="00F40174" w:rsidRDefault="005C1CCD" w:rsidP="001C1097">
            <w:pPr>
              <w:jc w:val="center"/>
              <w:rPr>
                <w:rFonts w:cs="Arial"/>
                <w:sz w:val="20"/>
                <w:szCs w:val="20"/>
              </w:rPr>
            </w:pPr>
            <w:r w:rsidRPr="00F40174">
              <w:rPr>
                <w:rFonts w:cs="Arial"/>
                <w:sz w:val="20"/>
                <w:szCs w:val="20"/>
              </w:rPr>
              <w:t>06 May 15</w:t>
            </w:r>
          </w:p>
        </w:tc>
        <w:tc>
          <w:tcPr>
            <w:tcW w:w="1134" w:type="dxa"/>
            <w:shd w:val="clear" w:color="auto" w:fill="auto"/>
            <w:vAlign w:val="center"/>
          </w:tcPr>
          <w:p w14:paraId="5EA731F3" w14:textId="74416ED2" w:rsidR="005C1CCD" w:rsidRPr="00F40174" w:rsidRDefault="005C1CCD" w:rsidP="007A7D3E">
            <w:pPr>
              <w:jc w:val="center"/>
              <w:rPr>
                <w:rFonts w:cs="Arial"/>
                <w:sz w:val="20"/>
                <w:szCs w:val="20"/>
                <w:highlight w:val="yellow"/>
              </w:rPr>
            </w:pPr>
            <w:r>
              <w:rPr>
                <w:rFonts w:cs="Arial"/>
                <w:sz w:val="20"/>
                <w:szCs w:val="20"/>
              </w:rPr>
              <w:t xml:space="preserve">2 of 2 </w:t>
            </w:r>
          </w:p>
        </w:tc>
        <w:tc>
          <w:tcPr>
            <w:tcW w:w="1701" w:type="dxa"/>
            <w:shd w:val="clear" w:color="auto" w:fill="auto"/>
            <w:vAlign w:val="center"/>
          </w:tcPr>
          <w:p w14:paraId="5EA731F4" w14:textId="4A19D35F" w:rsidR="005C1CCD" w:rsidRPr="00FE4461" w:rsidRDefault="005C1CCD" w:rsidP="001C1097">
            <w:pPr>
              <w:jc w:val="center"/>
              <w:rPr>
                <w:rFonts w:cs="Arial"/>
                <w:sz w:val="20"/>
                <w:szCs w:val="20"/>
              </w:rPr>
            </w:pPr>
            <w:r>
              <w:rPr>
                <w:rFonts w:cs="Arial"/>
                <w:sz w:val="20"/>
                <w:szCs w:val="20"/>
              </w:rPr>
              <w:t>NA</w:t>
            </w:r>
          </w:p>
        </w:tc>
        <w:tc>
          <w:tcPr>
            <w:tcW w:w="1417" w:type="dxa"/>
            <w:shd w:val="clear" w:color="auto" w:fill="auto"/>
            <w:vAlign w:val="center"/>
          </w:tcPr>
          <w:p w14:paraId="5EA731F6" w14:textId="5E79B119" w:rsidR="005C1CCD" w:rsidRPr="00FE4461" w:rsidRDefault="005C1CCD" w:rsidP="001C1097">
            <w:pPr>
              <w:jc w:val="center"/>
              <w:rPr>
                <w:rFonts w:cs="Arial"/>
                <w:sz w:val="20"/>
                <w:szCs w:val="20"/>
              </w:rPr>
            </w:pPr>
            <w:r>
              <w:rPr>
                <w:rFonts w:cs="Arial"/>
                <w:sz w:val="20"/>
                <w:szCs w:val="20"/>
              </w:rPr>
              <w:t>NA</w:t>
            </w:r>
          </w:p>
        </w:tc>
        <w:tc>
          <w:tcPr>
            <w:tcW w:w="1389" w:type="dxa"/>
            <w:shd w:val="clear" w:color="auto" w:fill="auto"/>
            <w:vAlign w:val="center"/>
          </w:tcPr>
          <w:p w14:paraId="5EA731F8" w14:textId="21113E5A" w:rsidR="005C1CCD" w:rsidRPr="00FE4461" w:rsidRDefault="005C1CCD" w:rsidP="001C1097">
            <w:pPr>
              <w:jc w:val="center"/>
              <w:rPr>
                <w:rFonts w:cs="Arial"/>
                <w:sz w:val="20"/>
                <w:szCs w:val="20"/>
              </w:rPr>
            </w:pPr>
            <w:r>
              <w:rPr>
                <w:rFonts w:cs="Arial"/>
                <w:sz w:val="20"/>
                <w:szCs w:val="20"/>
              </w:rPr>
              <w:t>NA</w:t>
            </w:r>
          </w:p>
        </w:tc>
        <w:tc>
          <w:tcPr>
            <w:tcW w:w="1304" w:type="dxa"/>
            <w:vAlign w:val="center"/>
          </w:tcPr>
          <w:p w14:paraId="5EA731FA" w14:textId="4FDF802E" w:rsidR="005C1CCD" w:rsidRPr="00FE4461" w:rsidRDefault="005C1CCD" w:rsidP="001C1097">
            <w:pPr>
              <w:jc w:val="center"/>
              <w:rPr>
                <w:rFonts w:cs="Arial"/>
                <w:sz w:val="20"/>
                <w:szCs w:val="20"/>
              </w:rPr>
            </w:pPr>
            <w:r>
              <w:rPr>
                <w:rFonts w:cs="Arial"/>
                <w:sz w:val="20"/>
                <w:szCs w:val="20"/>
              </w:rPr>
              <w:t>NA</w:t>
            </w:r>
          </w:p>
        </w:tc>
        <w:tc>
          <w:tcPr>
            <w:tcW w:w="1560" w:type="dxa"/>
            <w:shd w:val="clear" w:color="auto" w:fill="auto"/>
            <w:vAlign w:val="center"/>
          </w:tcPr>
          <w:p w14:paraId="5EA731FC" w14:textId="532AE35F" w:rsidR="005C1CCD" w:rsidRPr="00FE4461" w:rsidRDefault="005C1CCD" w:rsidP="001C1097">
            <w:pPr>
              <w:jc w:val="center"/>
              <w:rPr>
                <w:rFonts w:cs="Arial"/>
                <w:sz w:val="20"/>
                <w:szCs w:val="20"/>
              </w:rPr>
            </w:pPr>
            <w:r>
              <w:rPr>
                <w:rFonts w:cs="Arial"/>
                <w:sz w:val="20"/>
                <w:szCs w:val="20"/>
              </w:rPr>
              <w:t>NA</w:t>
            </w:r>
          </w:p>
        </w:tc>
        <w:tc>
          <w:tcPr>
            <w:tcW w:w="1048" w:type="dxa"/>
            <w:shd w:val="clear" w:color="auto" w:fill="auto"/>
            <w:vAlign w:val="center"/>
          </w:tcPr>
          <w:p w14:paraId="5EA731FE" w14:textId="7ECDBA26" w:rsidR="005C1CCD" w:rsidRPr="00FE4461" w:rsidRDefault="005C1CCD" w:rsidP="001C1097">
            <w:pPr>
              <w:jc w:val="center"/>
              <w:rPr>
                <w:rFonts w:cs="Arial"/>
                <w:sz w:val="20"/>
                <w:szCs w:val="20"/>
              </w:rPr>
            </w:pPr>
            <w:r>
              <w:rPr>
                <w:rFonts w:cs="Arial"/>
                <w:sz w:val="20"/>
                <w:szCs w:val="20"/>
              </w:rPr>
              <w:t>NA</w:t>
            </w:r>
          </w:p>
        </w:tc>
        <w:tc>
          <w:tcPr>
            <w:tcW w:w="1304" w:type="dxa"/>
            <w:vAlign w:val="center"/>
          </w:tcPr>
          <w:p w14:paraId="5EA73200" w14:textId="61AFCF20" w:rsidR="005C1CCD" w:rsidRPr="00FE4461" w:rsidRDefault="005C1CCD" w:rsidP="001C1097">
            <w:pPr>
              <w:jc w:val="center"/>
              <w:rPr>
                <w:rFonts w:cs="Arial"/>
                <w:sz w:val="20"/>
                <w:szCs w:val="20"/>
              </w:rPr>
            </w:pPr>
            <w:r>
              <w:rPr>
                <w:rFonts w:cs="Arial"/>
                <w:sz w:val="20"/>
                <w:szCs w:val="20"/>
              </w:rPr>
              <w:t>NA</w:t>
            </w:r>
          </w:p>
        </w:tc>
      </w:tr>
      <w:tr w:rsidR="005C1CCD" w:rsidRPr="00DC3B09" w14:paraId="5EA73215" w14:textId="77777777" w:rsidTr="005C1CCD">
        <w:trPr>
          <w:trHeight w:val="284"/>
        </w:trPr>
        <w:tc>
          <w:tcPr>
            <w:tcW w:w="2235" w:type="dxa"/>
            <w:shd w:val="clear" w:color="auto" w:fill="auto"/>
            <w:vAlign w:val="center"/>
          </w:tcPr>
          <w:p w14:paraId="5EA73203" w14:textId="77777777" w:rsidR="005C1CCD" w:rsidRPr="00F40174" w:rsidRDefault="005C1CCD" w:rsidP="001C1097">
            <w:pPr>
              <w:rPr>
                <w:rFonts w:cs="Arial"/>
                <w:sz w:val="20"/>
                <w:szCs w:val="20"/>
              </w:rPr>
            </w:pPr>
            <w:r w:rsidRPr="00F40174">
              <w:rPr>
                <w:rFonts w:cs="Arial"/>
                <w:sz w:val="20"/>
                <w:szCs w:val="20"/>
              </w:rPr>
              <w:t xml:space="preserve">Jan </w:t>
            </w:r>
            <w:proofErr w:type="spellStart"/>
            <w:r w:rsidRPr="00F40174">
              <w:rPr>
                <w:rFonts w:cs="Arial"/>
                <w:sz w:val="20"/>
                <w:szCs w:val="20"/>
              </w:rPr>
              <w:t>Lovie-Kitchin</w:t>
            </w:r>
            <w:proofErr w:type="spellEnd"/>
          </w:p>
        </w:tc>
        <w:tc>
          <w:tcPr>
            <w:tcW w:w="1559" w:type="dxa"/>
            <w:shd w:val="clear" w:color="auto" w:fill="auto"/>
            <w:vAlign w:val="center"/>
          </w:tcPr>
          <w:p w14:paraId="5EA73204" w14:textId="77777777" w:rsidR="005C1CCD" w:rsidRPr="00F40174" w:rsidRDefault="005C1CCD" w:rsidP="001C1097">
            <w:pPr>
              <w:jc w:val="center"/>
              <w:rPr>
                <w:rFonts w:cs="Arial"/>
                <w:sz w:val="20"/>
                <w:szCs w:val="20"/>
              </w:rPr>
            </w:pPr>
            <w:r w:rsidRPr="00F40174">
              <w:rPr>
                <w:rFonts w:cs="Arial"/>
                <w:sz w:val="20"/>
                <w:szCs w:val="20"/>
              </w:rPr>
              <w:t>29 Jun 07</w:t>
            </w:r>
          </w:p>
        </w:tc>
        <w:tc>
          <w:tcPr>
            <w:tcW w:w="1134" w:type="dxa"/>
            <w:shd w:val="clear" w:color="auto" w:fill="auto"/>
            <w:vAlign w:val="center"/>
          </w:tcPr>
          <w:p w14:paraId="5EA73206" w14:textId="0D456414" w:rsidR="005C1CCD" w:rsidRPr="00F40174" w:rsidRDefault="005C1CCD" w:rsidP="007A7D3E">
            <w:pPr>
              <w:jc w:val="center"/>
              <w:rPr>
                <w:rFonts w:cs="Arial"/>
                <w:sz w:val="20"/>
                <w:szCs w:val="20"/>
                <w:highlight w:val="yellow"/>
              </w:rPr>
            </w:pPr>
            <w:r>
              <w:rPr>
                <w:rFonts w:cs="Arial"/>
                <w:sz w:val="20"/>
                <w:szCs w:val="20"/>
              </w:rPr>
              <w:t xml:space="preserve">2 of 3 </w:t>
            </w:r>
          </w:p>
        </w:tc>
        <w:tc>
          <w:tcPr>
            <w:tcW w:w="1701" w:type="dxa"/>
            <w:shd w:val="clear" w:color="auto" w:fill="auto"/>
            <w:vAlign w:val="center"/>
          </w:tcPr>
          <w:p w14:paraId="5EA73207" w14:textId="5BCEB735" w:rsidR="005C1CCD" w:rsidRPr="00FE4461" w:rsidRDefault="005C1CCD" w:rsidP="001C1097">
            <w:pPr>
              <w:jc w:val="center"/>
              <w:rPr>
                <w:rFonts w:cs="Arial"/>
                <w:sz w:val="20"/>
                <w:szCs w:val="20"/>
              </w:rPr>
            </w:pPr>
            <w:r>
              <w:rPr>
                <w:rFonts w:cs="Arial"/>
                <w:sz w:val="20"/>
                <w:szCs w:val="20"/>
              </w:rPr>
              <w:t>NA</w:t>
            </w:r>
          </w:p>
        </w:tc>
        <w:tc>
          <w:tcPr>
            <w:tcW w:w="1417" w:type="dxa"/>
            <w:shd w:val="clear" w:color="auto" w:fill="auto"/>
            <w:vAlign w:val="center"/>
          </w:tcPr>
          <w:p w14:paraId="5EA73209" w14:textId="7D8BF7C0" w:rsidR="005C1CCD" w:rsidRPr="00FE4461" w:rsidRDefault="005C1CCD" w:rsidP="001C1097">
            <w:pPr>
              <w:jc w:val="center"/>
              <w:rPr>
                <w:rFonts w:cs="Arial"/>
                <w:sz w:val="20"/>
                <w:szCs w:val="20"/>
              </w:rPr>
            </w:pPr>
            <w:r>
              <w:rPr>
                <w:rFonts w:cs="Arial"/>
                <w:sz w:val="20"/>
                <w:szCs w:val="20"/>
              </w:rPr>
              <w:t>NA</w:t>
            </w:r>
          </w:p>
        </w:tc>
        <w:tc>
          <w:tcPr>
            <w:tcW w:w="1389" w:type="dxa"/>
            <w:shd w:val="clear" w:color="auto" w:fill="auto"/>
            <w:vAlign w:val="center"/>
          </w:tcPr>
          <w:p w14:paraId="5EA7320B" w14:textId="2D91CB61" w:rsidR="005C1CCD" w:rsidRPr="00FE4461" w:rsidRDefault="005C1CCD" w:rsidP="001C1097">
            <w:pPr>
              <w:jc w:val="center"/>
              <w:rPr>
                <w:rFonts w:cs="Arial"/>
                <w:sz w:val="20"/>
                <w:szCs w:val="20"/>
              </w:rPr>
            </w:pPr>
            <w:r>
              <w:rPr>
                <w:rFonts w:cs="Arial"/>
                <w:sz w:val="20"/>
                <w:szCs w:val="20"/>
              </w:rPr>
              <w:t>NA</w:t>
            </w:r>
          </w:p>
        </w:tc>
        <w:tc>
          <w:tcPr>
            <w:tcW w:w="1304" w:type="dxa"/>
            <w:vAlign w:val="center"/>
          </w:tcPr>
          <w:p w14:paraId="5EA7320D" w14:textId="299EA0A1" w:rsidR="005C1CCD" w:rsidRPr="00FE4461" w:rsidRDefault="005C1CCD" w:rsidP="001C1097">
            <w:pPr>
              <w:jc w:val="center"/>
              <w:rPr>
                <w:rFonts w:cs="Arial"/>
                <w:sz w:val="20"/>
                <w:szCs w:val="20"/>
              </w:rPr>
            </w:pPr>
            <w:r w:rsidRPr="00FE4461">
              <w:rPr>
                <w:rFonts w:cs="Arial"/>
                <w:sz w:val="20"/>
                <w:szCs w:val="20"/>
              </w:rPr>
              <w:t>2</w:t>
            </w:r>
            <w:r>
              <w:rPr>
                <w:rFonts w:cs="Arial"/>
                <w:sz w:val="20"/>
                <w:szCs w:val="20"/>
              </w:rPr>
              <w:t xml:space="preserve"> of 2</w:t>
            </w:r>
          </w:p>
        </w:tc>
        <w:tc>
          <w:tcPr>
            <w:tcW w:w="1560" w:type="dxa"/>
            <w:shd w:val="clear" w:color="auto" w:fill="auto"/>
            <w:vAlign w:val="center"/>
          </w:tcPr>
          <w:p w14:paraId="5EA7320F" w14:textId="2F61A40E" w:rsidR="005C1CCD" w:rsidRPr="00FE4461" w:rsidRDefault="005C1CCD" w:rsidP="001C1097">
            <w:pPr>
              <w:jc w:val="center"/>
              <w:rPr>
                <w:rFonts w:cs="Arial"/>
                <w:sz w:val="20"/>
                <w:szCs w:val="20"/>
              </w:rPr>
            </w:pPr>
            <w:r>
              <w:rPr>
                <w:rFonts w:cs="Arial"/>
                <w:sz w:val="20"/>
                <w:szCs w:val="20"/>
              </w:rPr>
              <w:t>NA</w:t>
            </w:r>
          </w:p>
        </w:tc>
        <w:tc>
          <w:tcPr>
            <w:tcW w:w="1048" w:type="dxa"/>
            <w:shd w:val="clear" w:color="auto" w:fill="auto"/>
            <w:vAlign w:val="center"/>
          </w:tcPr>
          <w:p w14:paraId="5EA73211" w14:textId="2A501273" w:rsidR="005C1CCD" w:rsidRPr="00FE4461" w:rsidRDefault="005C1CCD" w:rsidP="001C1097">
            <w:pPr>
              <w:jc w:val="center"/>
              <w:rPr>
                <w:rFonts w:cs="Arial"/>
                <w:sz w:val="20"/>
                <w:szCs w:val="20"/>
              </w:rPr>
            </w:pPr>
            <w:r>
              <w:rPr>
                <w:rFonts w:cs="Arial"/>
                <w:sz w:val="20"/>
                <w:szCs w:val="20"/>
              </w:rPr>
              <w:t>NA</w:t>
            </w:r>
          </w:p>
        </w:tc>
        <w:tc>
          <w:tcPr>
            <w:tcW w:w="1304" w:type="dxa"/>
            <w:vAlign w:val="center"/>
          </w:tcPr>
          <w:p w14:paraId="5EA73213" w14:textId="21513731" w:rsidR="005C1CCD" w:rsidRPr="00FE4461" w:rsidRDefault="005C1CCD" w:rsidP="001C1097">
            <w:pPr>
              <w:jc w:val="center"/>
              <w:rPr>
                <w:rFonts w:cs="Arial"/>
                <w:sz w:val="20"/>
                <w:szCs w:val="20"/>
              </w:rPr>
            </w:pPr>
            <w:r>
              <w:rPr>
                <w:rFonts w:cs="Arial"/>
                <w:sz w:val="20"/>
                <w:szCs w:val="20"/>
              </w:rPr>
              <w:t>NA</w:t>
            </w:r>
          </w:p>
        </w:tc>
      </w:tr>
    </w:tbl>
    <w:p w14:paraId="5EA73216" w14:textId="77777777" w:rsidR="00D636C0" w:rsidRDefault="00D636C0" w:rsidP="00EB1EC9">
      <w:pPr>
        <w:rPr>
          <w:rFonts w:cs="Arial"/>
          <w:b/>
          <w:sz w:val="22"/>
          <w:szCs w:val="22"/>
        </w:rPr>
      </w:pPr>
    </w:p>
    <w:p w14:paraId="5EA73219" w14:textId="77777777" w:rsidR="00EB1EC9" w:rsidRPr="007540D9" w:rsidRDefault="00EB1EC9" w:rsidP="00EB1EC9">
      <w:pPr>
        <w:rPr>
          <w:rFonts w:cs="Arial"/>
          <w:b/>
          <w:sz w:val="22"/>
          <w:szCs w:val="22"/>
        </w:rPr>
        <w:sectPr w:rsidR="00EB1EC9" w:rsidRPr="007540D9" w:rsidSect="00817B70">
          <w:headerReference w:type="first" r:id="rId18"/>
          <w:footerReference w:type="first" r:id="rId19"/>
          <w:pgSz w:w="16839" w:h="11907" w:orient="landscape" w:code="9"/>
          <w:pgMar w:top="1418" w:right="1418" w:bottom="1418" w:left="1418" w:header="720" w:footer="720" w:gutter="0"/>
          <w:cols w:space="708"/>
          <w:titlePg/>
          <w:docGrid w:linePitch="360"/>
        </w:sectPr>
      </w:pPr>
    </w:p>
    <w:p w14:paraId="5EA7321A" w14:textId="77777777" w:rsidR="00EC641D" w:rsidRDefault="00EC641D" w:rsidP="00EB1EC9">
      <w:pPr>
        <w:rPr>
          <w:rFonts w:cs="Arial"/>
          <w:b/>
          <w:sz w:val="22"/>
          <w:szCs w:val="22"/>
        </w:rPr>
      </w:pPr>
    </w:p>
    <w:p w14:paraId="5EA7321B" w14:textId="77777777" w:rsidR="00EB1EC9" w:rsidRPr="00431251" w:rsidRDefault="00EB1EC9" w:rsidP="00431251">
      <w:pPr>
        <w:pStyle w:val="Heading2"/>
        <w:rPr>
          <w:sz w:val="22"/>
          <w:szCs w:val="22"/>
        </w:rPr>
      </w:pPr>
      <w:bookmarkStart w:id="59" w:name="_Toc430613007"/>
      <w:bookmarkStart w:id="60" w:name="_Toc430613313"/>
      <w:bookmarkStart w:id="61" w:name="_Toc430613684"/>
      <w:r w:rsidRPr="00431251">
        <w:rPr>
          <w:sz w:val="22"/>
          <w:szCs w:val="22"/>
        </w:rPr>
        <w:t>4</w:t>
      </w:r>
      <w:r w:rsidR="00911743" w:rsidRPr="00431251">
        <w:rPr>
          <w:sz w:val="22"/>
          <w:szCs w:val="22"/>
        </w:rPr>
        <w:t>.</w:t>
      </w:r>
      <w:r w:rsidRPr="00431251">
        <w:rPr>
          <w:sz w:val="22"/>
          <w:szCs w:val="22"/>
        </w:rPr>
        <w:t xml:space="preserve"> Corporate </w:t>
      </w:r>
      <w:r w:rsidR="00195C7D" w:rsidRPr="00431251">
        <w:rPr>
          <w:sz w:val="22"/>
          <w:szCs w:val="22"/>
        </w:rPr>
        <w:t>g</w:t>
      </w:r>
      <w:r w:rsidRPr="00431251">
        <w:rPr>
          <w:sz w:val="22"/>
          <w:szCs w:val="22"/>
        </w:rPr>
        <w:t>overnance</w:t>
      </w:r>
      <w:bookmarkEnd w:id="59"/>
      <w:bookmarkEnd w:id="60"/>
      <w:bookmarkEnd w:id="61"/>
    </w:p>
    <w:p w14:paraId="5EA7321C" w14:textId="77777777" w:rsidR="00EB1EC9" w:rsidRPr="007540D9" w:rsidRDefault="00EB1EC9" w:rsidP="00EB1EC9">
      <w:pPr>
        <w:rPr>
          <w:rFonts w:cs="Arial"/>
          <w:b/>
          <w:sz w:val="22"/>
          <w:szCs w:val="22"/>
        </w:rPr>
      </w:pPr>
    </w:p>
    <w:p w14:paraId="5EA7321D" w14:textId="531DC508" w:rsidR="00EB1EC9" w:rsidRPr="00EE5A6D" w:rsidRDefault="00EB1EC9" w:rsidP="002206F9">
      <w:pPr>
        <w:rPr>
          <w:rFonts w:cs="Arial"/>
          <w:sz w:val="22"/>
          <w:szCs w:val="22"/>
        </w:rPr>
      </w:pPr>
      <w:r w:rsidRPr="00EE5A6D">
        <w:rPr>
          <w:rFonts w:cs="Arial"/>
          <w:sz w:val="22"/>
          <w:szCs w:val="22"/>
        </w:rPr>
        <w:t xml:space="preserve">The Board supports the </w:t>
      </w:r>
      <w:r w:rsidR="00970E1F" w:rsidRPr="00EE5A6D">
        <w:rPr>
          <w:rFonts w:cs="Arial"/>
          <w:sz w:val="22"/>
          <w:szCs w:val="22"/>
        </w:rPr>
        <w:t>c</w:t>
      </w:r>
      <w:r w:rsidRPr="00EE5A6D">
        <w:rPr>
          <w:rFonts w:cs="Arial"/>
          <w:sz w:val="22"/>
          <w:szCs w:val="22"/>
        </w:rPr>
        <w:t xml:space="preserve">orporate </w:t>
      </w:r>
      <w:r w:rsidR="00970E1F" w:rsidRPr="00EE5A6D">
        <w:rPr>
          <w:rFonts w:cs="Arial"/>
          <w:sz w:val="22"/>
          <w:szCs w:val="22"/>
        </w:rPr>
        <w:t>g</w:t>
      </w:r>
      <w:r w:rsidRPr="00EE5A6D">
        <w:rPr>
          <w:rFonts w:cs="Arial"/>
          <w:sz w:val="22"/>
          <w:szCs w:val="22"/>
        </w:rPr>
        <w:t xml:space="preserve">overnance </w:t>
      </w:r>
      <w:r w:rsidR="00970E1F" w:rsidRPr="00EE5A6D">
        <w:rPr>
          <w:rFonts w:cs="Arial"/>
          <w:sz w:val="22"/>
          <w:szCs w:val="22"/>
        </w:rPr>
        <w:t>p</w:t>
      </w:r>
      <w:r w:rsidRPr="00EE5A6D">
        <w:rPr>
          <w:rFonts w:cs="Arial"/>
          <w:sz w:val="22"/>
          <w:szCs w:val="22"/>
        </w:rPr>
        <w:t xml:space="preserve">rinciples and </w:t>
      </w:r>
      <w:proofErr w:type="gramStart"/>
      <w:r w:rsidR="00970E1F" w:rsidRPr="00EE5A6D">
        <w:rPr>
          <w:rFonts w:cs="Arial"/>
          <w:sz w:val="22"/>
          <w:szCs w:val="22"/>
        </w:rPr>
        <w:t>r</w:t>
      </w:r>
      <w:r w:rsidRPr="00EE5A6D">
        <w:rPr>
          <w:rFonts w:cs="Arial"/>
          <w:sz w:val="22"/>
          <w:szCs w:val="22"/>
        </w:rPr>
        <w:t>ecommendations established by the Australian Stock Exchange (ASX) Corporate Governance Council</w:t>
      </w:r>
      <w:r w:rsidR="007D02CF">
        <w:rPr>
          <w:rFonts w:cs="Arial"/>
          <w:sz w:val="22"/>
          <w:szCs w:val="22"/>
        </w:rPr>
        <w:t xml:space="preserve"> and </w:t>
      </w:r>
      <w:r w:rsidR="00CE6256">
        <w:rPr>
          <w:rFonts w:cs="Arial"/>
          <w:sz w:val="22"/>
          <w:szCs w:val="22"/>
        </w:rPr>
        <w:t>has</w:t>
      </w:r>
      <w:proofErr w:type="gramEnd"/>
      <w:r w:rsidR="007D02CF">
        <w:rPr>
          <w:rFonts w:cs="Arial"/>
          <w:sz w:val="22"/>
          <w:szCs w:val="22"/>
        </w:rPr>
        <w:t xml:space="preserve"> prepared these </w:t>
      </w:r>
      <w:r w:rsidR="007D02CF" w:rsidRPr="007540D9">
        <w:rPr>
          <w:rFonts w:cs="Arial"/>
          <w:sz w:val="22"/>
          <w:szCs w:val="22"/>
        </w:rPr>
        <w:t xml:space="preserve">general purpose financial statements in </w:t>
      </w:r>
      <w:r w:rsidR="007D02CF" w:rsidRPr="006D69DB">
        <w:rPr>
          <w:rFonts w:cs="Arial"/>
          <w:sz w:val="22"/>
          <w:szCs w:val="22"/>
        </w:rPr>
        <w:t xml:space="preserve">accordance with the </w:t>
      </w:r>
      <w:r w:rsidR="00CE6256" w:rsidRPr="00CE6256">
        <w:rPr>
          <w:rFonts w:cs="Arial"/>
          <w:sz w:val="22"/>
          <w:szCs w:val="22"/>
        </w:rPr>
        <w:t>Australian Charities and Not-for-profits Commission Act 2012</w:t>
      </w:r>
      <w:r w:rsidR="00CE6256" w:rsidRPr="006D69DB">
        <w:rPr>
          <w:rFonts w:cs="Arial"/>
          <w:sz w:val="22"/>
          <w:szCs w:val="22"/>
        </w:rPr>
        <w:t xml:space="preserve"> </w:t>
      </w:r>
      <w:r w:rsidR="007D02CF" w:rsidRPr="006D69DB">
        <w:rPr>
          <w:rFonts w:cs="Arial"/>
          <w:sz w:val="22"/>
          <w:szCs w:val="22"/>
        </w:rPr>
        <w:t>and</w:t>
      </w:r>
      <w:r w:rsidR="007D02CF" w:rsidRPr="006D69DB">
        <w:rPr>
          <w:rFonts w:cs="Arial"/>
          <w:szCs w:val="22"/>
        </w:rPr>
        <w:t xml:space="preserve"> </w:t>
      </w:r>
      <w:r w:rsidR="007D02CF">
        <w:rPr>
          <w:rFonts w:cs="Arial"/>
          <w:sz w:val="22"/>
          <w:szCs w:val="22"/>
        </w:rPr>
        <w:t xml:space="preserve">Australian </w:t>
      </w:r>
      <w:r w:rsidR="007D02CF" w:rsidRPr="007540D9">
        <w:rPr>
          <w:rFonts w:cs="Arial"/>
          <w:sz w:val="22"/>
          <w:szCs w:val="22"/>
        </w:rPr>
        <w:t xml:space="preserve">Accounting Standards - Reduced Disclosure </w:t>
      </w:r>
      <w:r w:rsidR="007D02CF">
        <w:rPr>
          <w:rFonts w:cs="Arial"/>
          <w:sz w:val="22"/>
          <w:szCs w:val="22"/>
        </w:rPr>
        <w:t>Requirements.</w:t>
      </w:r>
      <w:r w:rsidRPr="00EE5A6D">
        <w:rPr>
          <w:rFonts w:cs="Arial"/>
          <w:sz w:val="22"/>
          <w:szCs w:val="22"/>
        </w:rPr>
        <w:t xml:space="preserve">  Vision Australia</w:t>
      </w:r>
      <w:r w:rsidR="00C83637" w:rsidRPr="00EE5A6D">
        <w:rPr>
          <w:rFonts w:cs="Arial"/>
          <w:sz w:val="22"/>
          <w:szCs w:val="22"/>
        </w:rPr>
        <w:t xml:space="preserve"> Limited</w:t>
      </w:r>
      <w:r w:rsidRPr="00EE5A6D">
        <w:rPr>
          <w:rFonts w:cs="Arial"/>
          <w:sz w:val="22"/>
          <w:szCs w:val="22"/>
        </w:rPr>
        <w:t xml:space="preserve"> is not a listed company and has no obligation to adopt the</w:t>
      </w:r>
      <w:r w:rsidR="007D02CF">
        <w:rPr>
          <w:rFonts w:cs="Arial"/>
          <w:sz w:val="22"/>
          <w:szCs w:val="22"/>
        </w:rPr>
        <w:t xml:space="preserve"> ASX </w:t>
      </w:r>
      <w:r w:rsidRPr="00EE5A6D">
        <w:rPr>
          <w:rFonts w:cs="Arial"/>
          <w:sz w:val="22"/>
          <w:szCs w:val="22"/>
        </w:rPr>
        <w:t>principles, however it has applied the principles insofar as it is sensible and realistic to do so in the co</w:t>
      </w:r>
      <w:r w:rsidR="008E4F55">
        <w:rPr>
          <w:rFonts w:cs="Arial"/>
          <w:sz w:val="22"/>
          <w:szCs w:val="22"/>
        </w:rPr>
        <w:t>ntext of a large, not-</w:t>
      </w:r>
      <w:r w:rsidRPr="00EE5A6D">
        <w:rPr>
          <w:rFonts w:cs="Arial"/>
          <w:sz w:val="22"/>
          <w:szCs w:val="22"/>
        </w:rPr>
        <w:t>for</w:t>
      </w:r>
      <w:r w:rsidR="008E4F55">
        <w:rPr>
          <w:rFonts w:cs="Arial"/>
          <w:sz w:val="22"/>
          <w:szCs w:val="22"/>
        </w:rPr>
        <w:t>-</w:t>
      </w:r>
      <w:r w:rsidRPr="00EE5A6D">
        <w:rPr>
          <w:rFonts w:cs="Arial"/>
          <w:sz w:val="22"/>
          <w:szCs w:val="22"/>
        </w:rPr>
        <w:t xml:space="preserve">profit organisation and with due regard to the scope of its operations and level of client, donor, and other stakeholder interest.  In </w:t>
      </w:r>
      <w:r w:rsidR="00E815E2" w:rsidRPr="00EE5A6D">
        <w:rPr>
          <w:rFonts w:cs="Arial"/>
          <w:sz w:val="22"/>
          <w:szCs w:val="22"/>
        </w:rPr>
        <w:t>201</w:t>
      </w:r>
      <w:r w:rsidR="00B2767F">
        <w:rPr>
          <w:rFonts w:cs="Arial"/>
          <w:sz w:val="22"/>
          <w:szCs w:val="22"/>
        </w:rPr>
        <w:t>5</w:t>
      </w:r>
      <w:r w:rsidRPr="00EE5A6D">
        <w:rPr>
          <w:rFonts w:cs="Arial"/>
          <w:sz w:val="22"/>
          <w:szCs w:val="22"/>
        </w:rPr>
        <w:t xml:space="preserve"> the ASX Principles have been applied in the following ways</w:t>
      </w:r>
      <w:r w:rsidR="00D6575C" w:rsidRPr="00EE5A6D">
        <w:rPr>
          <w:rFonts w:cs="Arial"/>
          <w:sz w:val="22"/>
          <w:szCs w:val="22"/>
        </w:rPr>
        <w:t>:</w:t>
      </w:r>
    </w:p>
    <w:p w14:paraId="5EA7321E" w14:textId="77777777" w:rsidR="00EB1EC9" w:rsidRPr="00EE5A6D" w:rsidRDefault="00EB1EC9" w:rsidP="002206F9">
      <w:pPr>
        <w:rPr>
          <w:rFonts w:cs="Arial"/>
          <w:b/>
          <w:sz w:val="22"/>
          <w:szCs w:val="22"/>
        </w:rPr>
      </w:pPr>
    </w:p>
    <w:p w14:paraId="5EA7321F" w14:textId="77777777" w:rsidR="00EB1EC9" w:rsidRPr="00431251" w:rsidRDefault="00EB1EC9" w:rsidP="00431251">
      <w:pPr>
        <w:pStyle w:val="Heading3"/>
        <w:jc w:val="left"/>
        <w:rPr>
          <w:color w:val="auto"/>
          <w:sz w:val="22"/>
          <w:szCs w:val="22"/>
        </w:rPr>
      </w:pPr>
      <w:bookmarkStart w:id="62" w:name="_Toc430613008"/>
      <w:bookmarkStart w:id="63" w:name="_Toc430613314"/>
      <w:bookmarkStart w:id="64" w:name="_Toc430613685"/>
      <w:r w:rsidRPr="00431251">
        <w:rPr>
          <w:color w:val="auto"/>
          <w:sz w:val="22"/>
          <w:szCs w:val="22"/>
        </w:rPr>
        <w:t xml:space="preserve">4.1 Foundations for </w:t>
      </w:r>
      <w:r w:rsidR="00195C7D" w:rsidRPr="00431251">
        <w:rPr>
          <w:color w:val="auto"/>
          <w:sz w:val="22"/>
          <w:szCs w:val="22"/>
        </w:rPr>
        <w:t>m</w:t>
      </w:r>
      <w:r w:rsidRPr="00431251">
        <w:rPr>
          <w:color w:val="auto"/>
          <w:sz w:val="22"/>
          <w:szCs w:val="22"/>
        </w:rPr>
        <w:t xml:space="preserve">anagement and </w:t>
      </w:r>
      <w:r w:rsidR="00195C7D" w:rsidRPr="00431251">
        <w:rPr>
          <w:color w:val="auto"/>
          <w:sz w:val="22"/>
          <w:szCs w:val="22"/>
        </w:rPr>
        <w:t>o</w:t>
      </w:r>
      <w:r w:rsidRPr="00431251">
        <w:rPr>
          <w:color w:val="auto"/>
          <w:sz w:val="22"/>
          <w:szCs w:val="22"/>
        </w:rPr>
        <w:t>versight</w:t>
      </w:r>
      <w:bookmarkEnd w:id="62"/>
      <w:bookmarkEnd w:id="63"/>
      <w:bookmarkEnd w:id="64"/>
    </w:p>
    <w:p w14:paraId="5EA73220" w14:textId="77777777" w:rsidR="00EB1EC9" w:rsidRPr="00EE5A6D" w:rsidRDefault="00EB1EC9" w:rsidP="002206F9">
      <w:pPr>
        <w:rPr>
          <w:rFonts w:cs="Arial"/>
          <w:b/>
          <w:sz w:val="22"/>
          <w:szCs w:val="22"/>
        </w:rPr>
      </w:pPr>
    </w:p>
    <w:p w14:paraId="5EA73221" w14:textId="0CB7D8E8" w:rsidR="00EB1EC9" w:rsidRPr="00A94A4A" w:rsidRDefault="004C575F" w:rsidP="002206F9">
      <w:pPr>
        <w:rPr>
          <w:rFonts w:cs="Arial"/>
          <w:sz w:val="22"/>
          <w:szCs w:val="22"/>
          <w:highlight w:val="yellow"/>
        </w:rPr>
      </w:pPr>
      <w:r w:rsidRPr="00EE5A6D">
        <w:rPr>
          <w:rFonts w:cs="Arial"/>
          <w:sz w:val="22"/>
          <w:szCs w:val="22"/>
        </w:rPr>
        <w:t>The role</w:t>
      </w:r>
      <w:r w:rsidR="00EB1EC9" w:rsidRPr="00EE5A6D">
        <w:rPr>
          <w:rFonts w:cs="Arial"/>
          <w:sz w:val="22"/>
          <w:szCs w:val="22"/>
        </w:rPr>
        <w:t xml:space="preserve"> of the </w:t>
      </w:r>
      <w:r w:rsidR="007E2AF6" w:rsidRPr="00EE5A6D">
        <w:rPr>
          <w:rFonts w:cs="Arial"/>
          <w:sz w:val="22"/>
          <w:szCs w:val="22"/>
        </w:rPr>
        <w:t>Board</w:t>
      </w:r>
      <w:r w:rsidR="00EB1EC9" w:rsidRPr="00EE5A6D">
        <w:rPr>
          <w:rFonts w:cs="Arial"/>
          <w:sz w:val="22"/>
          <w:szCs w:val="22"/>
        </w:rPr>
        <w:t xml:space="preserve"> is to direct the activities of Vision Australia</w:t>
      </w:r>
      <w:r w:rsidR="00C83637" w:rsidRPr="00EE5A6D">
        <w:rPr>
          <w:rFonts w:cs="Arial"/>
          <w:sz w:val="22"/>
          <w:szCs w:val="22"/>
        </w:rPr>
        <w:t xml:space="preserve"> Limited</w:t>
      </w:r>
      <w:r w:rsidR="00EB1EC9" w:rsidRPr="00EE5A6D">
        <w:rPr>
          <w:rFonts w:cs="Arial"/>
          <w:sz w:val="22"/>
          <w:szCs w:val="22"/>
        </w:rPr>
        <w:t xml:space="preserve"> towards ensuring </w:t>
      </w:r>
      <w:r w:rsidR="0058763C" w:rsidRPr="00EE5A6D">
        <w:rPr>
          <w:rFonts w:cs="Arial"/>
          <w:sz w:val="22"/>
          <w:szCs w:val="22"/>
        </w:rPr>
        <w:t xml:space="preserve">the achievement of </w:t>
      </w:r>
      <w:r w:rsidR="00EB1EC9" w:rsidRPr="00EE5A6D">
        <w:rPr>
          <w:rFonts w:cs="Arial"/>
          <w:sz w:val="22"/>
          <w:szCs w:val="22"/>
        </w:rPr>
        <w:t xml:space="preserve">its vision, mission and objectives.  </w:t>
      </w:r>
      <w:r w:rsidR="00CE7A03" w:rsidRPr="00EE5A6D">
        <w:rPr>
          <w:rFonts w:cs="Arial"/>
          <w:sz w:val="22"/>
          <w:szCs w:val="22"/>
        </w:rPr>
        <w:t xml:space="preserve">The Board operates under a charter that details </w:t>
      </w:r>
      <w:r w:rsidR="00794E24" w:rsidRPr="00EE5A6D">
        <w:rPr>
          <w:rFonts w:cs="Arial"/>
          <w:sz w:val="22"/>
          <w:szCs w:val="22"/>
        </w:rPr>
        <w:t>its</w:t>
      </w:r>
      <w:r w:rsidR="00CE7A03" w:rsidRPr="00EE5A6D">
        <w:rPr>
          <w:rFonts w:cs="Arial"/>
          <w:sz w:val="22"/>
          <w:szCs w:val="22"/>
        </w:rPr>
        <w:t xml:space="preserve"> functions and responsibilities </w:t>
      </w:r>
      <w:r w:rsidR="00EB1EC9" w:rsidRPr="00EE5A6D">
        <w:rPr>
          <w:rFonts w:cs="Arial"/>
          <w:sz w:val="22"/>
          <w:szCs w:val="22"/>
        </w:rPr>
        <w:t xml:space="preserve">and can be viewed </w:t>
      </w:r>
      <w:r w:rsidR="00970E1F" w:rsidRPr="00EE5A6D">
        <w:rPr>
          <w:rFonts w:cs="Arial"/>
          <w:sz w:val="22"/>
          <w:szCs w:val="22"/>
        </w:rPr>
        <w:t xml:space="preserve">on the </w:t>
      </w:r>
      <w:r w:rsidR="008E4F55" w:rsidRPr="008E4F55">
        <w:rPr>
          <w:rFonts w:cs="Arial"/>
          <w:sz w:val="22"/>
          <w:szCs w:val="22"/>
        </w:rPr>
        <w:t>Vision Australia</w:t>
      </w:r>
      <w:r w:rsidR="008E4F55">
        <w:rPr>
          <w:rFonts w:cs="Arial"/>
          <w:sz w:val="22"/>
          <w:szCs w:val="22"/>
        </w:rPr>
        <w:t xml:space="preserve"> </w:t>
      </w:r>
      <w:r w:rsidR="00970E1F" w:rsidRPr="00EE5A6D">
        <w:rPr>
          <w:rFonts w:cs="Arial"/>
          <w:sz w:val="22"/>
          <w:szCs w:val="22"/>
        </w:rPr>
        <w:t>website</w:t>
      </w:r>
      <w:r w:rsidR="00132763" w:rsidRPr="00EE5A6D">
        <w:rPr>
          <w:rFonts w:cs="Arial"/>
          <w:sz w:val="22"/>
          <w:szCs w:val="22"/>
        </w:rPr>
        <w:t xml:space="preserve"> at </w:t>
      </w:r>
      <w:hyperlink r:id="rId20" w:history="1">
        <w:r w:rsidR="005C1CCD" w:rsidRPr="005C1CCD">
          <w:rPr>
            <w:rStyle w:val="Hyperlink"/>
            <w:rFonts w:cs="Arial"/>
            <w:sz w:val="22"/>
            <w:szCs w:val="22"/>
          </w:rPr>
          <w:t>this li</w:t>
        </w:r>
        <w:r w:rsidR="005C1CCD" w:rsidRPr="005C1CCD">
          <w:rPr>
            <w:rStyle w:val="Hyperlink"/>
            <w:rFonts w:cs="Arial"/>
            <w:sz w:val="22"/>
            <w:szCs w:val="22"/>
          </w:rPr>
          <w:t>n</w:t>
        </w:r>
        <w:r w:rsidR="005C1CCD" w:rsidRPr="005C1CCD">
          <w:rPr>
            <w:rStyle w:val="Hyperlink"/>
            <w:rFonts w:cs="Arial"/>
            <w:sz w:val="22"/>
            <w:szCs w:val="22"/>
          </w:rPr>
          <w:t>k</w:t>
        </w:r>
      </w:hyperlink>
      <w:r w:rsidR="005C1CCD">
        <w:rPr>
          <w:rFonts w:cs="Arial"/>
          <w:sz w:val="22"/>
          <w:szCs w:val="22"/>
        </w:rPr>
        <w:t>.</w:t>
      </w:r>
    </w:p>
    <w:p w14:paraId="5EA73222" w14:textId="77777777" w:rsidR="004A2BBC" w:rsidRDefault="004A2BBC" w:rsidP="002206F9">
      <w:pPr>
        <w:rPr>
          <w:rFonts w:cs="Arial"/>
          <w:sz w:val="22"/>
          <w:szCs w:val="22"/>
        </w:rPr>
      </w:pPr>
    </w:p>
    <w:p w14:paraId="5EA73223" w14:textId="77777777" w:rsidR="00EB1EC9" w:rsidRPr="00EE5A6D" w:rsidRDefault="00EB1EC9" w:rsidP="002206F9">
      <w:pPr>
        <w:rPr>
          <w:rFonts w:cs="Arial"/>
          <w:sz w:val="22"/>
          <w:szCs w:val="22"/>
        </w:rPr>
      </w:pPr>
      <w:r w:rsidRPr="00EE5A6D">
        <w:rPr>
          <w:rFonts w:cs="Arial"/>
          <w:sz w:val="22"/>
          <w:szCs w:val="22"/>
        </w:rPr>
        <w:t xml:space="preserve">In addition to the matters required by law, the </w:t>
      </w:r>
      <w:r w:rsidR="005F6A65" w:rsidRPr="00EE5A6D">
        <w:rPr>
          <w:rFonts w:cs="Arial"/>
          <w:sz w:val="22"/>
          <w:szCs w:val="22"/>
        </w:rPr>
        <w:t>d</w:t>
      </w:r>
      <w:r w:rsidRPr="00EE5A6D">
        <w:rPr>
          <w:rFonts w:cs="Arial"/>
          <w:sz w:val="22"/>
          <w:szCs w:val="22"/>
        </w:rPr>
        <w:t>irectors are responsible for</w:t>
      </w:r>
      <w:r w:rsidR="00CE7A03" w:rsidRPr="00EE5A6D">
        <w:rPr>
          <w:rFonts w:cs="Arial"/>
          <w:sz w:val="22"/>
          <w:szCs w:val="22"/>
        </w:rPr>
        <w:t>:</w:t>
      </w:r>
    </w:p>
    <w:p w14:paraId="5EA73224" w14:textId="77777777" w:rsidR="00EB1EC9" w:rsidRPr="00EE5A6D" w:rsidRDefault="00EB1EC9" w:rsidP="002206F9">
      <w:pPr>
        <w:rPr>
          <w:rFonts w:cs="Arial"/>
          <w:sz w:val="22"/>
          <w:szCs w:val="22"/>
        </w:rPr>
      </w:pPr>
    </w:p>
    <w:p w14:paraId="5EA73225" w14:textId="77777777" w:rsidR="00EB1EC9" w:rsidRPr="00EE5A6D" w:rsidRDefault="00EB1EC9" w:rsidP="0031284D">
      <w:pPr>
        <w:numPr>
          <w:ilvl w:val="0"/>
          <w:numId w:val="10"/>
        </w:numPr>
        <w:rPr>
          <w:rFonts w:cs="Arial"/>
          <w:sz w:val="22"/>
          <w:szCs w:val="22"/>
        </w:rPr>
      </w:pPr>
      <w:r w:rsidRPr="00EE5A6D">
        <w:rPr>
          <w:rFonts w:cs="Arial"/>
          <w:sz w:val="22"/>
          <w:szCs w:val="22"/>
        </w:rPr>
        <w:t>setting objectives, goals and strategic direction for Vision Australia</w:t>
      </w:r>
      <w:r w:rsidR="00C83637" w:rsidRPr="00EE5A6D">
        <w:rPr>
          <w:rFonts w:cs="Arial"/>
          <w:sz w:val="22"/>
          <w:szCs w:val="22"/>
        </w:rPr>
        <w:t xml:space="preserve"> Limited</w:t>
      </w:r>
      <w:r w:rsidRPr="00EE5A6D">
        <w:rPr>
          <w:rFonts w:cs="Arial"/>
          <w:sz w:val="22"/>
          <w:szCs w:val="22"/>
        </w:rPr>
        <w:t>;</w:t>
      </w:r>
    </w:p>
    <w:p w14:paraId="5EA73226" w14:textId="77777777" w:rsidR="00EB1EC9" w:rsidRPr="00EE5A6D" w:rsidRDefault="00EB1EC9" w:rsidP="0031284D">
      <w:pPr>
        <w:numPr>
          <w:ilvl w:val="0"/>
          <w:numId w:val="10"/>
        </w:numPr>
        <w:rPr>
          <w:rFonts w:cs="Arial"/>
          <w:sz w:val="22"/>
          <w:szCs w:val="22"/>
        </w:rPr>
      </w:pPr>
      <w:r w:rsidRPr="00EE5A6D">
        <w:rPr>
          <w:rFonts w:cs="Arial"/>
          <w:sz w:val="22"/>
          <w:szCs w:val="22"/>
        </w:rPr>
        <w:t>monitoring financial performance including approving business plans, the annual operating and capital expenditure budgets and financial statements;</w:t>
      </w:r>
    </w:p>
    <w:p w14:paraId="5EA73227" w14:textId="77777777" w:rsidR="00EB1EC9" w:rsidRPr="00EE5A6D" w:rsidRDefault="00EB1EC9" w:rsidP="0031284D">
      <w:pPr>
        <w:numPr>
          <w:ilvl w:val="0"/>
          <w:numId w:val="10"/>
        </w:numPr>
        <w:rPr>
          <w:rFonts w:cs="Arial"/>
          <w:sz w:val="22"/>
          <w:szCs w:val="22"/>
        </w:rPr>
      </w:pPr>
      <w:r w:rsidRPr="00EE5A6D">
        <w:rPr>
          <w:rFonts w:cs="Arial"/>
          <w:sz w:val="22"/>
          <w:szCs w:val="22"/>
        </w:rPr>
        <w:t>monitoring and evaluating the effectiveness of internal controls, risk management and compliance systems;</w:t>
      </w:r>
    </w:p>
    <w:p w14:paraId="5EA73228" w14:textId="77777777" w:rsidR="00EB1EC9" w:rsidRPr="00EE5A6D" w:rsidRDefault="00EB1EC9" w:rsidP="0031284D">
      <w:pPr>
        <w:numPr>
          <w:ilvl w:val="0"/>
          <w:numId w:val="10"/>
        </w:numPr>
        <w:rPr>
          <w:rFonts w:cs="Arial"/>
          <w:sz w:val="22"/>
          <w:szCs w:val="22"/>
        </w:rPr>
      </w:pPr>
      <w:r w:rsidRPr="00EE5A6D">
        <w:rPr>
          <w:rFonts w:cs="Arial"/>
          <w:sz w:val="22"/>
          <w:szCs w:val="22"/>
        </w:rPr>
        <w:t>appointing and reviewing the performance of the CEO;</w:t>
      </w:r>
    </w:p>
    <w:p w14:paraId="5EA73229" w14:textId="77777777" w:rsidR="00EB1EC9" w:rsidRPr="00EE5A6D" w:rsidRDefault="00EB1EC9" w:rsidP="0031284D">
      <w:pPr>
        <w:numPr>
          <w:ilvl w:val="0"/>
          <w:numId w:val="10"/>
        </w:numPr>
        <w:rPr>
          <w:rFonts w:cs="Arial"/>
          <w:sz w:val="22"/>
          <w:szCs w:val="22"/>
        </w:rPr>
      </w:pPr>
      <w:r w:rsidRPr="00EE5A6D">
        <w:rPr>
          <w:rFonts w:cs="Arial"/>
          <w:sz w:val="22"/>
          <w:szCs w:val="22"/>
        </w:rPr>
        <w:t>monitoring areas of significant business risk and ensuring arrangements are in place to manage those risks;</w:t>
      </w:r>
    </w:p>
    <w:p w14:paraId="5EA7322A" w14:textId="77777777" w:rsidR="00EB1EC9" w:rsidRPr="00EE5A6D" w:rsidRDefault="00EB1EC9" w:rsidP="0031284D">
      <w:pPr>
        <w:numPr>
          <w:ilvl w:val="0"/>
          <w:numId w:val="10"/>
        </w:numPr>
        <w:rPr>
          <w:rFonts w:cs="Arial"/>
          <w:sz w:val="22"/>
          <w:szCs w:val="22"/>
        </w:rPr>
      </w:pPr>
      <w:r w:rsidRPr="00EE5A6D">
        <w:rPr>
          <w:rFonts w:cs="Arial"/>
          <w:sz w:val="22"/>
          <w:szCs w:val="22"/>
        </w:rPr>
        <w:t>ensuring compliance with laws and policies;</w:t>
      </w:r>
    </w:p>
    <w:p w14:paraId="5EA7322B" w14:textId="77777777" w:rsidR="00EB1EC9" w:rsidRPr="00EE5A6D" w:rsidRDefault="00EB1EC9" w:rsidP="0031284D">
      <w:pPr>
        <w:numPr>
          <w:ilvl w:val="0"/>
          <w:numId w:val="10"/>
        </w:numPr>
        <w:rPr>
          <w:rFonts w:cs="Arial"/>
          <w:sz w:val="22"/>
          <w:szCs w:val="22"/>
        </w:rPr>
      </w:pPr>
      <w:r w:rsidRPr="00EE5A6D">
        <w:rPr>
          <w:rFonts w:cs="Arial"/>
          <w:sz w:val="22"/>
          <w:szCs w:val="22"/>
        </w:rPr>
        <w:t>ensuring stakeholders receive regular reports, including financial reports;</w:t>
      </w:r>
    </w:p>
    <w:p w14:paraId="5EA7322C" w14:textId="77777777" w:rsidR="00EB1EC9" w:rsidRPr="00EE5A6D" w:rsidRDefault="00EB1EC9" w:rsidP="0031284D">
      <w:pPr>
        <w:numPr>
          <w:ilvl w:val="0"/>
          <w:numId w:val="10"/>
        </w:numPr>
        <w:rPr>
          <w:rFonts w:cs="Arial"/>
          <w:sz w:val="22"/>
          <w:szCs w:val="22"/>
        </w:rPr>
      </w:pPr>
      <w:r w:rsidRPr="00EE5A6D">
        <w:rPr>
          <w:rFonts w:cs="Arial"/>
          <w:sz w:val="22"/>
          <w:szCs w:val="22"/>
        </w:rPr>
        <w:t>appointing Board committees to assist  in effective governance;</w:t>
      </w:r>
    </w:p>
    <w:p w14:paraId="5EA7322D" w14:textId="77777777" w:rsidR="00EB1EC9" w:rsidRPr="00EE5A6D" w:rsidRDefault="00EB1EC9" w:rsidP="0031284D">
      <w:pPr>
        <w:numPr>
          <w:ilvl w:val="0"/>
          <w:numId w:val="10"/>
        </w:numPr>
        <w:rPr>
          <w:rFonts w:cs="Arial"/>
          <w:sz w:val="22"/>
          <w:szCs w:val="22"/>
        </w:rPr>
      </w:pPr>
      <w:r w:rsidRPr="00EE5A6D">
        <w:rPr>
          <w:rFonts w:cs="Arial"/>
          <w:sz w:val="22"/>
          <w:szCs w:val="22"/>
        </w:rPr>
        <w:t xml:space="preserve">approving and monitoring </w:t>
      </w:r>
      <w:r w:rsidR="00CE7A03" w:rsidRPr="00EE5A6D">
        <w:rPr>
          <w:rFonts w:cs="Arial"/>
          <w:sz w:val="22"/>
          <w:szCs w:val="22"/>
        </w:rPr>
        <w:t xml:space="preserve">the progress of major capital </w:t>
      </w:r>
      <w:r w:rsidRPr="00EE5A6D">
        <w:rPr>
          <w:rFonts w:cs="Arial"/>
          <w:sz w:val="22"/>
          <w:szCs w:val="22"/>
        </w:rPr>
        <w:t>expenditure, capital management, acquisitions and divestments;</w:t>
      </w:r>
    </w:p>
    <w:p w14:paraId="5EA7322E" w14:textId="77777777" w:rsidR="00EB1EC9" w:rsidRPr="00EE5A6D" w:rsidRDefault="00EB1EC9" w:rsidP="0031284D">
      <w:pPr>
        <w:numPr>
          <w:ilvl w:val="0"/>
          <w:numId w:val="10"/>
        </w:numPr>
        <w:rPr>
          <w:rFonts w:cs="Arial"/>
          <w:sz w:val="22"/>
          <w:szCs w:val="22"/>
        </w:rPr>
      </w:pPr>
      <w:r w:rsidRPr="00EE5A6D">
        <w:rPr>
          <w:rFonts w:cs="Arial"/>
          <w:sz w:val="22"/>
          <w:szCs w:val="22"/>
        </w:rPr>
        <w:t xml:space="preserve">liaising with the Company’s </w:t>
      </w:r>
      <w:r w:rsidR="00B9401B">
        <w:rPr>
          <w:rFonts w:cs="Arial"/>
          <w:sz w:val="22"/>
          <w:szCs w:val="22"/>
        </w:rPr>
        <w:t>e</w:t>
      </w:r>
      <w:r w:rsidRPr="00EE5A6D">
        <w:rPr>
          <w:rFonts w:cs="Arial"/>
          <w:sz w:val="22"/>
          <w:szCs w:val="22"/>
        </w:rPr>
        <w:t xml:space="preserve">xternal </w:t>
      </w:r>
      <w:r w:rsidR="00B9401B">
        <w:rPr>
          <w:rFonts w:cs="Arial"/>
          <w:sz w:val="22"/>
          <w:szCs w:val="22"/>
        </w:rPr>
        <w:t>a</w:t>
      </w:r>
      <w:r w:rsidRPr="00EE5A6D">
        <w:rPr>
          <w:rFonts w:cs="Arial"/>
          <w:sz w:val="22"/>
          <w:szCs w:val="22"/>
        </w:rPr>
        <w:t>uditor through the Audit, Finance and Business Risk Committee;</w:t>
      </w:r>
    </w:p>
    <w:p w14:paraId="5EA7322F" w14:textId="77777777" w:rsidR="00EB1EC9" w:rsidRPr="00EE5A6D" w:rsidRDefault="00EB1EC9" w:rsidP="0031284D">
      <w:pPr>
        <w:numPr>
          <w:ilvl w:val="0"/>
          <w:numId w:val="10"/>
        </w:numPr>
        <w:rPr>
          <w:rFonts w:cs="Arial"/>
          <w:sz w:val="22"/>
          <w:szCs w:val="22"/>
        </w:rPr>
      </w:pPr>
      <w:r w:rsidRPr="00EE5A6D">
        <w:rPr>
          <w:rFonts w:cs="Arial"/>
          <w:sz w:val="22"/>
          <w:szCs w:val="22"/>
        </w:rPr>
        <w:t>decision</w:t>
      </w:r>
      <w:r w:rsidR="00791CA4" w:rsidRPr="00EE5A6D">
        <w:rPr>
          <w:rFonts w:cs="Arial"/>
          <w:sz w:val="22"/>
          <w:szCs w:val="22"/>
        </w:rPr>
        <w:t>s</w:t>
      </w:r>
      <w:r w:rsidRPr="00EE5A6D">
        <w:rPr>
          <w:rFonts w:cs="Arial"/>
          <w:sz w:val="22"/>
          <w:szCs w:val="22"/>
        </w:rPr>
        <w:t xml:space="preserve"> relating to the purchase</w:t>
      </w:r>
      <w:r w:rsidR="0058763C" w:rsidRPr="00EE5A6D">
        <w:rPr>
          <w:rFonts w:cs="Arial"/>
          <w:sz w:val="22"/>
          <w:szCs w:val="22"/>
        </w:rPr>
        <w:t>,</w:t>
      </w:r>
      <w:r w:rsidRPr="00EE5A6D">
        <w:rPr>
          <w:rFonts w:cs="Arial"/>
          <w:sz w:val="22"/>
          <w:szCs w:val="22"/>
        </w:rPr>
        <w:t xml:space="preserve"> sale or lease o</w:t>
      </w:r>
      <w:r w:rsidR="0058763C" w:rsidRPr="00EE5A6D">
        <w:rPr>
          <w:rFonts w:cs="Arial"/>
          <w:sz w:val="22"/>
          <w:szCs w:val="22"/>
        </w:rPr>
        <w:t>f</w:t>
      </w:r>
      <w:r w:rsidRPr="00EE5A6D">
        <w:rPr>
          <w:rFonts w:cs="Arial"/>
          <w:sz w:val="22"/>
          <w:szCs w:val="22"/>
        </w:rPr>
        <w:t xml:space="preserve"> real estate;</w:t>
      </w:r>
    </w:p>
    <w:p w14:paraId="5EA73230" w14:textId="77777777" w:rsidR="00791CA4" w:rsidRPr="00EE5A6D" w:rsidRDefault="00CE7A03" w:rsidP="0031284D">
      <w:pPr>
        <w:numPr>
          <w:ilvl w:val="0"/>
          <w:numId w:val="10"/>
        </w:numPr>
        <w:rPr>
          <w:rFonts w:cs="Arial"/>
          <w:sz w:val="22"/>
          <w:szCs w:val="22"/>
        </w:rPr>
      </w:pPr>
      <w:r w:rsidRPr="00EE5A6D">
        <w:rPr>
          <w:rFonts w:cs="Arial"/>
          <w:sz w:val="22"/>
          <w:szCs w:val="22"/>
        </w:rPr>
        <w:t>o</w:t>
      </w:r>
      <w:r w:rsidR="00EB1EC9" w:rsidRPr="00EE5A6D">
        <w:rPr>
          <w:rFonts w:cs="Arial"/>
          <w:sz w:val="22"/>
          <w:szCs w:val="22"/>
        </w:rPr>
        <w:t>ther matters referred to in the Board Committee charters</w:t>
      </w:r>
      <w:r w:rsidR="00791CA4" w:rsidRPr="00EE5A6D">
        <w:rPr>
          <w:rFonts w:cs="Arial"/>
          <w:sz w:val="22"/>
          <w:szCs w:val="22"/>
        </w:rPr>
        <w:t>;</w:t>
      </w:r>
    </w:p>
    <w:p w14:paraId="5EA73231" w14:textId="77777777" w:rsidR="004A2BBC" w:rsidRDefault="00EB1EC9" w:rsidP="0031284D">
      <w:pPr>
        <w:numPr>
          <w:ilvl w:val="0"/>
          <w:numId w:val="10"/>
        </w:numPr>
        <w:rPr>
          <w:rFonts w:cs="Arial"/>
          <w:sz w:val="22"/>
          <w:szCs w:val="22"/>
        </w:rPr>
      </w:pPr>
      <w:r w:rsidRPr="00EE5A6D">
        <w:rPr>
          <w:rFonts w:cs="Arial"/>
          <w:sz w:val="22"/>
          <w:szCs w:val="22"/>
        </w:rPr>
        <w:t>advocating for Vision Australia</w:t>
      </w:r>
      <w:r w:rsidR="00C83637" w:rsidRPr="00EE5A6D">
        <w:rPr>
          <w:rFonts w:cs="Arial"/>
          <w:sz w:val="22"/>
          <w:szCs w:val="22"/>
        </w:rPr>
        <w:t xml:space="preserve"> Limited</w:t>
      </w:r>
      <w:r w:rsidRPr="00EE5A6D">
        <w:rPr>
          <w:rFonts w:cs="Arial"/>
          <w:sz w:val="22"/>
          <w:szCs w:val="22"/>
        </w:rPr>
        <w:t xml:space="preserve"> whenever and wherever necessary</w:t>
      </w:r>
      <w:r w:rsidR="004A2BBC">
        <w:rPr>
          <w:rFonts w:cs="Arial"/>
          <w:sz w:val="22"/>
          <w:szCs w:val="22"/>
        </w:rPr>
        <w:t>; and</w:t>
      </w:r>
    </w:p>
    <w:p w14:paraId="5EA73232" w14:textId="77777777" w:rsidR="00EB1EC9" w:rsidRPr="00F55344" w:rsidRDefault="004A2BBC" w:rsidP="0031284D">
      <w:pPr>
        <w:numPr>
          <w:ilvl w:val="0"/>
          <w:numId w:val="10"/>
        </w:numPr>
        <w:rPr>
          <w:rFonts w:cs="Arial"/>
          <w:sz w:val="22"/>
          <w:szCs w:val="22"/>
        </w:rPr>
      </w:pPr>
      <w:proofErr w:type="gramStart"/>
      <w:r w:rsidRPr="00EE5A6D">
        <w:rPr>
          <w:rFonts w:cs="Arial"/>
          <w:sz w:val="22"/>
          <w:szCs w:val="22"/>
        </w:rPr>
        <w:t>other</w:t>
      </w:r>
      <w:proofErr w:type="gramEnd"/>
      <w:r w:rsidRPr="00EE5A6D">
        <w:rPr>
          <w:rFonts w:cs="Arial"/>
          <w:sz w:val="22"/>
          <w:szCs w:val="22"/>
        </w:rPr>
        <w:t xml:space="preserve"> matters required to be dealt with by the Board from time to time depending upon circumstances of the Company</w:t>
      </w:r>
      <w:r>
        <w:rPr>
          <w:rFonts w:cs="Arial"/>
          <w:sz w:val="22"/>
          <w:szCs w:val="22"/>
        </w:rPr>
        <w:t>.</w:t>
      </w:r>
    </w:p>
    <w:p w14:paraId="5EA73233" w14:textId="77777777" w:rsidR="00EB1EC9" w:rsidRPr="00EE5A6D" w:rsidRDefault="00EB1EC9" w:rsidP="002206F9">
      <w:pPr>
        <w:rPr>
          <w:rFonts w:cs="Arial"/>
          <w:sz w:val="22"/>
          <w:szCs w:val="22"/>
        </w:rPr>
      </w:pPr>
    </w:p>
    <w:p w14:paraId="5EA73234" w14:textId="77777777" w:rsidR="00EB1EC9" w:rsidRPr="00EE5A6D" w:rsidRDefault="00EB1EC9" w:rsidP="002206F9">
      <w:pPr>
        <w:autoSpaceDE w:val="0"/>
        <w:autoSpaceDN w:val="0"/>
        <w:adjustRightInd w:val="0"/>
        <w:rPr>
          <w:rFonts w:cs="Arial"/>
          <w:sz w:val="22"/>
          <w:szCs w:val="22"/>
        </w:rPr>
      </w:pPr>
      <w:r w:rsidRPr="00EE5A6D">
        <w:rPr>
          <w:rFonts w:cs="Arial"/>
          <w:sz w:val="22"/>
          <w:szCs w:val="22"/>
        </w:rPr>
        <w:t xml:space="preserve">The </w:t>
      </w:r>
      <w:r w:rsidR="007E2AF6" w:rsidRPr="00EE5A6D">
        <w:rPr>
          <w:rFonts w:cs="Arial"/>
          <w:sz w:val="22"/>
          <w:szCs w:val="22"/>
        </w:rPr>
        <w:t>Board</w:t>
      </w:r>
      <w:r w:rsidRPr="00EE5A6D">
        <w:rPr>
          <w:rFonts w:cs="Arial"/>
          <w:sz w:val="22"/>
          <w:szCs w:val="22"/>
        </w:rPr>
        <w:t xml:space="preserve"> formally delegates responsibility for Vision Australia</w:t>
      </w:r>
      <w:r w:rsidR="00C83637" w:rsidRPr="00EE5A6D">
        <w:rPr>
          <w:rFonts w:cs="Arial"/>
          <w:sz w:val="22"/>
          <w:szCs w:val="22"/>
        </w:rPr>
        <w:t xml:space="preserve"> Limited</w:t>
      </w:r>
      <w:r w:rsidRPr="00EE5A6D">
        <w:rPr>
          <w:rFonts w:cs="Arial"/>
          <w:sz w:val="22"/>
          <w:szCs w:val="22"/>
        </w:rPr>
        <w:t>’s day-to-day operations and administration to the CEO and executive management.  A delegated authority policy sets out staff decision making responsibilities and appropriate financial contractual thresholds.  Regular reviews are conducted on the appropriateness of the delegated authorities, and any material breaches are reported to the Board.</w:t>
      </w:r>
    </w:p>
    <w:p w14:paraId="5EA73235" w14:textId="77777777" w:rsidR="00EB1EC9" w:rsidRPr="00EE5A6D" w:rsidRDefault="00EB1EC9" w:rsidP="002206F9">
      <w:pPr>
        <w:rPr>
          <w:rFonts w:cs="Arial"/>
          <w:sz w:val="22"/>
          <w:szCs w:val="22"/>
        </w:rPr>
      </w:pPr>
    </w:p>
    <w:p w14:paraId="5EA73237" w14:textId="7A0621BF" w:rsidR="00EB1EC9" w:rsidRPr="005C1CCD" w:rsidRDefault="00EB1EC9" w:rsidP="00EB1EC9">
      <w:pPr>
        <w:rPr>
          <w:rFonts w:cs="Arial"/>
          <w:sz w:val="22"/>
          <w:szCs w:val="22"/>
        </w:rPr>
      </w:pPr>
      <w:r w:rsidRPr="00EE5A6D">
        <w:rPr>
          <w:rFonts w:cs="Arial"/>
          <w:sz w:val="22"/>
          <w:szCs w:val="22"/>
        </w:rPr>
        <w:t xml:space="preserve">The </w:t>
      </w:r>
      <w:r w:rsidR="007E2AF6" w:rsidRPr="00EE5A6D">
        <w:rPr>
          <w:rFonts w:cs="Arial"/>
          <w:sz w:val="22"/>
          <w:szCs w:val="22"/>
        </w:rPr>
        <w:t>Board</w:t>
      </w:r>
      <w:r w:rsidRPr="00EE5A6D">
        <w:rPr>
          <w:rFonts w:cs="Arial"/>
          <w:sz w:val="22"/>
          <w:szCs w:val="22"/>
        </w:rPr>
        <w:t xml:space="preserve"> annually reviews its charter and performance.</w:t>
      </w:r>
    </w:p>
    <w:p w14:paraId="5EA73238" w14:textId="77777777" w:rsidR="00EB1EC9" w:rsidRPr="00431251" w:rsidRDefault="00636F02" w:rsidP="00431251">
      <w:pPr>
        <w:pStyle w:val="Heading3"/>
        <w:jc w:val="left"/>
        <w:rPr>
          <w:color w:val="auto"/>
          <w:sz w:val="22"/>
          <w:szCs w:val="22"/>
        </w:rPr>
      </w:pPr>
      <w:r w:rsidRPr="00A94A4A">
        <w:rPr>
          <w:highlight w:val="yellow"/>
        </w:rPr>
        <w:br w:type="page"/>
      </w:r>
      <w:bookmarkStart w:id="65" w:name="_Toc430613009"/>
      <w:bookmarkStart w:id="66" w:name="_Toc430613315"/>
      <w:bookmarkStart w:id="67" w:name="_Toc430613686"/>
      <w:r w:rsidR="00EB1EC9" w:rsidRPr="00431251">
        <w:rPr>
          <w:color w:val="auto"/>
          <w:sz w:val="22"/>
          <w:szCs w:val="22"/>
        </w:rPr>
        <w:lastRenderedPageBreak/>
        <w:t xml:space="preserve">4.2 Board </w:t>
      </w:r>
      <w:r w:rsidR="00195C7D" w:rsidRPr="00431251">
        <w:rPr>
          <w:color w:val="auto"/>
          <w:sz w:val="22"/>
          <w:szCs w:val="22"/>
        </w:rPr>
        <w:t>s</w:t>
      </w:r>
      <w:r w:rsidR="00EB1EC9" w:rsidRPr="00431251">
        <w:rPr>
          <w:color w:val="auto"/>
          <w:sz w:val="22"/>
          <w:szCs w:val="22"/>
        </w:rPr>
        <w:t>tructure</w:t>
      </w:r>
      <w:bookmarkEnd w:id="65"/>
      <w:bookmarkEnd w:id="66"/>
      <w:bookmarkEnd w:id="67"/>
    </w:p>
    <w:p w14:paraId="5EA73239" w14:textId="77777777" w:rsidR="00EB1EC9" w:rsidRPr="00EE5A6D" w:rsidRDefault="00EB1EC9" w:rsidP="002206F9">
      <w:pPr>
        <w:rPr>
          <w:rFonts w:cs="Arial"/>
          <w:b/>
          <w:sz w:val="22"/>
          <w:szCs w:val="22"/>
        </w:rPr>
      </w:pPr>
    </w:p>
    <w:p w14:paraId="5EA7323A" w14:textId="77777777" w:rsidR="00EB1EC9" w:rsidRPr="00EE5A6D" w:rsidRDefault="00537022" w:rsidP="002206F9">
      <w:pPr>
        <w:rPr>
          <w:rFonts w:cs="Arial"/>
          <w:sz w:val="22"/>
          <w:szCs w:val="22"/>
        </w:rPr>
      </w:pPr>
      <w:r>
        <w:rPr>
          <w:rFonts w:cs="Arial"/>
          <w:sz w:val="22"/>
          <w:szCs w:val="22"/>
        </w:rPr>
        <w:t>Directors,</w:t>
      </w:r>
      <w:r w:rsidR="00EB1EC9" w:rsidRPr="00EE5A6D">
        <w:rPr>
          <w:rFonts w:cs="Arial"/>
          <w:sz w:val="22"/>
          <w:szCs w:val="22"/>
        </w:rPr>
        <w:t xml:space="preserve"> including the Chair</w:t>
      </w:r>
      <w:r>
        <w:rPr>
          <w:rFonts w:cs="Arial"/>
          <w:sz w:val="22"/>
          <w:szCs w:val="22"/>
        </w:rPr>
        <w:t>,</w:t>
      </w:r>
      <w:r w:rsidR="00EB1EC9" w:rsidRPr="00EE5A6D">
        <w:rPr>
          <w:rFonts w:cs="Arial"/>
          <w:sz w:val="22"/>
          <w:szCs w:val="22"/>
        </w:rPr>
        <w:t xml:space="preserve"> are independent Non-Executive Directors.  Vision Australia</w:t>
      </w:r>
      <w:r w:rsidR="00C83637" w:rsidRPr="00EE5A6D">
        <w:rPr>
          <w:rFonts w:cs="Arial"/>
          <w:sz w:val="22"/>
          <w:szCs w:val="22"/>
        </w:rPr>
        <w:t xml:space="preserve"> Limited</w:t>
      </w:r>
      <w:r w:rsidR="00EB1EC9" w:rsidRPr="00EE5A6D">
        <w:rPr>
          <w:rFonts w:cs="Arial"/>
          <w:sz w:val="22"/>
          <w:szCs w:val="22"/>
        </w:rPr>
        <w:t>’s constitution r</w:t>
      </w:r>
      <w:r w:rsidR="00CE7A03" w:rsidRPr="00EE5A6D">
        <w:rPr>
          <w:rFonts w:cs="Arial"/>
          <w:sz w:val="22"/>
          <w:szCs w:val="22"/>
        </w:rPr>
        <w:t xml:space="preserve">equires no </w:t>
      </w:r>
      <w:r w:rsidR="004A2BBC">
        <w:rPr>
          <w:rFonts w:cs="Arial"/>
          <w:sz w:val="22"/>
          <w:szCs w:val="22"/>
        </w:rPr>
        <w:t>fewer</w:t>
      </w:r>
      <w:r w:rsidR="004A2BBC" w:rsidRPr="00EE5A6D">
        <w:rPr>
          <w:rFonts w:cs="Arial"/>
          <w:sz w:val="22"/>
          <w:szCs w:val="22"/>
        </w:rPr>
        <w:t xml:space="preserve"> </w:t>
      </w:r>
      <w:r w:rsidR="00CE7A03" w:rsidRPr="00EE5A6D">
        <w:rPr>
          <w:rFonts w:cs="Arial"/>
          <w:sz w:val="22"/>
          <w:szCs w:val="22"/>
        </w:rPr>
        <w:t>than six and no</w:t>
      </w:r>
      <w:r w:rsidR="00EB1EC9" w:rsidRPr="00EE5A6D">
        <w:rPr>
          <w:rFonts w:cs="Arial"/>
          <w:sz w:val="22"/>
          <w:szCs w:val="22"/>
        </w:rPr>
        <w:t xml:space="preserve"> more tha</w:t>
      </w:r>
      <w:r w:rsidR="00791CA4" w:rsidRPr="00EE5A6D">
        <w:rPr>
          <w:rFonts w:cs="Arial"/>
          <w:sz w:val="22"/>
          <w:szCs w:val="22"/>
        </w:rPr>
        <w:t>n twelve dire</w:t>
      </w:r>
      <w:r w:rsidR="00791CA4" w:rsidRPr="00C34A13">
        <w:rPr>
          <w:rFonts w:cs="Arial"/>
          <w:sz w:val="22"/>
          <w:szCs w:val="22"/>
        </w:rPr>
        <w:t xml:space="preserve">ctors.  There are </w:t>
      </w:r>
      <w:r w:rsidR="003F011C">
        <w:rPr>
          <w:rFonts w:cs="Arial"/>
          <w:sz w:val="22"/>
          <w:szCs w:val="22"/>
        </w:rPr>
        <w:t>twelve</w:t>
      </w:r>
      <w:r w:rsidR="00EB1EC9" w:rsidRPr="00C34A13">
        <w:rPr>
          <w:rFonts w:cs="Arial"/>
          <w:sz w:val="22"/>
          <w:szCs w:val="22"/>
        </w:rPr>
        <w:t xml:space="preserve"> </w:t>
      </w:r>
      <w:r w:rsidR="005F6A65" w:rsidRPr="00C34A13">
        <w:rPr>
          <w:rFonts w:cs="Arial"/>
          <w:sz w:val="22"/>
          <w:szCs w:val="22"/>
        </w:rPr>
        <w:t>d</w:t>
      </w:r>
      <w:r w:rsidR="00EB1EC9" w:rsidRPr="00C34A13">
        <w:rPr>
          <w:rFonts w:cs="Arial"/>
          <w:sz w:val="22"/>
          <w:szCs w:val="22"/>
        </w:rPr>
        <w:t xml:space="preserve">irectors at </w:t>
      </w:r>
      <w:r w:rsidR="00123FDF" w:rsidRPr="00C34A13">
        <w:rPr>
          <w:rFonts w:cs="Arial"/>
          <w:sz w:val="22"/>
          <w:szCs w:val="22"/>
        </w:rPr>
        <w:t>30 June</w:t>
      </w:r>
      <w:r w:rsidR="008903DC" w:rsidRPr="00C34A13">
        <w:rPr>
          <w:rFonts w:cs="Arial"/>
          <w:sz w:val="22"/>
          <w:szCs w:val="22"/>
        </w:rPr>
        <w:t xml:space="preserve"> 201</w:t>
      </w:r>
      <w:r w:rsidR="00B2767F">
        <w:rPr>
          <w:rFonts w:cs="Arial"/>
          <w:sz w:val="22"/>
          <w:szCs w:val="22"/>
        </w:rPr>
        <w:t>5</w:t>
      </w:r>
      <w:r w:rsidR="00EB1EC9" w:rsidRPr="00C34A13">
        <w:rPr>
          <w:rFonts w:cs="Arial"/>
          <w:sz w:val="22"/>
          <w:szCs w:val="22"/>
        </w:rPr>
        <w:t>.</w:t>
      </w:r>
    </w:p>
    <w:p w14:paraId="5EA7323B" w14:textId="77777777" w:rsidR="00EB1EC9" w:rsidRPr="00EE5A6D" w:rsidRDefault="00EB1EC9" w:rsidP="002206F9">
      <w:pPr>
        <w:rPr>
          <w:rFonts w:cs="Arial"/>
          <w:sz w:val="20"/>
          <w:szCs w:val="22"/>
        </w:rPr>
      </w:pPr>
    </w:p>
    <w:p w14:paraId="5EA7323C" w14:textId="3E049C7C" w:rsidR="002E36BB" w:rsidRPr="00DD1946" w:rsidRDefault="002E36BB" w:rsidP="002206F9">
      <w:pPr>
        <w:rPr>
          <w:rFonts w:cs="Arial"/>
          <w:sz w:val="22"/>
          <w:szCs w:val="22"/>
        </w:rPr>
      </w:pPr>
      <w:r w:rsidRPr="00114E86">
        <w:rPr>
          <w:bCs/>
          <w:sz w:val="22"/>
          <w:szCs w:val="22"/>
        </w:rPr>
        <w:t>At each general meeting one-third of the Directors</w:t>
      </w:r>
      <w:r>
        <w:rPr>
          <w:bCs/>
          <w:sz w:val="22"/>
          <w:szCs w:val="22"/>
        </w:rPr>
        <w:t xml:space="preserve"> </w:t>
      </w:r>
      <w:r w:rsidRPr="00114E86">
        <w:rPr>
          <w:bCs/>
          <w:sz w:val="22"/>
          <w:szCs w:val="22"/>
        </w:rPr>
        <w:t>must retire from office.</w:t>
      </w:r>
      <w:r>
        <w:rPr>
          <w:bCs/>
          <w:sz w:val="22"/>
          <w:szCs w:val="22"/>
        </w:rPr>
        <w:t xml:space="preserve">  </w:t>
      </w:r>
      <w:r w:rsidR="00EB1EC9" w:rsidRPr="00A22069">
        <w:rPr>
          <w:rFonts w:cs="Arial"/>
          <w:sz w:val="22"/>
          <w:szCs w:val="22"/>
        </w:rPr>
        <w:t>They are eligible for re-election</w:t>
      </w:r>
      <w:r>
        <w:rPr>
          <w:rFonts w:cs="Arial"/>
          <w:sz w:val="22"/>
          <w:szCs w:val="22"/>
        </w:rPr>
        <w:t xml:space="preserve"> subject to the maximum tenure of </w:t>
      </w:r>
      <w:r w:rsidR="00CE6256">
        <w:rPr>
          <w:rFonts w:cs="Arial"/>
          <w:sz w:val="22"/>
          <w:szCs w:val="22"/>
        </w:rPr>
        <w:t xml:space="preserve">nine years </w:t>
      </w:r>
      <w:r>
        <w:rPr>
          <w:rFonts w:cs="Arial"/>
          <w:sz w:val="22"/>
          <w:szCs w:val="22"/>
        </w:rPr>
        <w:t>with the exception of the Chair who has a maximum tenure of twelve years</w:t>
      </w:r>
      <w:r w:rsidR="00EB1EC9" w:rsidRPr="00DD1946">
        <w:rPr>
          <w:rFonts w:cs="Arial"/>
          <w:sz w:val="22"/>
          <w:szCs w:val="22"/>
        </w:rPr>
        <w:t>.</w:t>
      </w:r>
      <w:r>
        <w:rPr>
          <w:rFonts w:cs="Arial"/>
          <w:sz w:val="22"/>
          <w:szCs w:val="22"/>
        </w:rPr>
        <w:t xml:space="preserve"> The Board Renewal and Director Appointment Policy can be viewed on the </w:t>
      </w:r>
      <w:r w:rsidRPr="002E36BB">
        <w:rPr>
          <w:rFonts w:cs="Arial"/>
          <w:sz w:val="22"/>
          <w:szCs w:val="22"/>
        </w:rPr>
        <w:t>Vision Australia</w:t>
      </w:r>
      <w:r>
        <w:rPr>
          <w:rFonts w:cs="Arial"/>
          <w:sz w:val="22"/>
          <w:szCs w:val="22"/>
        </w:rPr>
        <w:t xml:space="preserve"> website at: </w:t>
      </w:r>
      <w:hyperlink r:id="rId21" w:history="1">
        <w:r w:rsidR="005C1CCD" w:rsidRPr="005C1CCD">
          <w:rPr>
            <w:rStyle w:val="Hyperlink"/>
            <w:rFonts w:cs="Arial"/>
            <w:sz w:val="22"/>
            <w:szCs w:val="22"/>
          </w:rPr>
          <w:t>this link</w:t>
        </w:r>
      </w:hyperlink>
      <w:r w:rsidR="005C1CCD">
        <w:rPr>
          <w:rFonts w:cs="Arial"/>
          <w:sz w:val="22"/>
          <w:szCs w:val="22"/>
        </w:rPr>
        <w:t>.</w:t>
      </w:r>
    </w:p>
    <w:p w14:paraId="5EA7323D" w14:textId="77777777" w:rsidR="002E36BB" w:rsidRDefault="002E36BB" w:rsidP="002206F9">
      <w:pPr>
        <w:rPr>
          <w:rFonts w:cs="Arial"/>
          <w:sz w:val="22"/>
          <w:szCs w:val="22"/>
        </w:rPr>
      </w:pPr>
    </w:p>
    <w:p w14:paraId="5EA7323E" w14:textId="77777777" w:rsidR="00EB1EC9" w:rsidRPr="00EE5A6D" w:rsidRDefault="00EB1EC9" w:rsidP="002206F9">
      <w:pPr>
        <w:rPr>
          <w:rFonts w:cs="Arial"/>
          <w:sz w:val="22"/>
          <w:szCs w:val="22"/>
        </w:rPr>
      </w:pPr>
      <w:r w:rsidRPr="00DD1946">
        <w:rPr>
          <w:rFonts w:cs="Arial"/>
          <w:sz w:val="22"/>
          <w:szCs w:val="22"/>
        </w:rPr>
        <w:t>No employee of Vision Australia</w:t>
      </w:r>
      <w:r w:rsidR="00C83637" w:rsidRPr="00F55344">
        <w:rPr>
          <w:rFonts w:cs="Arial"/>
          <w:sz w:val="22"/>
          <w:szCs w:val="22"/>
        </w:rPr>
        <w:t xml:space="preserve"> Limited</w:t>
      </w:r>
      <w:r w:rsidRPr="00F55344">
        <w:rPr>
          <w:rFonts w:cs="Arial"/>
          <w:sz w:val="22"/>
          <w:szCs w:val="22"/>
        </w:rPr>
        <w:t>, including the CEO can</w:t>
      </w:r>
      <w:r w:rsidRPr="00EE5A6D">
        <w:rPr>
          <w:rFonts w:cs="Arial"/>
          <w:sz w:val="22"/>
          <w:szCs w:val="22"/>
        </w:rPr>
        <w:t xml:space="preserve"> be a </w:t>
      </w:r>
      <w:r w:rsidR="005F6A65" w:rsidRPr="00EE5A6D">
        <w:rPr>
          <w:rFonts w:cs="Arial"/>
          <w:sz w:val="22"/>
          <w:szCs w:val="22"/>
        </w:rPr>
        <w:t>d</w:t>
      </w:r>
      <w:r w:rsidRPr="00EE5A6D">
        <w:rPr>
          <w:rFonts w:cs="Arial"/>
          <w:sz w:val="22"/>
          <w:szCs w:val="22"/>
        </w:rPr>
        <w:t>irector of Vision Australia</w:t>
      </w:r>
      <w:r w:rsidR="00C83637" w:rsidRPr="00EE5A6D">
        <w:rPr>
          <w:rFonts w:cs="Arial"/>
          <w:sz w:val="22"/>
          <w:szCs w:val="22"/>
        </w:rPr>
        <w:t xml:space="preserve"> Limited</w:t>
      </w:r>
      <w:r w:rsidR="00CE7A03" w:rsidRPr="00EE5A6D">
        <w:rPr>
          <w:rFonts w:cs="Arial"/>
          <w:sz w:val="22"/>
          <w:szCs w:val="22"/>
        </w:rPr>
        <w:t>,</w:t>
      </w:r>
      <w:r w:rsidRPr="00EE5A6D">
        <w:rPr>
          <w:rFonts w:cs="Arial"/>
          <w:sz w:val="22"/>
          <w:szCs w:val="22"/>
        </w:rPr>
        <w:t xml:space="preserve"> though they may be </w:t>
      </w:r>
      <w:r w:rsidR="005F6A65" w:rsidRPr="00EE5A6D">
        <w:rPr>
          <w:rFonts w:cs="Arial"/>
          <w:sz w:val="22"/>
          <w:szCs w:val="22"/>
        </w:rPr>
        <w:t>d</w:t>
      </w:r>
      <w:r w:rsidRPr="00EE5A6D">
        <w:rPr>
          <w:rFonts w:cs="Arial"/>
          <w:sz w:val="22"/>
          <w:szCs w:val="22"/>
        </w:rPr>
        <w:t>irectors of subsidiaries of Vision Australia</w:t>
      </w:r>
      <w:r w:rsidR="00C83637" w:rsidRPr="00EE5A6D">
        <w:rPr>
          <w:rFonts w:cs="Arial"/>
          <w:sz w:val="22"/>
          <w:szCs w:val="22"/>
        </w:rPr>
        <w:t xml:space="preserve"> Limited</w:t>
      </w:r>
      <w:r w:rsidRPr="00EE5A6D">
        <w:rPr>
          <w:rFonts w:cs="Arial"/>
          <w:sz w:val="22"/>
          <w:szCs w:val="22"/>
        </w:rPr>
        <w:t>.  Directors act in a voluntary capacity except for the Chair who may be remunerated.</w:t>
      </w:r>
    </w:p>
    <w:p w14:paraId="5EA7323F" w14:textId="77777777" w:rsidR="00EB1EC9" w:rsidRPr="00EE5A6D" w:rsidRDefault="00EB1EC9" w:rsidP="002206F9">
      <w:pPr>
        <w:rPr>
          <w:rFonts w:cs="Arial"/>
          <w:sz w:val="20"/>
          <w:szCs w:val="22"/>
        </w:rPr>
      </w:pPr>
    </w:p>
    <w:p w14:paraId="5EA73240" w14:textId="2C14DD41" w:rsidR="00EB1EC9" w:rsidRPr="00EE5A6D" w:rsidRDefault="00EB1EC9" w:rsidP="002206F9">
      <w:pPr>
        <w:autoSpaceDE w:val="0"/>
        <w:autoSpaceDN w:val="0"/>
        <w:adjustRightInd w:val="0"/>
        <w:rPr>
          <w:rFonts w:cs="Arial"/>
          <w:sz w:val="22"/>
          <w:szCs w:val="22"/>
        </w:rPr>
      </w:pPr>
      <w:r w:rsidRPr="00EE5A6D">
        <w:rPr>
          <w:rFonts w:cs="Arial"/>
          <w:sz w:val="22"/>
          <w:szCs w:val="22"/>
        </w:rPr>
        <w:t>Profiles of the directors are</w:t>
      </w:r>
      <w:r w:rsidR="00890219">
        <w:rPr>
          <w:rFonts w:cs="Arial"/>
          <w:sz w:val="22"/>
          <w:szCs w:val="22"/>
        </w:rPr>
        <w:t xml:space="preserve"> provided</w:t>
      </w:r>
      <w:r w:rsidRPr="00EE5A6D">
        <w:rPr>
          <w:rFonts w:cs="Arial"/>
          <w:sz w:val="22"/>
          <w:szCs w:val="22"/>
        </w:rPr>
        <w:t xml:space="preserve"> </w:t>
      </w:r>
      <w:r w:rsidR="00890219">
        <w:rPr>
          <w:rFonts w:cs="Arial"/>
          <w:sz w:val="22"/>
          <w:szCs w:val="22"/>
        </w:rPr>
        <w:t xml:space="preserve">on the </w:t>
      </w:r>
      <w:r w:rsidR="008E4F55" w:rsidRPr="008E4F55">
        <w:rPr>
          <w:rFonts w:cs="Arial"/>
          <w:sz w:val="22"/>
          <w:szCs w:val="22"/>
        </w:rPr>
        <w:t>Vision Australia</w:t>
      </w:r>
      <w:r w:rsidR="008E4F55">
        <w:rPr>
          <w:rFonts w:cs="Arial"/>
          <w:sz w:val="22"/>
          <w:szCs w:val="22"/>
        </w:rPr>
        <w:t xml:space="preserve"> </w:t>
      </w:r>
      <w:r w:rsidR="00890219">
        <w:rPr>
          <w:rFonts w:cs="Arial"/>
          <w:sz w:val="22"/>
          <w:szCs w:val="22"/>
        </w:rPr>
        <w:t>website.</w:t>
      </w:r>
    </w:p>
    <w:p w14:paraId="5EA73241" w14:textId="77777777" w:rsidR="00EB1EC9" w:rsidRPr="00EE5A6D" w:rsidRDefault="00EB1EC9" w:rsidP="002206F9">
      <w:pPr>
        <w:rPr>
          <w:rFonts w:cs="Arial"/>
          <w:sz w:val="20"/>
          <w:szCs w:val="22"/>
        </w:rPr>
      </w:pPr>
    </w:p>
    <w:p w14:paraId="5EA73242" w14:textId="77777777" w:rsidR="00EB1EC9" w:rsidRPr="00431251" w:rsidRDefault="00EB1EC9" w:rsidP="00431251">
      <w:pPr>
        <w:pStyle w:val="Heading3"/>
        <w:jc w:val="left"/>
        <w:rPr>
          <w:color w:val="auto"/>
          <w:sz w:val="22"/>
          <w:szCs w:val="22"/>
        </w:rPr>
      </w:pPr>
      <w:bookmarkStart w:id="68" w:name="_Toc430613010"/>
      <w:bookmarkStart w:id="69" w:name="_Toc430613316"/>
      <w:bookmarkStart w:id="70" w:name="_Toc430613687"/>
      <w:r w:rsidRPr="00431251">
        <w:rPr>
          <w:color w:val="auto"/>
          <w:sz w:val="22"/>
          <w:szCs w:val="22"/>
        </w:rPr>
        <w:t xml:space="preserve">4.3 Ethical and </w:t>
      </w:r>
      <w:r w:rsidR="00195C7D" w:rsidRPr="00431251">
        <w:rPr>
          <w:color w:val="auto"/>
          <w:sz w:val="22"/>
          <w:szCs w:val="22"/>
        </w:rPr>
        <w:t>r</w:t>
      </w:r>
      <w:r w:rsidRPr="00431251">
        <w:rPr>
          <w:color w:val="auto"/>
          <w:sz w:val="22"/>
          <w:szCs w:val="22"/>
        </w:rPr>
        <w:t xml:space="preserve">esponsible </w:t>
      </w:r>
      <w:r w:rsidR="00195C7D" w:rsidRPr="00431251">
        <w:rPr>
          <w:color w:val="auto"/>
          <w:sz w:val="22"/>
          <w:szCs w:val="22"/>
        </w:rPr>
        <w:t>d</w:t>
      </w:r>
      <w:r w:rsidRPr="00431251">
        <w:rPr>
          <w:color w:val="auto"/>
          <w:sz w:val="22"/>
          <w:szCs w:val="22"/>
        </w:rPr>
        <w:t>ecision making</w:t>
      </w:r>
      <w:bookmarkEnd w:id="68"/>
      <w:bookmarkEnd w:id="69"/>
      <w:bookmarkEnd w:id="70"/>
    </w:p>
    <w:p w14:paraId="5EA73243" w14:textId="77777777" w:rsidR="00EB1EC9" w:rsidRPr="00EE5A6D" w:rsidRDefault="00EB1EC9" w:rsidP="002206F9">
      <w:pPr>
        <w:rPr>
          <w:rFonts w:cs="Arial"/>
          <w:b/>
          <w:sz w:val="22"/>
          <w:szCs w:val="22"/>
        </w:rPr>
      </w:pPr>
    </w:p>
    <w:p w14:paraId="5EA73244" w14:textId="77777777" w:rsidR="00EB1EC9" w:rsidRPr="00EE5A6D" w:rsidRDefault="00EB1EC9" w:rsidP="002206F9">
      <w:pPr>
        <w:rPr>
          <w:rFonts w:cs="Arial"/>
          <w:b/>
          <w:sz w:val="22"/>
          <w:szCs w:val="22"/>
        </w:rPr>
      </w:pPr>
      <w:r w:rsidRPr="00EE5A6D">
        <w:rPr>
          <w:rFonts w:cs="Arial"/>
          <w:color w:val="222222"/>
          <w:sz w:val="22"/>
          <w:szCs w:val="22"/>
          <w:lang w:val="en"/>
        </w:rPr>
        <w:t>Code of Professional Conduct</w:t>
      </w:r>
    </w:p>
    <w:p w14:paraId="5EA73245" w14:textId="77777777" w:rsidR="00EB1EC9" w:rsidRPr="00EE5A6D" w:rsidRDefault="00EB1EC9" w:rsidP="002206F9">
      <w:pPr>
        <w:rPr>
          <w:rFonts w:cs="Arial"/>
          <w:b/>
          <w:sz w:val="22"/>
          <w:szCs w:val="22"/>
        </w:rPr>
      </w:pPr>
    </w:p>
    <w:p w14:paraId="5EA73246" w14:textId="276C95A5" w:rsidR="00EB1EC9" w:rsidRPr="00EE5A6D" w:rsidRDefault="00EB1EC9" w:rsidP="002206F9">
      <w:pPr>
        <w:autoSpaceDE w:val="0"/>
        <w:autoSpaceDN w:val="0"/>
        <w:adjustRightInd w:val="0"/>
        <w:rPr>
          <w:rFonts w:cs="Arial"/>
          <w:sz w:val="22"/>
          <w:szCs w:val="22"/>
        </w:rPr>
      </w:pPr>
      <w:r w:rsidRPr="00EE5A6D">
        <w:rPr>
          <w:rFonts w:cs="Arial"/>
          <w:sz w:val="22"/>
          <w:szCs w:val="22"/>
        </w:rPr>
        <w:t>Vision Australia</w:t>
      </w:r>
      <w:r w:rsidR="00C83637" w:rsidRPr="00EE5A6D">
        <w:rPr>
          <w:rFonts w:cs="Arial"/>
          <w:sz w:val="22"/>
          <w:szCs w:val="22"/>
        </w:rPr>
        <w:t xml:space="preserve"> Limited</w:t>
      </w:r>
      <w:r w:rsidRPr="00EE5A6D">
        <w:rPr>
          <w:rFonts w:cs="Arial"/>
          <w:sz w:val="22"/>
          <w:szCs w:val="22"/>
        </w:rPr>
        <w:t xml:space="preserve">’s objective is to conduct its business with the highest standards of personal and corporate integrity. To assist employees in achieving this objective, the Company has developed a comprehensive Code of Professional </w:t>
      </w:r>
      <w:r w:rsidR="004C575F" w:rsidRPr="00EE5A6D">
        <w:rPr>
          <w:rFonts w:cs="Arial"/>
          <w:sz w:val="22"/>
          <w:szCs w:val="22"/>
        </w:rPr>
        <w:t xml:space="preserve">Conduct. </w:t>
      </w:r>
      <w:r w:rsidRPr="00EE5A6D">
        <w:rPr>
          <w:rFonts w:cs="Arial"/>
          <w:sz w:val="22"/>
          <w:szCs w:val="22"/>
        </w:rPr>
        <w:t xml:space="preserve">It reinforces </w:t>
      </w:r>
      <w:r w:rsidR="008E4F55">
        <w:rPr>
          <w:rFonts w:cs="Arial"/>
          <w:sz w:val="22"/>
          <w:szCs w:val="22"/>
        </w:rPr>
        <w:t>the need for d</w:t>
      </w:r>
      <w:r w:rsidRPr="00EE5A6D">
        <w:rPr>
          <w:rFonts w:cs="Arial"/>
          <w:sz w:val="22"/>
          <w:szCs w:val="22"/>
        </w:rPr>
        <w:t>irectors, employees, consultants and all other representatives of the Company to always act in good faith, in Vision Australia</w:t>
      </w:r>
      <w:r w:rsidR="00C83637" w:rsidRPr="00EE5A6D">
        <w:rPr>
          <w:rFonts w:cs="Arial"/>
          <w:sz w:val="22"/>
          <w:szCs w:val="22"/>
        </w:rPr>
        <w:t xml:space="preserve"> Limited</w:t>
      </w:r>
      <w:r w:rsidRPr="00EE5A6D">
        <w:rPr>
          <w:rFonts w:cs="Arial"/>
          <w:sz w:val="22"/>
          <w:szCs w:val="22"/>
        </w:rPr>
        <w:t>’s best interests and in accordance with all applicable policies, procedures, laws and regulations.</w:t>
      </w:r>
    </w:p>
    <w:p w14:paraId="5EA73247" w14:textId="77777777" w:rsidR="00EB1EC9" w:rsidRPr="00EE5A6D" w:rsidRDefault="00EB1EC9" w:rsidP="002206F9">
      <w:pPr>
        <w:autoSpaceDE w:val="0"/>
        <w:autoSpaceDN w:val="0"/>
        <w:adjustRightInd w:val="0"/>
        <w:rPr>
          <w:rFonts w:cs="Arial"/>
          <w:sz w:val="22"/>
          <w:szCs w:val="22"/>
        </w:rPr>
      </w:pPr>
    </w:p>
    <w:p w14:paraId="5EA73248" w14:textId="74C49052" w:rsidR="00EB1EC9" w:rsidRPr="00EE5A6D" w:rsidRDefault="00EB1EC9" w:rsidP="002206F9">
      <w:pPr>
        <w:autoSpaceDE w:val="0"/>
        <w:autoSpaceDN w:val="0"/>
        <w:adjustRightInd w:val="0"/>
        <w:rPr>
          <w:rFonts w:cs="Arial"/>
          <w:sz w:val="22"/>
          <w:szCs w:val="22"/>
        </w:rPr>
      </w:pPr>
      <w:r w:rsidRPr="00EE5A6D">
        <w:rPr>
          <w:rFonts w:cs="Arial"/>
          <w:sz w:val="22"/>
          <w:szCs w:val="22"/>
        </w:rPr>
        <w:t>The Code states the values and policies of Vision Australia</w:t>
      </w:r>
      <w:r w:rsidR="00C83637" w:rsidRPr="00EE5A6D">
        <w:rPr>
          <w:rFonts w:cs="Arial"/>
          <w:sz w:val="22"/>
          <w:szCs w:val="22"/>
        </w:rPr>
        <w:t xml:space="preserve"> Limited</w:t>
      </w:r>
      <w:r w:rsidRPr="00EE5A6D">
        <w:rPr>
          <w:rFonts w:cs="Arial"/>
          <w:sz w:val="22"/>
          <w:szCs w:val="22"/>
        </w:rPr>
        <w:t xml:space="preserve"> and complements the Company’s risk management and internal control practices. The Code </w:t>
      </w:r>
      <w:r w:rsidR="00941E72">
        <w:rPr>
          <w:rFonts w:cs="Arial"/>
          <w:sz w:val="22"/>
          <w:szCs w:val="22"/>
        </w:rPr>
        <w:t xml:space="preserve">is </w:t>
      </w:r>
      <w:r w:rsidRPr="00EE5A6D">
        <w:rPr>
          <w:rFonts w:cs="Arial"/>
          <w:sz w:val="22"/>
          <w:szCs w:val="22"/>
        </w:rPr>
        <w:t xml:space="preserve">reviewed </w:t>
      </w:r>
      <w:r w:rsidR="00941E72">
        <w:rPr>
          <w:rFonts w:cs="Arial"/>
          <w:sz w:val="22"/>
          <w:szCs w:val="22"/>
        </w:rPr>
        <w:t xml:space="preserve">and updated </w:t>
      </w:r>
      <w:r w:rsidRPr="00EE5A6D">
        <w:rPr>
          <w:rFonts w:cs="Arial"/>
          <w:sz w:val="22"/>
          <w:szCs w:val="22"/>
        </w:rPr>
        <w:t>to ensure that it reflects current good practice, and to promote the ethical behaviour of all employees.</w:t>
      </w:r>
    </w:p>
    <w:p w14:paraId="5EA73249" w14:textId="77777777" w:rsidR="00DF1946" w:rsidRPr="00F61975" w:rsidRDefault="00DF1946" w:rsidP="002206F9">
      <w:pPr>
        <w:autoSpaceDE w:val="0"/>
        <w:autoSpaceDN w:val="0"/>
        <w:adjustRightInd w:val="0"/>
        <w:rPr>
          <w:rFonts w:cs="Arial"/>
          <w:sz w:val="22"/>
          <w:szCs w:val="22"/>
        </w:rPr>
      </w:pPr>
    </w:p>
    <w:p w14:paraId="5EA7324A" w14:textId="52134FD6" w:rsidR="00736907" w:rsidRPr="00851964" w:rsidRDefault="00DF1946" w:rsidP="00851964">
      <w:pPr>
        <w:autoSpaceDE w:val="0"/>
        <w:autoSpaceDN w:val="0"/>
        <w:adjustRightInd w:val="0"/>
        <w:rPr>
          <w:rFonts w:cs="Arial"/>
          <w:sz w:val="22"/>
          <w:szCs w:val="22"/>
        </w:rPr>
      </w:pPr>
      <w:r w:rsidRPr="00EE5A6D">
        <w:rPr>
          <w:rFonts w:cs="Arial"/>
          <w:sz w:val="22"/>
          <w:szCs w:val="22"/>
        </w:rPr>
        <w:t>Vision Australia</w:t>
      </w:r>
      <w:r w:rsidR="00C83637" w:rsidRPr="00EE5A6D">
        <w:rPr>
          <w:rFonts w:cs="Arial"/>
          <w:sz w:val="22"/>
          <w:szCs w:val="22"/>
        </w:rPr>
        <w:t xml:space="preserve"> Limited</w:t>
      </w:r>
      <w:r w:rsidRPr="00EE5A6D">
        <w:rPr>
          <w:rFonts w:cs="Arial"/>
          <w:sz w:val="22"/>
          <w:szCs w:val="22"/>
        </w:rPr>
        <w:t xml:space="preserve"> has policies and procedures </w:t>
      </w:r>
      <w:r w:rsidR="00C06028" w:rsidRPr="00EE5A6D">
        <w:rPr>
          <w:rFonts w:cs="Arial"/>
          <w:sz w:val="22"/>
          <w:szCs w:val="22"/>
        </w:rPr>
        <w:t xml:space="preserve">in place including a </w:t>
      </w:r>
      <w:r w:rsidR="008E4F55" w:rsidRPr="00EE5A6D">
        <w:rPr>
          <w:rFonts w:cs="Arial"/>
          <w:sz w:val="22"/>
          <w:szCs w:val="22"/>
        </w:rPr>
        <w:t>whistle-blower</w:t>
      </w:r>
      <w:r w:rsidR="009E6038" w:rsidRPr="00EE5A6D">
        <w:rPr>
          <w:rFonts w:cs="Arial"/>
          <w:sz w:val="22"/>
          <w:szCs w:val="22"/>
        </w:rPr>
        <w:t xml:space="preserve"> </w:t>
      </w:r>
      <w:r w:rsidR="00C06028" w:rsidRPr="00EE5A6D">
        <w:rPr>
          <w:rFonts w:cs="Arial"/>
          <w:sz w:val="22"/>
          <w:szCs w:val="22"/>
        </w:rPr>
        <w:t xml:space="preserve">policy and a Workplace Behaviour Policy ensuring that any form of discrimination, harassment, bullying or occupational violence </w:t>
      </w:r>
      <w:r w:rsidR="00241001" w:rsidRPr="00EE5A6D">
        <w:rPr>
          <w:rFonts w:cs="Arial"/>
          <w:sz w:val="22"/>
          <w:szCs w:val="22"/>
        </w:rPr>
        <w:t>is dealt with appropriately.</w:t>
      </w:r>
      <w:r w:rsidR="00C06028" w:rsidRPr="00EE5A6D">
        <w:rPr>
          <w:rFonts w:cs="Arial"/>
          <w:sz w:val="22"/>
          <w:szCs w:val="22"/>
        </w:rPr>
        <w:t xml:space="preserve"> </w:t>
      </w:r>
    </w:p>
    <w:p w14:paraId="5EA7324B" w14:textId="77777777" w:rsidR="00736907" w:rsidRPr="00EE5A6D" w:rsidRDefault="00736907" w:rsidP="002206F9">
      <w:pPr>
        <w:rPr>
          <w:rFonts w:cs="Arial"/>
          <w:b/>
          <w:sz w:val="22"/>
          <w:szCs w:val="22"/>
        </w:rPr>
      </w:pPr>
    </w:p>
    <w:p w14:paraId="5EA7324C" w14:textId="77777777" w:rsidR="00EB1EC9" w:rsidRPr="00431251" w:rsidRDefault="00EB1EC9" w:rsidP="00431251">
      <w:pPr>
        <w:pStyle w:val="Heading3"/>
        <w:jc w:val="left"/>
        <w:rPr>
          <w:color w:val="auto"/>
          <w:sz w:val="22"/>
          <w:szCs w:val="22"/>
        </w:rPr>
      </w:pPr>
      <w:bookmarkStart w:id="71" w:name="_Toc430613011"/>
      <w:bookmarkStart w:id="72" w:name="_Toc430613317"/>
      <w:bookmarkStart w:id="73" w:name="_Toc430613688"/>
      <w:r w:rsidRPr="00431251">
        <w:rPr>
          <w:color w:val="auto"/>
          <w:sz w:val="22"/>
          <w:szCs w:val="22"/>
        </w:rPr>
        <w:t xml:space="preserve">4.4 Safeguarding </w:t>
      </w:r>
      <w:r w:rsidR="00195C7D" w:rsidRPr="00431251">
        <w:rPr>
          <w:color w:val="auto"/>
          <w:sz w:val="22"/>
          <w:szCs w:val="22"/>
        </w:rPr>
        <w:t>i</w:t>
      </w:r>
      <w:r w:rsidRPr="00431251">
        <w:rPr>
          <w:color w:val="auto"/>
          <w:sz w:val="22"/>
          <w:szCs w:val="22"/>
        </w:rPr>
        <w:t xml:space="preserve">ntegrity and </w:t>
      </w:r>
      <w:r w:rsidR="00195C7D" w:rsidRPr="00431251">
        <w:rPr>
          <w:color w:val="auto"/>
          <w:sz w:val="22"/>
          <w:szCs w:val="22"/>
        </w:rPr>
        <w:t>f</w:t>
      </w:r>
      <w:r w:rsidRPr="00431251">
        <w:rPr>
          <w:color w:val="auto"/>
          <w:sz w:val="22"/>
          <w:szCs w:val="22"/>
        </w:rPr>
        <w:t xml:space="preserve">inancial </w:t>
      </w:r>
      <w:r w:rsidR="00195C7D" w:rsidRPr="00431251">
        <w:rPr>
          <w:color w:val="auto"/>
          <w:sz w:val="22"/>
          <w:szCs w:val="22"/>
        </w:rPr>
        <w:t>r</w:t>
      </w:r>
      <w:r w:rsidRPr="00431251">
        <w:rPr>
          <w:color w:val="auto"/>
          <w:sz w:val="22"/>
          <w:szCs w:val="22"/>
        </w:rPr>
        <w:t>eporting</w:t>
      </w:r>
      <w:bookmarkEnd w:id="71"/>
      <w:bookmarkEnd w:id="72"/>
      <w:bookmarkEnd w:id="73"/>
    </w:p>
    <w:p w14:paraId="5EA7324D" w14:textId="77777777" w:rsidR="00DB2DB2" w:rsidRDefault="00DB2DB2" w:rsidP="002206F9">
      <w:pPr>
        <w:rPr>
          <w:rFonts w:cs="Arial"/>
          <w:b/>
          <w:sz w:val="22"/>
          <w:szCs w:val="22"/>
        </w:rPr>
      </w:pPr>
    </w:p>
    <w:p w14:paraId="5EA7324E" w14:textId="77777777" w:rsidR="00DB2DB2" w:rsidRPr="00887462" w:rsidRDefault="00DB2DB2" w:rsidP="002206F9">
      <w:pPr>
        <w:rPr>
          <w:rFonts w:cs="Arial"/>
          <w:sz w:val="22"/>
          <w:szCs w:val="22"/>
        </w:rPr>
      </w:pPr>
      <w:r>
        <w:rPr>
          <w:rFonts w:cs="Arial"/>
          <w:sz w:val="22"/>
          <w:szCs w:val="22"/>
        </w:rPr>
        <w:t>In addition to the C</w:t>
      </w:r>
      <w:r w:rsidRPr="00F61975">
        <w:rPr>
          <w:rFonts w:cs="Arial"/>
          <w:sz w:val="22"/>
          <w:szCs w:val="22"/>
        </w:rPr>
        <w:t>ode of Professional Conduct as a support to ethical and responsible decision making</w:t>
      </w:r>
      <w:r>
        <w:rPr>
          <w:rFonts w:cs="Arial"/>
          <w:sz w:val="22"/>
          <w:szCs w:val="22"/>
        </w:rPr>
        <w:t>, t</w:t>
      </w:r>
      <w:r w:rsidRPr="00887462">
        <w:rPr>
          <w:rFonts w:cs="Arial"/>
          <w:sz w:val="22"/>
          <w:szCs w:val="22"/>
        </w:rPr>
        <w:t>he Board undertakes the responsibility for safeguarding integrity and financial reporting through the structured program of Board governance and compliance program and the committees of the Board.</w:t>
      </w:r>
    </w:p>
    <w:p w14:paraId="5EA7324F" w14:textId="77777777" w:rsidR="00DB2DB2" w:rsidRDefault="00DB2DB2" w:rsidP="002206F9">
      <w:pPr>
        <w:rPr>
          <w:rFonts w:cs="Arial"/>
          <w:b/>
          <w:sz w:val="22"/>
          <w:szCs w:val="22"/>
        </w:rPr>
      </w:pPr>
    </w:p>
    <w:p w14:paraId="5EA73250" w14:textId="77777777" w:rsidR="00EB1EC9" w:rsidRPr="00431251" w:rsidRDefault="00EB1EC9" w:rsidP="00431251">
      <w:pPr>
        <w:pStyle w:val="Heading3"/>
        <w:jc w:val="left"/>
        <w:rPr>
          <w:color w:val="auto"/>
          <w:sz w:val="22"/>
          <w:szCs w:val="22"/>
        </w:rPr>
      </w:pPr>
      <w:bookmarkStart w:id="74" w:name="_Toc430613012"/>
      <w:bookmarkStart w:id="75" w:name="_Toc430613318"/>
      <w:bookmarkStart w:id="76" w:name="_Toc430613689"/>
      <w:r w:rsidRPr="00431251">
        <w:rPr>
          <w:color w:val="auto"/>
          <w:sz w:val="22"/>
          <w:szCs w:val="22"/>
        </w:rPr>
        <w:t xml:space="preserve">4.5 Timely and balanced </w:t>
      </w:r>
      <w:r w:rsidR="00195C7D" w:rsidRPr="00431251">
        <w:rPr>
          <w:color w:val="auto"/>
          <w:sz w:val="22"/>
          <w:szCs w:val="22"/>
        </w:rPr>
        <w:t>d</w:t>
      </w:r>
      <w:r w:rsidRPr="00431251">
        <w:rPr>
          <w:color w:val="auto"/>
          <w:sz w:val="22"/>
          <w:szCs w:val="22"/>
        </w:rPr>
        <w:t>isclosure</w:t>
      </w:r>
      <w:bookmarkEnd w:id="74"/>
      <w:bookmarkEnd w:id="75"/>
      <w:bookmarkEnd w:id="76"/>
    </w:p>
    <w:p w14:paraId="5EA73251" w14:textId="77777777" w:rsidR="00EB1EC9" w:rsidRPr="00EE5A6D" w:rsidRDefault="00EB1EC9" w:rsidP="002206F9">
      <w:pPr>
        <w:rPr>
          <w:rFonts w:cs="Arial"/>
          <w:b/>
          <w:sz w:val="22"/>
          <w:szCs w:val="22"/>
        </w:rPr>
      </w:pPr>
    </w:p>
    <w:p w14:paraId="5EA73252" w14:textId="77777777" w:rsidR="00EB1EC9" w:rsidRPr="00EE5A6D" w:rsidRDefault="00EB1EC9" w:rsidP="002206F9">
      <w:pPr>
        <w:rPr>
          <w:rFonts w:cs="Arial"/>
          <w:sz w:val="22"/>
          <w:szCs w:val="22"/>
        </w:rPr>
      </w:pPr>
      <w:r w:rsidRPr="00EE5A6D">
        <w:rPr>
          <w:rFonts w:cs="Arial"/>
          <w:sz w:val="22"/>
          <w:szCs w:val="22"/>
        </w:rPr>
        <w:t>Vision Australia</w:t>
      </w:r>
      <w:r w:rsidR="00A124A1" w:rsidRPr="00EE5A6D">
        <w:rPr>
          <w:rFonts w:cs="Arial"/>
          <w:sz w:val="22"/>
          <w:szCs w:val="22"/>
        </w:rPr>
        <w:t xml:space="preserve"> Limited</w:t>
      </w:r>
      <w:r w:rsidRPr="00EE5A6D">
        <w:rPr>
          <w:rFonts w:cs="Arial"/>
          <w:sz w:val="22"/>
          <w:szCs w:val="22"/>
        </w:rPr>
        <w:t xml:space="preserve"> has </w:t>
      </w:r>
      <w:r w:rsidR="00F772E6" w:rsidRPr="00EE5A6D">
        <w:rPr>
          <w:rFonts w:cs="Arial"/>
          <w:sz w:val="22"/>
          <w:szCs w:val="22"/>
        </w:rPr>
        <w:t>media</w:t>
      </w:r>
      <w:r w:rsidRPr="00EE5A6D">
        <w:rPr>
          <w:rFonts w:cs="Arial"/>
          <w:sz w:val="22"/>
          <w:szCs w:val="22"/>
        </w:rPr>
        <w:t xml:space="preserve"> policies, vetting and authorisation processes designed to ensure that announcements and communications:</w:t>
      </w:r>
    </w:p>
    <w:p w14:paraId="5EA73253" w14:textId="77777777" w:rsidR="00EB1EC9" w:rsidRPr="00EE5A6D" w:rsidRDefault="00EB1EC9" w:rsidP="002206F9">
      <w:pPr>
        <w:rPr>
          <w:rFonts w:cs="Arial"/>
          <w:sz w:val="22"/>
          <w:szCs w:val="22"/>
        </w:rPr>
      </w:pPr>
    </w:p>
    <w:p w14:paraId="5EA73254" w14:textId="77777777" w:rsidR="00EB1EC9" w:rsidRPr="00EE5A6D" w:rsidRDefault="00EB1EC9" w:rsidP="0031284D">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are made in a timely manner and are factual</w:t>
      </w:r>
      <w:r w:rsidR="00F772E6" w:rsidRPr="00EE5A6D">
        <w:rPr>
          <w:rFonts w:cs="Arial"/>
          <w:sz w:val="22"/>
          <w:szCs w:val="22"/>
        </w:rPr>
        <w:t>;</w:t>
      </w:r>
    </w:p>
    <w:p w14:paraId="5EA73255" w14:textId="77777777" w:rsidR="00EB1EC9" w:rsidRPr="00EE5A6D" w:rsidRDefault="00EB1EC9" w:rsidP="0031284D">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do not omit material information whether positive or negative; and</w:t>
      </w:r>
    </w:p>
    <w:p w14:paraId="5EA73256" w14:textId="77777777" w:rsidR="00EB1EC9" w:rsidRPr="00EE5A6D" w:rsidRDefault="00EB1EC9" w:rsidP="0031284D">
      <w:pPr>
        <w:numPr>
          <w:ilvl w:val="0"/>
          <w:numId w:val="11"/>
        </w:numPr>
        <w:tabs>
          <w:tab w:val="clear" w:pos="720"/>
          <w:tab w:val="num" w:pos="426"/>
        </w:tabs>
        <w:autoSpaceDE w:val="0"/>
        <w:autoSpaceDN w:val="0"/>
        <w:adjustRightInd w:val="0"/>
        <w:ind w:left="426" w:hanging="426"/>
        <w:rPr>
          <w:rFonts w:cs="Arial"/>
          <w:sz w:val="22"/>
          <w:szCs w:val="22"/>
        </w:rPr>
      </w:pPr>
      <w:proofErr w:type="gramStart"/>
      <w:r w:rsidRPr="00EE5A6D">
        <w:rPr>
          <w:rFonts w:cs="Arial"/>
          <w:sz w:val="22"/>
          <w:szCs w:val="22"/>
        </w:rPr>
        <w:t>are</w:t>
      </w:r>
      <w:proofErr w:type="gramEnd"/>
      <w:r w:rsidRPr="00EE5A6D">
        <w:rPr>
          <w:rFonts w:cs="Arial"/>
          <w:sz w:val="22"/>
          <w:szCs w:val="22"/>
        </w:rPr>
        <w:t xml:space="preserve"> expressed in a clear and objective manner</w:t>
      </w:r>
      <w:r w:rsidR="004C575F" w:rsidRPr="00EE5A6D">
        <w:rPr>
          <w:rFonts w:cs="Arial"/>
          <w:sz w:val="22"/>
          <w:szCs w:val="22"/>
        </w:rPr>
        <w:t>.</w:t>
      </w:r>
    </w:p>
    <w:p w14:paraId="2A43B99A" w14:textId="77777777" w:rsidR="00890219" w:rsidRDefault="00890219">
      <w:pPr>
        <w:rPr>
          <w:rFonts w:cs="Arial"/>
          <w:b/>
          <w:sz w:val="22"/>
          <w:szCs w:val="22"/>
        </w:rPr>
      </w:pPr>
      <w:r>
        <w:rPr>
          <w:rFonts w:cs="Arial"/>
          <w:b/>
          <w:sz w:val="22"/>
          <w:szCs w:val="22"/>
        </w:rPr>
        <w:br w:type="page"/>
      </w:r>
    </w:p>
    <w:p w14:paraId="5EA73257" w14:textId="782122DF" w:rsidR="00EB1EC9" w:rsidRPr="00431251" w:rsidRDefault="00EB1EC9" w:rsidP="00431251">
      <w:pPr>
        <w:pStyle w:val="Heading3"/>
        <w:jc w:val="left"/>
        <w:rPr>
          <w:color w:val="auto"/>
          <w:sz w:val="22"/>
          <w:szCs w:val="22"/>
        </w:rPr>
      </w:pPr>
      <w:bookmarkStart w:id="77" w:name="_Toc430613013"/>
      <w:bookmarkStart w:id="78" w:name="_Toc430613319"/>
      <w:bookmarkStart w:id="79" w:name="_Toc430613690"/>
      <w:r w:rsidRPr="00431251">
        <w:rPr>
          <w:color w:val="auto"/>
          <w:sz w:val="22"/>
          <w:szCs w:val="22"/>
        </w:rPr>
        <w:lastRenderedPageBreak/>
        <w:t xml:space="preserve">4.6 Respecting </w:t>
      </w:r>
      <w:r w:rsidR="005B3034" w:rsidRPr="00431251">
        <w:rPr>
          <w:color w:val="auto"/>
          <w:sz w:val="22"/>
          <w:szCs w:val="22"/>
        </w:rPr>
        <w:t>r</w:t>
      </w:r>
      <w:r w:rsidRPr="00431251">
        <w:rPr>
          <w:color w:val="auto"/>
          <w:sz w:val="22"/>
          <w:szCs w:val="22"/>
        </w:rPr>
        <w:t>ights of members</w:t>
      </w:r>
      <w:bookmarkEnd w:id="77"/>
      <w:bookmarkEnd w:id="78"/>
      <w:bookmarkEnd w:id="79"/>
    </w:p>
    <w:p w14:paraId="5EA73258" w14:textId="77777777" w:rsidR="00EB1EC9" w:rsidRPr="00EE5A6D" w:rsidRDefault="00EB1EC9" w:rsidP="002206F9">
      <w:pPr>
        <w:rPr>
          <w:rFonts w:cs="Arial"/>
          <w:b/>
          <w:sz w:val="22"/>
          <w:szCs w:val="22"/>
        </w:rPr>
      </w:pPr>
    </w:p>
    <w:p w14:paraId="058FEFC7" w14:textId="77777777" w:rsidR="00890219" w:rsidRPr="00890219" w:rsidRDefault="00890219" w:rsidP="00890219">
      <w:pPr>
        <w:autoSpaceDE w:val="0"/>
        <w:autoSpaceDN w:val="0"/>
        <w:adjustRightInd w:val="0"/>
        <w:rPr>
          <w:rFonts w:eastAsia="Times New Roman" w:cs="Arial"/>
          <w:sz w:val="22"/>
          <w:szCs w:val="22"/>
        </w:rPr>
      </w:pPr>
      <w:r w:rsidRPr="00890219">
        <w:rPr>
          <w:rFonts w:eastAsia="Times New Roman" w:cs="Arial"/>
          <w:sz w:val="22"/>
          <w:szCs w:val="22"/>
        </w:rPr>
        <w:t>Vision Australia Limited does not have shareholders but has members and stakeholders.  Vision Australia Limited provides open, regular and timely information to members using electronic and other means.  This includes providing the Annual Report to members prior to the Annual General Meeting.</w:t>
      </w:r>
    </w:p>
    <w:p w14:paraId="7DEE6847" w14:textId="77777777" w:rsidR="00890219" w:rsidRPr="00890219" w:rsidRDefault="00890219" w:rsidP="00890219">
      <w:pPr>
        <w:autoSpaceDE w:val="0"/>
        <w:autoSpaceDN w:val="0"/>
        <w:adjustRightInd w:val="0"/>
        <w:rPr>
          <w:rFonts w:eastAsia="Times New Roman" w:cs="Arial"/>
          <w:sz w:val="22"/>
          <w:szCs w:val="22"/>
        </w:rPr>
      </w:pPr>
    </w:p>
    <w:p w14:paraId="3E235478" w14:textId="77777777" w:rsidR="00890219" w:rsidRPr="00890219" w:rsidRDefault="00890219" w:rsidP="00890219">
      <w:pPr>
        <w:rPr>
          <w:rFonts w:eastAsia="Times New Roman" w:cs="Arial"/>
          <w:sz w:val="22"/>
          <w:szCs w:val="22"/>
        </w:rPr>
      </w:pPr>
      <w:r w:rsidRPr="00890219">
        <w:rPr>
          <w:rFonts w:eastAsia="Times New Roman" w:cs="Arial"/>
          <w:sz w:val="22"/>
          <w:szCs w:val="22"/>
        </w:rPr>
        <w:t>The Board actively seeks feedback and information from a range of sources including client surveys, information sessions and focus groups. In addition to this, clients of Vision Australia Limited were formally consulted through a highly structured client consultative framework consisting of local client groups feeding into regional client committees who in turn feed into the Client Representative Council (CRC).</w:t>
      </w:r>
    </w:p>
    <w:p w14:paraId="6C6C4FFD" w14:textId="77777777" w:rsidR="00890219" w:rsidRPr="00890219" w:rsidRDefault="00890219" w:rsidP="00890219">
      <w:pPr>
        <w:rPr>
          <w:rFonts w:eastAsia="Times New Roman" w:cs="Arial"/>
          <w:sz w:val="22"/>
          <w:szCs w:val="22"/>
        </w:rPr>
      </w:pPr>
    </w:p>
    <w:p w14:paraId="1245994B" w14:textId="77777777" w:rsidR="00890219" w:rsidRPr="00890219" w:rsidRDefault="00890219" w:rsidP="00890219">
      <w:pPr>
        <w:rPr>
          <w:rFonts w:eastAsia="Times New Roman" w:cs="Arial"/>
          <w:sz w:val="22"/>
          <w:szCs w:val="22"/>
        </w:rPr>
      </w:pPr>
      <w:r w:rsidRPr="00890219">
        <w:rPr>
          <w:rFonts w:eastAsia="Times New Roman" w:cs="Arial"/>
          <w:sz w:val="22"/>
          <w:szCs w:val="22"/>
        </w:rPr>
        <w:t>In June the board approved a new model of engagement with clients that includes a revised Charter which establishes a Client Reference Group. The members of this group will be recruited in the next financial year and will come from diverse backgrounds, live across the country and have skills or experience in matters related to blindness and low vision. The information they share with us will guide meaningful and relevant services and supports over the long term.</w:t>
      </w:r>
    </w:p>
    <w:p w14:paraId="131699CE" w14:textId="77777777" w:rsidR="00890219" w:rsidRPr="00890219" w:rsidRDefault="00890219" w:rsidP="00890219">
      <w:pPr>
        <w:rPr>
          <w:rFonts w:eastAsia="Times New Roman" w:cs="Arial"/>
          <w:sz w:val="22"/>
          <w:szCs w:val="22"/>
        </w:rPr>
      </w:pPr>
    </w:p>
    <w:p w14:paraId="65173938" w14:textId="3B55B2F5" w:rsidR="00890219" w:rsidRPr="00890219" w:rsidRDefault="00890219" w:rsidP="00890219">
      <w:pPr>
        <w:rPr>
          <w:rFonts w:eastAsia="Times New Roman" w:cs="Arial"/>
          <w:sz w:val="22"/>
          <w:szCs w:val="22"/>
        </w:rPr>
      </w:pPr>
      <w:r w:rsidRPr="00890219">
        <w:rPr>
          <w:rFonts w:eastAsia="Times New Roman" w:cs="Arial"/>
          <w:sz w:val="22"/>
          <w:szCs w:val="22"/>
        </w:rPr>
        <w:t xml:space="preserve">The Client Reference Group will be </w:t>
      </w:r>
      <w:r w:rsidR="00941E72">
        <w:rPr>
          <w:rFonts w:eastAsia="Times New Roman" w:cs="Arial"/>
          <w:sz w:val="22"/>
          <w:szCs w:val="22"/>
        </w:rPr>
        <w:t>complemented</w:t>
      </w:r>
      <w:r w:rsidRPr="00890219">
        <w:rPr>
          <w:rFonts w:eastAsia="Times New Roman" w:cs="Arial"/>
          <w:sz w:val="22"/>
          <w:szCs w:val="22"/>
        </w:rPr>
        <w:t xml:space="preserve"> by a Program of Engagement that will connect with a more diverse range of clients using a broader range of communications that suit their needs.</w:t>
      </w:r>
    </w:p>
    <w:p w14:paraId="46FAFAD3" w14:textId="77777777" w:rsidR="00890219" w:rsidRPr="00890219" w:rsidRDefault="00890219" w:rsidP="00890219">
      <w:pPr>
        <w:autoSpaceDE w:val="0"/>
        <w:autoSpaceDN w:val="0"/>
        <w:adjustRightInd w:val="0"/>
        <w:rPr>
          <w:rFonts w:eastAsia="Times New Roman" w:cs="Arial"/>
          <w:sz w:val="22"/>
          <w:szCs w:val="22"/>
        </w:rPr>
      </w:pPr>
    </w:p>
    <w:p w14:paraId="2575568F" w14:textId="77777777" w:rsidR="00890219" w:rsidRPr="00890219" w:rsidRDefault="00890219" w:rsidP="00890219">
      <w:pPr>
        <w:autoSpaceDE w:val="0"/>
        <w:autoSpaceDN w:val="0"/>
        <w:adjustRightInd w:val="0"/>
        <w:rPr>
          <w:rFonts w:eastAsia="Times New Roman"/>
          <w:sz w:val="22"/>
          <w:szCs w:val="22"/>
        </w:rPr>
      </w:pPr>
      <w:r w:rsidRPr="00890219">
        <w:rPr>
          <w:rFonts w:eastAsia="Times New Roman" w:cs="Arial"/>
          <w:sz w:val="22"/>
          <w:szCs w:val="22"/>
        </w:rPr>
        <w:t xml:space="preserve">Vision Australia Limited has many stakeholders, including members, clients and their families, donors, benefactors, staff, volunteers, the broader community, suppliers and government agencies who provide us with funding and regulate our operations.  We adopt a consultative approach with our stakeholders. </w:t>
      </w:r>
    </w:p>
    <w:p w14:paraId="218660A0" w14:textId="77777777" w:rsidR="00890219" w:rsidRPr="00890219" w:rsidRDefault="00890219" w:rsidP="00890219">
      <w:pPr>
        <w:rPr>
          <w:rFonts w:eastAsia="Times New Roman" w:cs="Arial"/>
          <w:b/>
          <w:sz w:val="22"/>
          <w:szCs w:val="22"/>
          <w:highlight w:val="yellow"/>
        </w:rPr>
      </w:pPr>
    </w:p>
    <w:p w14:paraId="5EA73263" w14:textId="77777777" w:rsidR="00EB1EC9" w:rsidRPr="00431251" w:rsidRDefault="00EB1EC9" w:rsidP="00431251">
      <w:pPr>
        <w:pStyle w:val="Heading3"/>
        <w:jc w:val="left"/>
        <w:rPr>
          <w:color w:val="auto"/>
          <w:sz w:val="22"/>
          <w:szCs w:val="22"/>
        </w:rPr>
      </w:pPr>
      <w:bookmarkStart w:id="80" w:name="_Toc430613014"/>
      <w:bookmarkStart w:id="81" w:name="_Toc430613320"/>
      <w:bookmarkStart w:id="82" w:name="_Toc430613691"/>
      <w:r w:rsidRPr="00431251">
        <w:rPr>
          <w:color w:val="auto"/>
          <w:sz w:val="22"/>
          <w:szCs w:val="22"/>
        </w:rPr>
        <w:t xml:space="preserve">4.7 Recognising and managing </w:t>
      </w:r>
      <w:r w:rsidR="005B3034" w:rsidRPr="00431251">
        <w:rPr>
          <w:color w:val="auto"/>
          <w:sz w:val="22"/>
          <w:szCs w:val="22"/>
        </w:rPr>
        <w:t>r</w:t>
      </w:r>
      <w:r w:rsidRPr="00431251">
        <w:rPr>
          <w:color w:val="auto"/>
          <w:sz w:val="22"/>
          <w:szCs w:val="22"/>
        </w:rPr>
        <w:t>isk</w:t>
      </w:r>
      <w:bookmarkEnd w:id="80"/>
      <w:bookmarkEnd w:id="81"/>
      <w:bookmarkEnd w:id="82"/>
    </w:p>
    <w:p w14:paraId="5EA73264" w14:textId="77777777" w:rsidR="00EB1EC9" w:rsidRPr="00EE5A6D" w:rsidRDefault="00EB1EC9" w:rsidP="002206F9">
      <w:pPr>
        <w:rPr>
          <w:rFonts w:cs="Arial"/>
          <w:b/>
          <w:sz w:val="20"/>
          <w:szCs w:val="22"/>
        </w:rPr>
      </w:pPr>
    </w:p>
    <w:p w14:paraId="5EA73265" w14:textId="77777777" w:rsidR="007D3DB9" w:rsidRPr="00EE5A6D" w:rsidRDefault="00EB1EC9" w:rsidP="002206F9">
      <w:pPr>
        <w:rPr>
          <w:rFonts w:cs="Arial"/>
          <w:sz w:val="22"/>
          <w:szCs w:val="22"/>
        </w:rPr>
      </w:pPr>
      <w:r w:rsidRPr="00EE5A6D">
        <w:rPr>
          <w:rFonts w:cs="Arial"/>
          <w:sz w:val="22"/>
          <w:szCs w:val="22"/>
        </w:rPr>
        <w:t>The Board is responsible for ensuring the adequacy of Vision Australia</w:t>
      </w:r>
      <w:r w:rsidR="00A124A1" w:rsidRPr="00EE5A6D">
        <w:rPr>
          <w:rFonts w:cs="Arial"/>
          <w:sz w:val="22"/>
          <w:szCs w:val="22"/>
        </w:rPr>
        <w:t xml:space="preserve"> Limited</w:t>
      </w:r>
      <w:r w:rsidRPr="00EE5A6D">
        <w:rPr>
          <w:rFonts w:cs="Arial"/>
          <w:sz w:val="22"/>
          <w:szCs w:val="22"/>
        </w:rPr>
        <w:t>’s risk management and is assisted by the Audit, Finance and Business Risk Committee.  This includes ensuring the establishment, implementation and annual review of Vision Australia</w:t>
      </w:r>
      <w:r w:rsidR="00A124A1" w:rsidRPr="00EE5A6D">
        <w:rPr>
          <w:rFonts w:cs="Arial"/>
          <w:sz w:val="22"/>
          <w:szCs w:val="22"/>
        </w:rPr>
        <w:t xml:space="preserve"> Limited</w:t>
      </w:r>
      <w:r w:rsidRPr="00EE5A6D">
        <w:rPr>
          <w:rFonts w:cs="Arial"/>
          <w:sz w:val="22"/>
          <w:szCs w:val="22"/>
        </w:rPr>
        <w:t>’s risk management system designed to protect the reputation and manage key business and finance risks which could prevent Vision Australia</w:t>
      </w:r>
      <w:r w:rsidR="00A124A1" w:rsidRPr="00EE5A6D">
        <w:rPr>
          <w:rFonts w:cs="Arial"/>
          <w:sz w:val="22"/>
          <w:szCs w:val="22"/>
        </w:rPr>
        <w:t xml:space="preserve"> Limited</w:t>
      </w:r>
      <w:r w:rsidRPr="00EE5A6D">
        <w:rPr>
          <w:rFonts w:cs="Arial"/>
          <w:sz w:val="22"/>
          <w:szCs w:val="22"/>
        </w:rPr>
        <w:t xml:space="preserve"> from achieving its objectives.</w:t>
      </w:r>
    </w:p>
    <w:p w14:paraId="5EA73266" w14:textId="77777777" w:rsidR="00EB1EC9" w:rsidRPr="00EE5A6D" w:rsidRDefault="00EB1EC9" w:rsidP="002206F9">
      <w:pPr>
        <w:rPr>
          <w:rFonts w:cs="Arial"/>
          <w:sz w:val="20"/>
          <w:szCs w:val="22"/>
        </w:rPr>
      </w:pPr>
    </w:p>
    <w:p w14:paraId="5EA73267" w14:textId="77777777" w:rsidR="00EB1EC9" w:rsidRPr="00EE5A6D" w:rsidRDefault="004C575F" w:rsidP="002206F9">
      <w:pPr>
        <w:rPr>
          <w:rFonts w:cs="Arial"/>
          <w:sz w:val="22"/>
          <w:szCs w:val="22"/>
        </w:rPr>
      </w:pPr>
      <w:r w:rsidRPr="00EE5A6D">
        <w:rPr>
          <w:rFonts w:cs="Arial"/>
          <w:sz w:val="22"/>
          <w:szCs w:val="22"/>
        </w:rPr>
        <w:t>The Audit, F</w:t>
      </w:r>
      <w:r w:rsidR="00EB1EC9" w:rsidRPr="00EE5A6D">
        <w:rPr>
          <w:rFonts w:cs="Arial"/>
          <w:sz w:val="22"/>
          <w:szCs w:val="22"/>
        </w:rPr>
        <w:t>inance and Business Risk Committee reviews the Strategic Risk Register</w:t>
      </w:r>
      <w:r w:rsidR="004A685D">
        <w:rPr>
          <w:rFonts w:cs="Arial"/>
          <w:sz w:val="22"/>
          <w:szCs w:val="22"/>
        </w:rPr>
        <w:t xml:space="preserve">, </w:t>
      </w:r>
      <w:r w:rsidR="005B3034" w:rsidRPr="00EE5A6D">
        <w:rPr>
          <w:rFonts w:cs="Arial"/>
          <w:sz w:val="22"/>
          <w:szCs w:val="22"/>
        </w:rPr>
        <w:t>the Business Continuity</w:t>
      </w:r>
      <w:r w:rsidR="004A685D">
        <w:rPr>
          <w:rFonts w:cs="Arial"/>
          <w:sz w:val="22"/>
          <w:szCs w:val="22"/>
        </w:rPr>
        <w:t xml:space="preserve"> Plan and </w:t>
      </w:r>
      <w:r w:rsidR="00D647EE">
        <w:rPr>
          <w:rFonts w:cs="Arial"/>
          <w:sz w:val="22"/>
          <w:szCs w:val="22"/>
        </w:rPr>
        <w:t xml:space="preserve">the </w:t>
      </w:r>
      <w:r w:rsidR="005B3034" w:rsidRPr="00EE5A6D">
        <w:rPr>
          <w:rFonts w:cs="Arial"/>
          <w:sz w:val="22"/>
          <w:szCs w:val="22"/>
        </w:rPr>
        <w:t>Di</w:t>
      </w:r>
      <w:r w:rsidR="00E4747F" w:rsidRPr="00EE5A6D">
        <w:rPr>
          <w:rFonts w:cs="Arial"/>
          <w:sz w:val="22"/>
          <w:szCs w:val="22"/>
        </w:rPr>
        <w:t>s</w:t>
      </w:r>
      <w:r w:rsidR="005B3034" w:rsidRPr="00EE5A6D">
        <w:rPr>
          <w:rFonts w:cs="Arial"/>
          <w:sz w:val="22"/>
          <w:szCs w:val="22"/>
        </w:rPr>
        <w:t>aster Recovery Plan</w:t>
      </w:r>
      <w:r w:rsidR="004A685D">
        <w:rPr>
          <w:rFonts w:cs="Arial"/>
          <w:sz w:val="22"/>
          <w:szCs w:val="22"/>
        </w:rPr>
        <w:t xml:space="preserve"> on a regular basis</w:t>
      </w:r>
      <w:r w:rsidR="005B3034" w:rsidRPr="00EE5A6D">
        <w:rPr>
          <w:rFonts w:cs="Arial"/>
          <w:sz w:val="22"/>
          <w:szCs w:val="22"/>
        </w:rPr>
        <w:t xml:space="preserve"> and </w:t>
      </w:r>
      <w:r w:rsidR="00EB1EC9" w:rsidRPr="00EE5A6D">
        <w:rPr>
          <w:rFonts w:cs="Arial"/>
          <w:sz w:val="22"/>
          <w:szCs w:val="22"/>
        </w:rPr>
        <w:t>satisfies itself that management has appropriate</w:t>
      </w:r>
      <w:r w:rsidR="00E4747F" w:rsidRPr="00EE5A6D">
        <w:rPr>
          <w:rFonts w:cs="Arial"/>
          <w:sz w:val="22"/>
          <w:szCs w:val="22"/>
        </w:rPr>
        <w:t xml:space="preserve"> </w:t>
      </w:r>
      <w:r w:rsidR="00EB1EC9" w:rsidRPr="00EE5A6D">
        <w:rPr>
          <w:rFonts w:cs="Arial"/>
          <w:sz w:val="22"/>
          <w:szCs w:val="22"/>
        </w:rPr>
        <w:t xml:space="preserve">systems </w:t>
      </w:r>
      <w:r w:rsidR="00E4747F" w:rsidRPr="00EE5A6D">
        <w:rPr>
          <w:rFonts w:cs="Arial"/>
          <w:sz w:val="22"/>
          <w:szCs w:val="22"/>
        </w:rPr>
        <w:t xml:space="preserve">in place </w:t>
      </w:r>
      <w:r w:rsidR="00EB1EC9" w:rsidRPr="00EE5A6D">
        <w:rPr>
          <w:rFonts w:cs="Arial"/>
          <w:sz w:val="22"/>
          <w:szCs w:val="22"/>
        </w:rPr>
        <w:t>for managing risk and maintaining internal controls.</w:t>
      </w:r>
    </w:p>
    <w:p w14:paraId="5EA73268" w14:textId="77777777" w:rsidR="00EB1EC9" w:rsidRPr="00EE5A6D" w:rsidRDefault="00EB1EC9" w:rsidP="002206F9">
      <w:pPr>
        <w:rPr>
          <w:rFonts w:cs="Arial"/>
          <w:sz w:val="20"/>
          <w:szCs w:val="22"/>
        </w:rPr>
      </w:pPr>
    </w:p>
    <w:p w14:paraId="5EA73269" w14:textId="77777777" w:rsidR="00EB1EC9" w:rsidRPr="00EE5A6D" w:rsidRDefault="00EB1EC9" w:rsidP="002206F9">
      <w:pPr>
        <w:rPr>
          <w:rFonts w:cs="Arial"/>
          <w:sz w:val="22"/>
          <w:szCs w:val="22"/>
        </w:rPr>
      </w:pPr>
      <w:r w:rsidRPr="00EE5A6D">
        <w:rPr>
          <w:rFonts w:cs="Arial"/>
          <w:sz w:val="22"/>
          <w:szCs w:val="22"/>
        </w:rPr>
        <w:t>The CEO and senior management team are responsible for identifying, evaluating and monitoring risk in accordance with the risk management framework. Senior management are responsible for the accuracy and validity of risk information reported to the Board and also for ensuring clear communication of the Board and senior management’s position on risk throughout the Company.</w:t>
      </w:r>
    </w:p>
    <w:p w14:paraId="5EA7326A" w14:textId="77777777" w:rsidR="00EB1EC9" w:rsidRPr="00EE5A6D" w:rsidRDefault="00EB1EC9" w:rsidP="002206F9">
      <w:pPr>
        <w:rPr>
          <w:rFonts w:cs="Arial"/>
          <w:sz w:val="20"/>
          <w:szCs w:val="22"/>
        </w:rPr>
      </w:pPr>
    </w:p>
    <w:p w14:paraId="5EA7326B" w14:textId="77777777" w:rsidR="00EB1EC9" w:rsidRPr="00EE5A6D" w:rsidRDefault="00EB1EC9" w:rsidP="002206F9">
      <w:pPr>
        <w:rPr>
          <w:rFonts w:cs="Arial"/>
          <w:sz w:val="22"/>
          <w:szCs w:val="22"/>
        </w:rPr>
      </w:pPr>
      <w:r w:rsidRPr="00EE5A6D">
        <w:rPr>
          <w:rFonts w:cs="Arial"/>
          <w:sz w:val="22"/>
          <w:szCs w:val="22"/>
        </w:rPr>
        <w:t>In particular, at the Board and senior management strategy planning sessions held throughout the year, the CEO and management team reviews and reports key business and financial risks.</w:t>
      </w:r>
    </w:p>
    <w:p w14:paraId="5EA7326C" w14:textId="77777777" w:rsidR="005022A4" w:rsidRDefault="005022A4" w:rsidP="002206F9">
      <w:pPr>
        <w:rPr>
          <w:rFonts w:cs="Arial"/>
          <w:b/>
          <w:sz w:val="22"/>
          <w:szCs w:val="22"/>
        </w:rPr>
      </w:pPr>
    </w:p>
    <w:p w14:paraId="5EA7326D" w14:textId="77777777" w:rsidR="00EB1EC9" w:rsidRPr="00431251" w:rsidRDefault="00851964" w:rsidP="00431251">
      <w:pPr>
        <w:pStyle w:val="Heading3"/>
        <w:jc w:val="left"/>
        <w:rPr>
          <w:color w:val="auto"/>
          <w:sz w:val="22"/>
          <w:szCs w:val="22"/>
        </w:rPr>
      </w:pPr>
      <w:r>
        <w:br w:type="page"/>
      </w:r>
      <w:bookmarkStart w:id="83" w:name="_Toc430613015"/>
      <w:bookmarkStart w:id="84" w:name="_Toc430613321"/>
      <w:bookmarkStart w:id="85" w:name="_Toc430613692"/>
      <w:r w:rsidR="00EB1EC9" w:rsidRPr="00431251">
        <w:rPr>
          <w:color w:val="auto"/>
          <w:sz w:val="22"/>
          <w:szCs w:val="22"/>
        </w:rPr>
        <w:lastRenderedPageBreak/>
        <w:t>4.8 Remunerating fairly and responsibly</w:t>
      </w:r>
      <w:bookmarkEnd w:id="83"/>
      <w:bookmarkEnd w:id="84"/>
      <w:bookmarkEnd w:id="85"/>
    </w:p>
    <w:p w14:paraId="5EA7326E" w14:textId="77777777" w:rsidR="00EB1EC9" w:rsidRPr="00EE5A6D" w:rsidRDefault="00EB1EC9" w:rsidP="002206F9">
      <w:pPr>
        <w:rPr>
          <w:rFonts w:cs="Arial"/>
          <w:b/>
          <w:sz w:val="20"/>
          <w:szCs w:val="22"/>
        </w:rPr>
      </w:pPr>
    </w:p>
    <w:p w14:paraId="5EA7326F" w14:textId="0281A2CE" w:rsidR="00C8174E" w:rsidRPr="00EE5A6D" w:rsidRDefault="00C839D4" w:rsidP="002206F9">
      <w:pPr>
        <w:rPr>
          <w:rFonts w:cs="Arial"/>
          <w:sz w:val="22"/>
          <w:szCs w:val="22"/>
        </w:rPr>
      </w:pPr>
      <w:r w:rsidRPr="00EE5A6D">
        <w:rPr>
          <w:rFonts w:cs="Arial"/>
          <w:sz w:val="22"/>
          <w:szCs w:val="22"/>
        </w:rPr>
        <w:t xml:space="preserve">Directors serve on a voluntary basis and do not receive remuneration with the exception of the Chair who </w:t>
      </w:r>
      <w:r w:rsidR="0014349D" w:rsidRPr="00EE5A6D">
        <w:rPr>
          <w:rFonts w:cs="Arial"/>
          <w:sz w:val="22"/>
          <w:szCs w:val="22"/>
        </w:rPr>
        <w:t>is</w:t>
      </w:r>
      <w:r w:rsidRPr="00EE5A6D">
        <w:rPr>
          <w:rFonts w:cs="Arial"/>
          <w:sz w:val="22"/>
          <w:szCs w:val="22"/>
        </w:rPr>
        <w:t xml:space="preserve"> remunerated as approved by members</w:t>
      </w:r>
      <w:r w:rsidR="0014349D" w:rsidRPr="00EE5A6D">
        <w:rPr>
          <w:rFonts w:cs="Arial"/>
          <w:sz w:val="22"/>
          <w:szCs w:val="22"/>
        </w:rPr>
        <w:t xml:space="preserve"> under cl</w:t>
      </w:r>
      <w:r w:rsidR="00AE63F4" w:rsidRPr="00EE5A6D">
        <w:rPr>
          <w:rFonts w:cs="Arial"/>
          <w:sz w:val="22"/>
          <w:szCs w:val="22"/>
        </w:rPr>
        <w:t xml:space="preserve">ause </w:t>
      </w:r>
      <w:r w:rsidR="0014349D" w:rsidRPr="00EE5A6D">
        <w:rPr>
          <w:rFonts w:cs="Arial"/>
          <w:sz w:val="22"/>
          <w:szCs w:val="22"/>
        </w:rPr>
        <w:t xml:space="preserve">6.10 of the </w:t>
      </w:r>
      <w:r w:rsidR="0014349D" w:rsidRPr="00C702A6">
        <w:rPr>
          <w:rFonts w:cs="Arial"/>
          <w:sz w:val="22"/>
          <w:szCs w:val="22"/>
        </w:rPr>
        <w:t>Constitution</w:t>
      </w:r>
      <w:r w:rsidRPr="00C702A6">
        <w:rPr>
          <w:rFonts w:cs="Arial"/>
          <w:sz w:val="22"/>
          <w:szCs w:val="22"/>
        </w:rPr>
        <w:t xml:space="preserve">.  </w:t>
      </w:r>
      <w:r w:rsidR="00EB1EC9" w:rsidRPr="00C702A6">
        <w:rPr>
          <w:rFonts w:cs="Arial"/>
          <w:sz w:val="22"/>
          <w:szCs w:val="22"/>
        </w:rPr>
        <w:t>Reimbursement is made to directors for reasonable</w:t>
      </w:r>
      <w:r w:rsidR="00EB1EC9" w:rsidRPr="00EE5A6D">
        <w:rPr>
          <w:rFonts w:cs="Arial"/>
          <w:sz w:val="22"/>
          <w:szCs w:val="22"/>
        </w:rPr>
        <w:t xml:space="preserve"> expenses directly related to board activities such as travel, accommodation and meals.  </w:t>
      </w:r>
    </w:p>
    <w:p w14:paraId="5EA73270" w14:textId="77777777" w:rsidR="00C8174E" w:rsidRPr="00431251" w:rsidRDefault="00C8174E" w:rsidP="002206F9">
      <w:pPr>
        <w:rPr>
          <w:rFonts w:cs="Arial"/>
          <w:sz w:val="22"/>
          <w:szCs w:val="22"/>
          <w:highlight w:val="yellow"/>
        </w:rPr>
      </w:pPr>
    </w:p>
    <w:p w14:paraId="5EA73271" w14:textId="77777777" w:rsidR="004441A8" w:rsidRPr="00431251" w:rsidRDefault="004441A8" w:rsidP="00431251">
      <w:pPr>
        <w:pStyle w:val="Heading3"/>
        <w:jc w:val="left"/>
        <w:rPr>
          <w:color w:val="auto"/>
          <w:sz w:val="22"/>
          <w:szCs w:val="22"/>
        </w:rPr>
      </w:pPr>
      <w:bookmarkStart w:id="86" w:name="_Toc430613016"/>
      <w:bookmarkStart w:id="87" w:name="_Toc430613322"/>
      <w:bookmarkStart w:id="88" w:name="_Toc430613693"/>
      <w:r w:rsidRPr="00431251">
        <w:rPr>
          <w:color w:val="auto"/>
          <w:sz w:val="22"/>
          <w:szCs w:val="22"/>
        </w:rPr>
        <w:t>4.9 Committees</w:t>
      </w:r>
      <w:bookmarkEnd w:id="86"/>
      <w:bookmarkEnd w:id="87"/>
      <w:bookmarkEnd w:id="88"/>
    </w:p>
    <w:p w14:paraId="5EA73272" w14:textId="77777777" w:rsidR="00420B09" w:rsidRDefault="00420B09" w:rsidP="002206F9">
      <w:pPr>
        <w:rPr>
          <w:rFonts w:cs="Arial"/>
          <w:b/>
          <w:sz w:val="22"/>
          <w:szCs w:val="22"/>
        </w:rPr>
      </w:pPr>
    </w:p>
    <w:p w14:paraId="5EA73273" w14:textId="77777777" w:rsidR="00420B09" w:rsidRPr="00887462" w:rsidRDefault="00420B09" w:rsidP="002206F9">
      <w:pPr>
        <w:rPr>
          <w:rFonts w:cs="Arial"/>
          <w:sz w:val="22"/>
          <w:szCs w:val="22"/>
        </w:rPr>
      </w:pPr>
      <w:r w:rsidRPr="00887462">
        <w:rPr>
          <w:rFonts w:cs="Arial"/>
          <w:sz w:val="22"/>
          <w:szCs w:val="22"/>
        </w:rPr>
        <w:t>Details of the Committee, their charters and main functions are summarised.</w:t>
      </w:r>
    </w:p>
    <w:p w14:paraId="5EA73274" w14:textId="77777777" w:rsidR="004441A8" w:rsidRDefault="004441A8" w:rsidP="002206F9">
      <w:pPr>
        <w:rPr>
          <w:rFonts w:cs="Arial"/>
          <w:b/>
          <w:sz w:val="22"/>
          <w:szCs w:val="22"/>
        </w:rPr>
      </w:pPr>
    </w:p>
    <w:p w14:paraId="5EA73275" w14:textId="77777777" w:rsidR="004441A8" w:rsidRPr="00431251" w:rsidRDefault="004441A8" w:rsidP="00431251">
      <w:pPr>
        <w:pStyle w:val="Heading4"/>
        <w:jc w:val="left"/>
        <w:rPr>
          <w:sz w:val="20"/>
          <w:szCs w:val="20"/>
        </w:rPr>
      </w:pPr>
      <w:r w:rsidRPr="00431251">
        <w:rPr>
          <w:sz w:val="20"/>
          <w:szCs w:val="20"/>
        </w:rPr>
        <w:t>Audit Finance and Business Risk</w:t>
      </w:r>
      <w:r w:rsidR="00DF4D64" w:rsidRPr="00431251">
        <w:rPr>
          <w:sz w:val="20"/>
          <w:szCs w:val="20"/>
        </w:rPr>
        <w:t xml:space="preserve"> Committee</w:t>
      </w:r>
    </w:p>
    <w:p w14:paraId="5EA73276" w14:textId="77777777" w:rsidR="004441A8" w:rsidRPr="00EE5A6D" w:rsidRDefault="004441A8" w:rsidP="002206F9">
      <w:pPr>
        <w:rPr>
          <w:rFonts w:cs="Arial"/>
          <w:b/>
          <w:sz w:val="22"/>
          <w:szCs w:val="22"/>
        </w:rPr>
      </w:pPr>
    </w:p>
    <w:p w14:paraId="5EA73277" w14:textId="77777777" w:rsidR="004441A8" w:rsidRPr="00EE5A6D" w:rsidRDefault="004441A8" w:rsidP="002206F9">
      <w:pPr>
        <w:rPr>
          <w:rFonts w:cs="Arial"/>
          <w:sz w:val="22"/>
          <w:szCs w:val="22"/>
        </w:rPr>
      </w:pPr>
      <w:r w:rsidRPr="00EE5A6D">
        <w:rPr>
          <w:rFonts w:cs="Arial"/>
          <w:sz w:val="22"/>
          <w:szCs w:val="22"/>
        </w:rPr>
        <w:t xml:space="preserve">An Audit Finance and Business Risk Committee is established and governed by a charter which outlines the Committee’s role and responsibilities, composition, structure and membership requirements. The charter is regularly reviewed to ensure it remains consistent with the Board’s objectives and responsibilities. </w:t>
      </w:r>
    </w:p>
    <w:p w14:paraId="5EA73278" w14:textId="77777777" w:rsidR="004441A8" w:rsidRPr="00EE5A6D" w:rsidRDefault="004441A8" w:rsidP="002206F9">
      <w:pPr>
        <w:rPr>
          <w:rFonts w:cs="Arial"/>
          <w:sz w:val="22"/>
          <w:szCs w:val="22"/>
        </w:rPr>
      </w:pPr>
    </w:p>
    <w:p w14:paraId="5EA73279" w14:textId="77777777" w:rsidR="004441A8" w:rsidRPr="00EE5A6D" w:rsidRDefault="004441A8" w:rsidP="002206F9">
      <w:pPr>
        <w:autoSpaceDE w:val="0"/>
        <w:autoSpaceDN w:val="0"/>
        <w:adjustRightInd w:val="0"/>
        <w:rPr>
          <w:rFonts w:cs="Arial"/>
          <w:sz w:val="22"/>
          <w:szCs w:val="22"/>
        </w:rPr>
      </w:pPr>
      <w:r w:rsidRPr="00EE5A6D">
        <w:rPr>
          <w:rFonts w:cs="Arial"/>
          <w:sz w:val="22"/>
          <w:szCs w:val="22"/>
        </w:rPr>
        <w:t>The Committee may extend an invitation to any person to attend all or part of any meeting of the Committee which it considers appropriate.</w:t>
      </w:r>
    </w:p>
    <w:p w14:paraId="5EA7327A" w14:textId="77777777" w:rsidR="004441A8" w:rsidRDefault="004441A8" w:rsidP="002206F9">
      <w:pPr>
        <w:autoSpaceDE w:val="0"/>
        <w:autoSpaceDN w:val="0"/>
        <w:adjustRightInd w:val="0"/>
        <w:rPr>
          <w:rFonts w:cs="Arial"/>
          <w:sz w:val="22"/>
          <w:szCs w:val="22"/>
        </w:rPr>
      </w:pPr>
    </w:p>
    <w:p w14:paraId="5EA7327B" w14:textId="77777777" w:rsidR="004441A8" w:rsidRPr="00EE5A6D" w:rsidRDefault="004441A8" w:rsidP="002206F9">
      <w:pPr>
        <w:autoSpaceDE w:val="0"/>
        <w:autoSpaceDN w:val="0"/>
        <w:adjustRightInd w:val="0"/>
        <w:rPr>
          <w:rFonts w:cs="Arial"/>
          <w:sz w:val="22"/>
          <w:szCs w:val="22"/>
        </w:rPr>
      </w:pPr>
      <w:r w:rsidRPr="00EE5A6D">
        <w:rPr>
          <w:rFonts w:cs="Arial"/>
          <w:sz w:val="22"/>
          <w:szCs w:val="22"/>
        </w:rPr>
        <w:t>The main functions of the Committee are to:</w:t>
      </w:r>
    </w:p>
    <w:p w14:paraId="5EA7327C" w14:textId="77777777" w:rsidR="004441A8" w:rsidRPr="00EE5A6D" w:rsidRDefault="004441A8" w:rsidP="002206F9">
      <w:pPr>
        <w:autoSpaceDE w:val="0"/>
        <w:autoSpaceDN w:val="0"/>
        <w:adjustRightInd w:val="0"/>
        <w:rPr>
          <w:rFonts w:cs="Arial"/>
          <w:sz w:val="22"/>
          <w:szCs w:val="22"/>
        </w:rPr>
      </w:pPr>
    </w:p>
    <w:p w14:paraId="5EA7327D"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provide strategic financial advice to management</w:t>
      </w:r>
    </w:p>
    <w:p w14:paraId="5EA7327E"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assess the financial reports and other information prepared by management</w:t>
      </w:r>
    </w:p>
    <w:p w14:paraId="5EA7327F"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oversee the Company’s discharge of its responsibilities with respect to:</w:t>
      </w:r>
    </w:p>
    <w:p w14:paraId="5EA73280" w14:textId="77777777" w:rsidR="00483BE4" w:rsidRPr="00687578" w:rsidRDefault="00483BE4" w:rsidP="001108BC">
      <w:pPr>
        <w:numPr>
          <w:ilvl w:val="1"/>
          <w:numId w:val="37"/>
        </w:numPr>
        <w:tabs>
          <w:tab w:val="clear" w:pos="1440"/>
          <w:tab w:val="num" w:pos="426"/>
        </w:tabs>
        <w:autoSpaceDE w:val="0"/>
        <w:autoSpaceDN w:val="0"/>
        <w:adjustRightInd w:val="0"/>
        <w:ind w:left="851"/>
        <w:rPr>
          <w:sz w:val="22"/>
        </w:rPr>
      </w:pPr>
      <w:r w:rsidRPr="00687578">
        <w:rPr>
          <w:sz w:val="22"/>
        </w:rPr>
        <w:t>the financial statements, financial report and annual report</w:t>
      </w:r>
    </w:p>
    <w:p w14:paraId="5EA73281" w14:textId="77777777" w:rsidR="00483BE4" w:rsidRPr="00687578" w:rsidRDefault="00483BE4" w:rsidP="001108BC">
      <w:pPr>
        <w:numPr>
          <w:ilvl w:val="1"/>
          <w:numId w:val="37"/>
        </w:numPr>
        <w:tabs>
          <w:tab w:val="clear" w:pos="1440"/>
          <w:tab w:val="num" w:pos="426"/>
        </w:tabs>
        <w:autoSpaceDE w:val="0"/>
        <w:autoSpaceDN w:val="0"/>
        <w:adjustRightInd w:val="0"/>
        <w:ind w:left="851"/>
        <w:rPr>
          <w:sz w:val="22"/>
        </w:rPr>
      </w:pPr>
      <w:r w:rsidRPr="00687578">
        <w:rPr>
          <w:sz w:val="22"/>
        </w:rPr>
        <w:t>legal/regulatory compliance</w:t>
      </w:r>
    </w:p>
    <w:p w14:paraId="5EA73282" w14:textId="77777777" w:rsidR="00483BE4" w:rsidRPr="00687578" w:rsidRDefault="00483BE4" w:rsidP="001108BC">
      <w:pPr>
        <w:numPr>
          <w:ilvl w:val="1"/>
          <w:numId w:val="37"/>
        </w:numPr>
        <w:tabs>
          <w:tab w:val="clear" w:pos="1440"/>
          <w:tab w:val="num" w:pos="426"/>
        </w:tabs>
        <w:autoSpaceDE w:val="0"/>
        <w:autoSpaceDN w:val="0"/>
        <w:adjustRightInd w:val="0"/>
        <w:ind w:left="851"/>
        <w:rPr>
          <w:sz w:val="22"/>
        </w:rPr>
      </w:pPr>
      <w:r w:rsidRPr="00687578">
        <w:rPr>
          <w:sz w:val="22"/>
        </w:rPr>
        <w:t xml:space="preserve">protection of the company’s capital; and </w:t>
      </w:r>
    </w:p>
    <w:p w14:paraId="5EA73283" w14:textId="77777777" w:rsidR="00483BE4" w:rsidRPr="00687578" w:rsidRDefault="00483BE4" w:rsidP="001108BC">
      <w:pPr>
        <w:numPr>
          <w:ilvl w:val="1"/>
          <w:numId w:val="37"/>
        </w:numPr>
        <w:tabs>
          <w:tab w:val="clear" w:pos="1440"/>
          <w:tab w:val="num" w:pos="426"/>
        </w:tabs>
        <w:autoSpaceDE w:val="0"/>
        <w:autoSpaceDN w:val="0"/>
        <w:adjustRightInd w:val="0"/>
        <w:ind w:left="851"/>
        <w:rPr>
          <w:sz w:val="22"/>
        </w:rPr>
      </w:pPr>
      <w:r w:rsidRPr="00687578">
        <w:rPr>
          <w:sz w:val="22"/>
        </w:rPr>
        <w:t>risk management systems</w:t>
      </w:r>
    </w:p>
    <w:p w14:paraId="5EA73284" w14:textId="77777777" w:rsidR="004441A8" w:rsidRPr="00EE5A6D" w:rsidRDefault="004441A8" w:rsidP="00483BE4">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review financial statements and external financial reporting;</w:t>
      </w:r>
    </w:p>
    <w:p w14:paraId="5EA73285" w14:textId="77777777" w:rsidR="004441A8" w:rsidRPr="00EE5A6D"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assess the management processes supporting external reporting;</w:t>
      </w:r>
    </w:p>
    <w:p w14:paraId="5EA73286" w14:textId="77777777" w:rsidR="004441A8" w:rsidRPr="00EE5A6D"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assess whether the external reporting is adequate to meet the information needs for stakeholders;</w:t>
      </w:r>
    </w:p>
    <w:p w14:paraId="5EA73287" w14:textId="77777777" w:rsidR="004441A8" w:rsidRPr="00EE5A6D"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monitor performance against budget and plans;</w:t>
      </w:r>
    </w:p>
    <w:p w14:paraId="5EA73288" w14:textId="77777777" w:rsidR="004441A8" w:rsidRPr="00EE5A6D"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 xml:space="preserve">make recommendations on the appointment and removal of the </w:t>
      </w:r>
      <w:r>
        <w:rPr>
          <w:rFonts w:cs="Arial"/>
          <w:sz w:val="22"/>
          <w:szCs w:val="22"/>
        </w:rPr>
        <w:t>e</w:t>
      </w:r>
      <w:r w:rsidRPr="00EE5A6D">
        <w:rPr>
          <w:rFonts w:cs="Arial"/>
          <w:sz w:val="22"/>
          <w:szCs w:val="22"/>
        </w:rPr>
        <w:t xml:space="preserve">xternal and </w:t>
      </w:r>
      <w:r>
        <w:rPr>
          <w:rFonts w:cs="Arial"/>
          <w:sz w:val="22"/>
          <w:szCs w:val="22"/>
        </w:rPr>
        <w:t>i</w:t>
      </w:r>
      <w:r w:rsidRPr="00EE5A6D">
        <w:rPr>
          <w:rFonts w:cs="Arial"/>
          <w:sz w:val="22"/>
          <w:szCs w:val="22"/>
        </w:rPr>
        <w:t xml:space="preserve">nternal </w:t>
      </w:r>
      <w:r>
        <w:rPr>
          <w:rFonts w:cs="Arial"/>
          <w:sz w:val="22"/>
          <w:szCs w:val="22"/>
        </w:rPr>
        <w:t>a</w:t>
      </w:r>
      <w:r w:rsidRPr="00EE5A6D">
        <w:rPr>
          <w:rFonts w:cs="Arial"/>
          <w:sz w:val="22"/>
          <w:szCs w:val="22"/>
        </w:rPr>
        <w:t>uditors;</w:t>
      </w:r>
    </w:p>
    <w:p w14:paraId="5EA73289" w14:textId="77777777" w:rsidR="004441A8" w:rsidRPr="00EE5A6D"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review and monitor the performance and independence of the external audit;</w:t>
      </w:r>
    </w:p>
    <w:p w14:paraId="5EA7328A" w14:textId="77777777" w:rsidR="004441A8" w:rsidRPr="00EE5A6D"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review tax compliance systems and processes;</w:t>
      </w:r>
    </w:p>
    <w:p w14:paraId="5EA7328B" w14:textId="77777777" w:rsidR="004441A8" w:rsidRPr="00EE5A6D"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review and monitor risk management and internal compliance and control systems;</w:t>
      </w:r>
    </w:p>
    <w:p w14:paraId="5EA7328C" w14:textId="77777777" w:rsidR="004441A8" w:rsidRPr="00EE5A6D"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assess the performance and objectivity of the internal audit function; and</w:t>
      </w:r>
    </w:p>
    <w:p w14:paraId="5EA7328D" w14:textId="7250669D" w:rsidR="004441A8" w:rsidRPr="00EE5A6D"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proofErr w:type="gramStart"/>
      <w:r w:rsidRPr="00EE5A6D">
        <w:rPr>
          <w:rFonts w:cs="Arial"/>
          <w:sz w:val="22"/>
          <w:szCs w:val="22"/>
        </w:rPr>
        <w:t>report</w:t>
      </w:r>
      <w:proofErr w:type="gramEnd"/>
      <w:r w:rsidRPr="00EE5A6D">
        <w:rPr>
          <w:rFonts w:cs="Arial"/>
          <w:sz w:val="22"/>
          <w:szCs w:val="22"/>
        </w:rPr>
        <w:t xml:space="preserve"> to the Board on the Committee’s role and responsibilities covering all the functions in its charter</w:t>
      </w:r>
      <w:r w:rsidR="001108BC">
        <w:rPr>
          <w:rFonts w:cs="Arial"/>
          <w:sz w:val="22"/>
          <w:szCs w:val="22"/>
        </w:rPr>
        <w:t>.</w:t>
      </w:r>
    </w:p>
    <w:p w14:paraId="5EA7328E" w14:textId="77777777" w:rsidR="004441A8" w:rsidRPr="00EE5A6D" w:rsidRDefault="004441A8" w:rsidP="002206F9">
      <w:pPr>
        <w:autoSpaceDE w:val="0"/>
        <w:autoSpaceDN w:val="0"/>
        <w:adjustRightInd w:val="0"/>
        <w:rPr>
          <w:rFonts w:cs="Arial"/>
          <w:sz w:val="22"/>
          <w:szCs w:val="22"/>
        </w:rPr>
      </w:pPr>
    </w:p>
    <w:p w14:paraId="5EA7328F" w14:textId="77777777" w:rsidR="004441A8" w:rsidRPr="00EE5A6D" w:rsidRDefault="004441A8" w:rsidP="002206F9">
      <w:pPr>
        <w:autoSpaceDE w:val="0"/>
        <w:autoSpaceDN w:val="0"/>
        <w:adjustRightInd w:val="0"/>
        <w:rPr>
          <w:rFonts w:cs="Arial"/>
          <w:sz w:val="22"/>
          <w:szCs w:val="22"/>
        </w:rPr>
      </w:pPr>
      <w:r w:rsidRPr="00EE5A6D">
        <w:rPr>
          <w:rFonts w:cs="Arial"/>
          <w:sz w:val="22"/>
          <w:szCs w:val="22"/>
        </w:rPr>
        <w:t>In fulfilling its responsibilities, the Audit, Finance and Business Risk Committee:</w:t>
      </w:r>
    </w:p>
    <w:p w14:paraId="5EA73290" w14:textId="77777777" w:rsidR="004441A8" w:rsidRPr="00EE5A6D" w:rsidRDefault="004441A8" w:rsidP="002206F9">
      <w:pPr>
        <w:autoSpaceDE w:val="0"/>
        <w:autoSpaceDN w:val="0"/>
        <w:adjustRightInd w:val="0"/>
        <w:rPr>
          <w:rFonts w:cs="Arial"/>
          <w:sz w:val="22"/>
          <w:szCs w:val="22"/>
        </w:rPr>
      </w:pPr>
    </w:p>
    <w:p w14:paraId="5EA73291" w14:textId="77777777" w:rsidR="004441A8" w:rsidRPr="00EE5A6D"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EE5A6D">
        <w:rPr>
          <w:rFonts w:cs="Arial"/>
          <w:sz w:val="22"/>
          <w:szCs w:val="22"/>
        </w:rPr>
        <w:t>receives regular reports from management and the internal and external auditors;</w:t>
      </w:r>
    </w:p>
    <w:p w14:paraId="5EA73292" w14:textId="117D8B6D" w:rsidR="004441A8" w:rsidRPr="00EE5A6D"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proofErr w:type="gramStart"/>
      <w:r w:rsidRPr="00EE5A6D">
        <w:rPr>
          <w:rFonts w:cs="Arial"/>
          <w:sz w:val="22"/>
          <w:szCs w:val="22"/>
        </w:rPr>
        <w:t>meets</w:t>
      </w:r>
      <w:proofErr w:type="gramEnd"/>
      <w:r w:rsidRPr="00EE5A6D">
        <w:rPr>
          <w:rFonts w:cs="Arial"/>
          <w:sz w:val="22"/>
          <w:szCs w:val="22"/>
        </w:rPr>
        <w:t xml:space="preserve"> separately with the external auditors without the presence of management</w:t>
      </w:r>
      <w:r w:rsidR="001108BC">
        <w:rPr>
          <w:rFonts w:cs="Arial"/>
          <w:sz w:val="22"/>
          <w:szCs w:val="22"/>
        </w:rPr>
        <w:t>.</w:t>
      </w:r>
    </w:p>
    <w:p w14:paraId="5EA73293" w14:textId="77777777" w:rsidR="004441A8" w:rsidRPr="00EE5A6D" w:rsidRDefault="004441A8" w:rsidP="002206F9">
      <w:pPr>
        <w:autoSpaceDE w:val="0"/>
        <w:autoSpaceDN w:val="0"/>
        <w:adjustRightInd w:val="0"/>
        <w:rPr>
          <w:rFonts w:cs="Arial"/>
          <w:sz w:val="22"/>
          <w:szCs w:val="22"/>
        </w:rPr>
      </w:pPr>
    </w:p>
    <w:p w14:paraId="5EA73294" w14:textId="7C6D7E7E" w:rsidR="004441A8" w:rsidRPr="00EE5A6D" w:rsidRDefault="004441A8" w:rsidP="002206F9">
      <w:pPr>
        <w:autoSpaceDE w:val="0"/>
        <w:autoSpaceDN w:val="0"/>
        <w:adjustRightInd w:val="0"/>
        <w:rPr>
          <w:rFonts w:cs="Arial"/>
          <w:sz w:val="22"/>
          <w:szCs w:val="22"/>
        </w:rPr>
      </w:pPr>
      <w:r w:rsidRPr="00EE5A6D">
        <w:rPr>
          <w:rFonts w:cs="Arial"/>
          <w:sz w:val="22"/>
          <w:szCs w:val="22"/>
        </w:rPr>
        <w:t xml:space="preserve">The performance of the external auditor is reviewed annually. An analysis of fees paid to the external auditors, including </w:t>
      </w:r>
      <w:r w:rsidR="00672952">
        <w:rPr>
          <w:rFonts w:cs="Arial"/>
          <w:sz w:val="22"/>
          <w:szCs w:val="22"/>
        </w:rPr>
        <w:t xml:space="preserve">a </w:t>
      </w:r>
      <w:r w:rsidRPr="00EE5A6D">
        <w:rPr>
          <w:rFonts w:cs="Arial"/>
          <w:sz w:val="22"/>
          <w:szCs w:val="22"/>
        </w:rPr>
        <w:t>break-down of fees for non-audit services, is provided in the notes to the financial statements. The external auditor is required to attend the Annual General Meeting and be available to answer member questions about the conduct of the audit and the preparation and content of the audit report</w:t>
      </w:r>
      <w:r w:rsidR="00A74A5D">
        <w:rPr>
          <w:rFonts w:cs="Arial"/>
          <w:sz w:val="22"/>
          <w:szCs w:val="22"/>
        </w:rPr>
        <w:t>.</w:t>
      </w:r>
    </w:p>
    <w:p w14:paraId="5EA73295" w14:textId="77777777" w:rsidR="004441A8" w:rsidRPr="00EE5A6D" w:rsidRDefault="004441A8" w:rsidP="002206F9">
      <w:pPr>
        <w:autoSpaceDE w:val="0"/>
        <w:autoSpaceDN w:val="0"/>
        <w:adjustRightInd w:val="0"/>
        <w:rPr>
          <w:rFonts w:cs="Arial"/>
          <w:sz w:val="22"/>
          <w:szCs w:val="22"/>
        </w:rPr>
      </w:pPr>
    </w:p>
    <w:p w14:paraId="5EA73296" w14:textId="77777777" w:rsidR="004441A8" w:rsidRPr="00EE5A6D" w:rsidRDefault="004441A8" w:rsidP="002206F9">
      <w:pPr>
        <w:autoSpaceDE w:val="0"/>
        <w:autoSpaceDN w:val="0"/>
        <w:adjustRightInd w:val="0"/>
        <w:rPr>
          <w:rFonts w:cs="Arial"/>
          <w:sz w:val="22"/>
          <w:szCs w:val="22"/>
        </w:rPr>
      </w:pPr>
      <w:r w:rsidRPr="00EE5A6D">
        <w:rPr>
          <w:rFonts w:cs="Arial"/>
          <w:sz w:val="22"/>
          <w:szCs w:val="22"/>
        </w:rPr>
        <w:lastRenderedPageBreak/>
        <w:t xml:space="preserve">The CEO and </w:t>
      </w:r>
      <w:r>
        <w:rPr>
          <w:rFonts w:cs="Arial"/>
          <w:sz w:val="22"/>
          <w:szCs w:val="22"/>
        </w:rPr>
        <w:t>the Chief Financial Officer</w:t>
      </w:r>
      <w:r w:rsidRPr="00EE5A6D">
        <w:rPr>
          <w:rFonts w:cs="Arial"/>
          <w:sz w:val="22"/>
          <w:szCs w:val="22"/>
        </w:rPr>
        <w:t xml:space="preserve"> state in writing to the Board each reporting period that in their opinion Vision Australia Limited’s financial reports present a true and fair view of its financial position and performance, and are in accordance with relevant Accounting Standards. </w:t>
      </w:r>
    </w:p>
    <w:p w14:paraId="5EA73297" w14:textId="77777777" w:rsidR="004441A8" w:rsidRPr="00EE5A6D" w:rsidRDefault="004441A8" w:rsidP="002206F9">
      <w:pPr>
        <w:rPr>
          <w:rFonts w:cs="Arial"/>
          <w:sz w:val="22"/>
          <w:szCs w:val="22"/>
        </w:rPr>
      </w:pPr>
    </w:p>
    <w:p w14:paraId="5EA73298" w14:textId="5F4177EA" w:rsidR="004441A8" w:rsidRPr="00EE5A6D" w:rsidRDefault="004441A8" w:rsidP="002206F9">
      <w:pPr>
        <w:rPr>
          <w:rFonts w:cs="Arial"/>
          <w:sz w:val="22"/>
          <w:szCs w:val="22"/>
        </w:rPr>
      </w:pPr>
      <w:r>
        <w:rPr>
          <w:rFonts w:cs="Arial"/>
          <w:sz w:val="22"/>
          <w:szCs w:val="22"/>
        </w:rPr>
        <w:t>I</w:t>
      </w:r>
      <w:r w:rsidRPr="00EE5A6D">
        <w:rPr>
          <w:rFonts w:cs="Arial"/>
          <w:sz w:val="22"/>
          <w:szCs w:val="22"/>
        </w:rPr>
        <w:t xml:space="preserve">nternal audit is </w:t>
      </w:r>
      <w:r w:rsidR="00A74A5D">
        <w:rPr>
          <w:rFonts w:cs="Arial"/>
          <w:sz w:val="22"/>
          <w:szCs w:val="22"/>
        </w:rPr>
        <w:t xml:space="preserve">undertaken </w:t>
      </w:r>
      <w:r w:rsidRPr="00EE5A6D">
        <w:rPr>
          <w:rFonts w:cs="Arial"/>
          <w:sz w:val="22"/>
          <w:szCs w:val="22"/>
        </w:rPr>
        <w:t xml:space="preserve">to review Vision Australia Limited’s systems, policies, processes, practices and procedures.  </w:t>
      </w:r>
      <w:r>
        <w:rPr>
          <w:rFonts w:cs="Arial"/>
          <w:sz w:val="22"/>
          <w:szCs w:val="22"/>
        </w:rPr>
        <w:t>The i</w:t>
      </w:r>
      <w:r w:rsidRPr="00EE5A6D">
        <w:rPr>
          <w:rFonts w:cs="Arial"/>
          <w:sz w:val="22"/>
          <w:szCs w:val="22"/>
        </w:rPr>
        <w:t>nternal audit</w:t>
      </w:r>
      <w:r>
        <w:rPr>
          <w:rFonts w:cs="Arial"/>
          <w:sz w:val="22"/>
          <w:szCs w:val="22"/>
        </w:rPr>
        <w:t xml:space="preserve"> function is conducted by Ernst </w:t>
      </w:r>
      <w:r w:rsidR="00A07FE0">
        <w:rPr>
          <w:rFonts w:cs="Arial"/>
          <w:sz w:val="22"/>
          <w:szCs w:val="22"/>
        </w:rPr>
        <w:t>and</w:t>
      </w:r>
      <w:r>
        <w:rPr>
          <w:rFonts w:cs="Arial"/>
          <w:sz w:val="22"/>
          <w:szCs w:val="22"/>
        </w:rPr>
        <w:t xml:space="preserve"> Young and their </w:t>
      </w:r>
      <w:r w:rsidRPr="00EE5A6D">
        <w:rPr>
          <w:rFonts w:cs="Arial"/>
          <w:sz w:val="22"/>
          <w:szCs w:val="22"/>
        </w:rPr>
        <w:t>independence and objectivity is safeguarded by a direct access to the Chair of the Audit Finance and Business Risk Committee.</w:t>
      </w:r>
    </w:p>
    <w:p w14:paraId="5EA73299" w14:textId="77777777" w:rsidR="004441A8" w:rsidRPr="00A019BB" w:rsidRDefault="004441A8" w:rsidP="002206F9">
      <w:pPr>
        <w:rPr>
          <w:rFonts w:cs="Arial"/>
          <w:sz w:val="14"/>
          <w:szCs w:val="22"/>
        </w:rPr>
      </w:pPr>
    </w:p>
    <w:p w14:paraId="5EA7329A" w14:textId="1E82FEC7" w:rsidR="004441A8" w:rsidRPr="00EE5A6D" w:rsidRDefault="004441A8" w:rsidP="002206F9">
      <w:pPr>
        <w:rPr>
          <w:rFonts w:cs="Arial"/>
          <w:sz w:val="22"/>
          <w:szCs w:val="22"/>
        </w:rPr>
      </w:pPr>
      <w:r w:rsidRPr="00EE5A6D">
        <w:rPr>
          <w:rFonts w:cs="Arial"/>
          <w:sz w:val="22"/>
          <w:szCs w:val="22"/>
        </w:rPr>
        <w:t xml:space="preserve">The Audit Finance and Business Risk Committee </w:t>
      </w:r>
      <w:proofErr w:type="gramStart"/>
      <w:r w:rsidRPr="00EE5A6D">
        <w:rPr>
          <w:rFonts w:cs="Arial"/>
          <w:sz w:val="22"/>
          <w:szCs w:val="22"/>
        </w:rPr>
        <w:t>has</w:t>
      </w:r>
      <w:proofErr w:type="gramEnd"/>
      <w:r w:rsidRPr="00EE5A6D">
        <w:rPr>
          <w:rFonts w:cs="Arial"/>
          <w:sz w:val="22"/>
          <w:szCs w:val="22"/>
        </w:rPr>
        <w:t xml:space="preserve"> authority, within the scope of its responsibilities, to seek any information it requires from any employee or external party. The Audit Finance and Business Risk Committee Charter can be viewed on the Vision Australia </w:t>
      </w:r>
      <w:r w:rsidRPr="00386289">
        <w:rPr>
          <w:rFonts w:cs="Arial"/>
          <w:sz w:val="22"/>
          <w:szCs w:val="22"/>
        </w:rPr>
        <w:t xml:space="preserve">website </w:t>
      </w:r>
      <w:r w:rsidR="005C1CCD">
        <w:rPr>
          <w:rFonts w:cs="Arial"/>
          <w:sz w:val="22"/>
          <w:szCs w:val="22"/>
        </w:rPr>
        <w:t xml:space="preserve">via </w:t>
      </w:r>
      <w:hyperlink r:id="rId22" w:history="1">
        <w:r w:rsidR="005C1CCD" w:rsidRPr="005C1CCD">
          <w:rPr>
            <w:rStyle w:val="Hyperlink"/>
            <w:rFonts w:cs="Arial"/>
            <w:sz w:val="22"/>
            <w:szCs w:val="22"/>
          </w:rPr>
          <w:t>this link</w:t>
        </w:r>
      </w:hyperlink>
      <w:r w:rsidR="005C1CCD">
        <w:rPr>
          <w:rFonts w:cs="Arial"/>
          <w:sz w:val="22"/>
          <w:szCs w:val="22"/>
        </w:rPr>
        <w:t>.</w:t>
      </w:r>
    </w:p>
    <w:p w14:paraId="5EA7329B" w14:textId="77777777" w:rsidR="00420B09" w:rsidRPr="00A019BB" w:rsidRDefault="00420B09" w:rsidP="002206F9">
      <w:pPr>
        <w:rPr>
          <w:rFonts w:cs="Arial"/>
          <w:sz w:val="14"/>
          <w:szCs w:val="22"/>
        </w:rPr>
      </w:pPr>
    </w:p>
    <w:p w14:paraId="5EA7329C" w14:textId="77777777" w:rsidR="00420B09" w:rsidRPr="00156683" w:rsidRDefault="00420B09" w:rsidP="002206F9">
      <w:pPr>
        <w:rPr>
          <w:rFonts w:cs="Arial"/>
          <w:sz w:val="22"/>
          <w:szCs w:val="22"/>
        </w:rPr>
      </w:pPr>
      <w:r w:rsidRPr="00156683">
        <w:rPr>
          <w:rFonts w:cs="Arial"/>
          <w:sz w:val="22"/>
          <w:szCs w:val="22"/>
        </w:rPr>
        <w:t>Committee members during the year were:</w:t>
      </w:r>
    </w:p>
    <w:p w14:paraId="5EA7329D" w14:textId="77777777" w:rsidR="00420B09" w:rsidRPr="00A019BB" w:rsidRDefault="00420B09" w:rsidP="002206F9">
      <w:pPr>
        <w:rPr>
          <w:rFonts w:cs="Arial"/>
          <w:sz w:val="14"/>
          <w:szCs w:val="22"/>
        </w:rPr>
      </w:pPr>
    </w:p>
    <w:p w14:paraId="5EA7329E" w14:textId="77777777" w:rsidR="00420B09" w:rsidRPr="00156683" w:rsidRDefault="00420B09" w:rsidP="002206F9">
      <w:pPr>
        <w:rPr>
          <w:rFonts w:cs="Arial"/>
          <w:sz w:val="22"/>
          <w:szCs w:val="22"/>
        </w:rPr>
      </w:pPr>
      <w:r w:rsidRPr="00156683">
        <w:rPr>
          <w:rFonts w:cs="Arial"/>
          <w:sz w:val="22"/>
          <w:szCs w:val="22"/>
        </w:rPr>
        <w:t>Andrew Moffat</w:t>
      </w:r>
      <w:r w:rsidR="00F002FB">
        <w:rPr>
          <w:rFonts w:cs="Arial"/>
          <w:sz w:val="22"/>
          <w:szCs w:val="22"/>
        </w:rPr>
        <w:t xml:space="preserve"> (</w:t>
      </w:r>
      <w:r w:rsidRPr="00156683">
        <w:rPr>
          <w:rFonts w:cs="Arial"/>
          <w:sz w:val="22"/>
          <w:szCs w:val="22"/>
        </w:rPr>
        <w:t>Chair</w:t>
      </w:r>
      <w:r w:rsidR="00F002FB">
        <w:rPr>
          <w:rFonts w:cs="Arial"/>
          <w:sz w:val="22"/>
          <w:szCs w:val="22"/>
        </w:rPr>
        <w:t>)</w:t>
      </w:r>
    </w:p>
    <w:p w14:paraId="5EA7329F" w14:textId="77777777" w:rsidR="00420B09" w:rsidRDefault="00420B09" w:rsidP="002206F9">
      <w:pPr>
        <w:rPr>
          <w:rFonts w:cs="Arial"/>
          <w:sz w:val="22"/>
          <w:szCs w:val="22"/>
        </w:rPr>
      </w:pPr>
      <w:r w:rsidRPr="00156683">
        <w:rPr>
          <w:rFonts w:cs="Arial"/>
          <w:sz w:val="22"/>
          <w:szCs w:val="22"/>
        </w:rPr>
        <w:t>Kevin Murfitt</w:t>
      </w:r>
    </w:p>
    <w:p w14:paraId="5EA732A0" w14:textId="77777777" w:rsidR="00420B09" w:rsidRDefault="00420B09" w:rsidP="002206F9">
      <w:pPr>
        <w:rPr>
          <w:rFonts w:cs="Arial"/>
          <w:sz w:val="22"/>
          <w:szCs w:val="22"/>
        </w:rPr>
      </w:pPr>
      <w:r w:rsidRPr="000B6688">
        <w:rPr>
          <w:rFonts w:cs="Arial"/>
          <w:sz w:val="22"/>
          <w:szCs w:val="22"/>
        </w:rPr>
        <w:t xml:space="preserve">Sara Watts </w:t>
      </w:r>
    </w:p>
    <w:p w14:paraId="0088A8B5" w14:textId="77777777" w:rsidR="00890219" w:rsidRPr="000B6688" w:rsidRDefault="00890219" w:rsidP="00890219">
      <w:pPr>
        <w:ind w:right="-612"/>
        <w:rPr>
          <w:rFonts w:cs="Arial"/>
          <w:sz w:val="22"/>
          <w:szCs w:val="22"/>
        </w:rPr>
      </w:pPr>
      <w:r>
        <w:rPr>
          <w:rFonts w:cs="Arial"/>
          <w:sz w:val="22"/>
          <w:szCs w:val="22"/>
        </w:rPr>
        <w:t>Bill Jolley</w:t>
      </w:r>
    </w:p>
    <w:p w14:paraId="5EA732A1" w14:textId="77777777" w:rsidR="00420B09" w:rsidRDefault="00420B09" w:rsidP="002206F9">
      <w:pPr>
        <w:rPr>
          <w:rFonts w:cs="Arial"/>
          <w:sz w:val="22"/>
          <w:szCs w:val="22"/>
        </w:rPr>
      </w:pPr>
      <w:r w:rsidRPr="00156683">
        <w:rPr>
          <w:rFonts w:cs="Arial"/>
          <w:sz w:val="22"/>
          <w:szCs w:val="22"/>
        </w:rPr>
        <w:t>Roger Zimmerman</w:t>
      </w:r>
      <w:r w:rsidR="00BD4286">
        <w:rPr>
          <w:rFonts w:cs="Arial"/>
          <w:sz w:val="22"/>
          <w:szCs w:val="22"/>
        </w:rPr>
        <w:t xml:space="preserve"> </w:t>
      </w:r>
      <w:r w:rsidRPr="00156683">
        <w:rPr>
          <w:rFonts w:cs="Arial"/>
          <w:sz w:val="22"/>
          <w:szCs w:val="22"/>
        </w:rPr>
        <w:t>(Co-opted member)</w:t>
      </w:r>
    </w:p>
    <w:p w14:paraId="5EA732A2" w14:textId="77777777" w:rsidR="00420B09" w:rsidRPr="00156683" w:rsidRDefault="00420B09" w:rsidP="002206F9">
      <w:pPr>
        <w:rPr>
          <w:rFonts w:cs="Arial"/>
          <w:sz w:val="22"/>
          <w:szCs w:val="22"/>
        </w:rPr>
      </w:pPr>
      <w:r>
        <w:rPr>
          <w:rFonts w:cs="Arial"/>
          <w:sz w:val="22"/>
          <w:szCs w:val="22"/>
        </w:rPr>
        <w:t>Tim Boyle (Co-opted member</w:t>
      </w:r>
      <w:r w:rsidR="00BD4286">
        <w:rPr>
          <w:rFonts w:cs="Arial"/>
          <w:sz w:val="22"/>
          <w:szCs w:val="22"/>
        </w:rPr>
        <w:t xml:space="preserve">) </w:t>
      </w:r>
    </w:p>
    <w:p w14:paraId="5EA732A4" w14:textId="77777777" w:rsidR="00420B09" w:rsidRPr="00A019BB" w:rsidRDefault="00420B09" w:rsidP="002206F9">
      <w:pPr>
        <w:autoSpaceDE w:val="0"/>
        <w:autoSpaceDN w:val="0"/>
        <w:adjustRightInd w:val="0"/>
        <w:rPr>
          <w:rFonts w:cs="Arial"/>
          <w:sz w:val="14"/>
          <w:szCs w:val="22"/>
        </w:rPr>
      </w:pPr>
    </w:p>
    <w:p w14:paraId="5EA732A5" w14:textId="77777777" w:rsidR="002041A9" w:rsidRPr="002041A9" w:rsidRDefault="002041A9" w:rsidP="00431251">
      <w:pPr>
        <w:pStyle w:val="Heading4"/>
        <w:jc w:val="left"/>
      </w:pPr>
      <w:r w:rsidRPr="002041A9">
        <w:t>Vision Australia Foundation, Trustee of the Vision Australia Trust</w:t>
      </w:r>
    </w:p>
    <w:p w14:paraId="5EA732A6" w14:textId="77777777" w:rsidR="002041A9" w:rsidRPr="00A019BB" w:rsidRDefault="002041A9" w:rsidP="002206F9">
      <w:pPr>
        <w:autoSpaceDE w:val="0"/>
        <w:autoSpaceDN w:val="0"/>
        <w:adjustRightInd w:val="0"/>
        <w:rPr>
          <w:rFonts w:cs="Arial"/>
          <w:sz w:val="14"/>
          <w:szCs w:val="22"/>
        </w:rPr>
      </w:pPr>
    </w:p>
    <w:p w14:paraId="5EA732A7" w14:textId="77777777" w:rsidR="004441A8" w:rsidRPr="00EE5A6D" w:rsidRDefault="004441A8" w:rsidP="002206F9">
      <w:pPr>
        <w:rPr>
          <w:rFonts w:cs="Arial"/>
          <w:sz w:val="22"/>
          <w:szCs w:val="22"/>
        </w:rPr>
      </w:pPr>
      <w:r w:rsidRPr="00EE5A6D">
        <w:rPr>
          <w:rFonts w:cs="Arial"/>
          <w:sz w:val="22"/>
          <w:szCs w:val="22"/>
        </w:rPr>
        <w:t>Vision Australia Limited has appointed Directors to the Trustee Company (“the Foundation”) that manages the Vision Australia Trust.  The primary role of the Foundation is to act as trustee of the Trust in a fiduciary role, and in accordance with the deed which establishes the Trust</w:t>
      </w:r>
      <w:r w:rsidR="00A74A5D">
        <w:rPr>
          <w:rFonts w:cs="Arial"/>
          <w:sz w:val="22"/>
          <w:szCs w:val="22"/>
        </w:rPr>
        <w:t>.</w:t>
      </w:r>
    </w:p>
    <w:p w14:paraId="5EA732A8" w14:textId="77777777" w:rsidR="004441A8" w:rsidRPr="00B64EBB" w:rsidRDefault="004441A8" w:rsidP="002206F9">
      <w:pPr>
        <w:rPr>
          <w:rFonts w:cs="Arial"/>
          <w:sz w:val="18"/>
          <w:szCs w:val="22"/>
        </w:rPr>
      </w:pPr>
    </w:p>
    <w:p w14:paraId="5EA732A9" w14:textId="77777777" w:rsidR="004441A8" w:rsidRDefault="004441A8" w:rsidP="002206F9">
      <w:pPr>
        <w:rPr>
          <w:rFonts w:cs="Arial"/>
          <w:sz w:val="22"/>
          <w:szCs w:val="22"/>
        </w:rPr>
      </w:pPr>
      <w:r w:rsidRPr="00EE5A6D">
        <w:rPr>
          <w:rFonts w:cs="Arial"/>
          <w:sz w:val="22"/>
          <w:szCs w:val="22"/>
        </w:rPr>
        <w:t xml:space="preserve">The Foundation reviews the </w:t>
      </w:r>
      <w:r>
        <w:rPr>
          <w:rFonts w:cs="Arial"/>
          <w:sz w:val="22"/>
          <w:szCs w:val="22"/>
        </w:rPr>
        <w:t xml:space="preserve">composition and performance </w:t>
      </w:r>
      <w:r w:rsidRPr="00EE5A6D">
        <w:rPr>
          <w:rFonts w:cs="Arial"/>
          <w:sz w:val="22"/>
          <w:szCs w:val="22"/>
        </w:rPr>
        <w:t xml:space="preserve">of Vision Australia Trust’s </w:t>
      </w:r>
      <w:r>
        <w:rPr>
          <w:rFonts w:cs="Arial"/>
          <w:sz w:val="22"/>
          <w:szCs w:val="22"/>
        </w:rPr>
        <w:t>i</w:t>
      </w:r>
      <w:r w:rsidRPr="00EE5A6D">
        <w:rPr>
          <w:rFonts w:cs="Arial"/>
          <w:sz w:val="22"/>
          <w:szCs w:val="22"/>
        </w:rPr>
        <w:t xml:space="preserve">nvestment portfolio and </w:t>
      </w:r>
      <w:r>
        <w:rPr>
          <w:rFonts w:cs="Arial"/>
          <w:sz w:val="22"/>
          <w:szCs w:val="22"/>
        </w:rPr>
        <w:t xml:space="preserve">also </w:t>
      </w:r>
      <w:r w:rsidRPr="00EE5A6D">
        <w:rPr>
          <w:rFonts w:cs="Arial"/>
          <w:sz w:val="22"/>
          <w:szCs w:val="22"/>
        </w:rPr>
        <w:t xml:space="preserve">the performance of the </w:t>
      </w:r>
      <w:r>
        <w:rPr>
          <w:rFonts w:cs="Arial"/>
          <w:sz w:val="22"/>
          <w:szCs w:val="22"/>
        </w:rPr>
        <w:t>i</w:t>
      </w:r>
      <w:r w:rsidRPr="00EE5A6D">
        <w:rPr>
          <w:rFonts w:cs="Arial"/>
          <w:sz w:val="22"/>
          <w:szCs w:val="22"/>
        </w:rPr>
        <w:t xml:space="preserve">nvestment </w:t>
      </w:r>
      <w:r>
        <w:rPr>
          <w:rFonts w:cs="Arial"/>
          <w:sz w:val="22"/>
          <w:szCs w:val="22"/>
        </w:rPr>
        <w:t>m</w:t>
      </w:r>
      <w:r w:rsidRPr="00EE5A6D">
        <w:rPr>
          <w:rFonts w:cs="Arial"/>
          <w:sz w:val="22"/>
          <w:szCs w:val="22"/>
        </w:rPr>
        <w:t xml:space="preserve">anagers managing the fund.  </w:t>
      </w:r>
    </w:p>
    <w:p w14:paraId="5EA732AA" w14:textId="77777777" w:rsidR="00483BE4" w:rsidRDefault="00483BE4" w:rsidP="00230978">
      <w:pPr>
        <w:autoSpaceDE w:val="0"/>
        <w:autoSpaceDN w:val="0"/>
        <w:adjustRightInd w:val="0"/>
        <w:rPr>
          <w:rFonts w:cs="Arial"/>
          <w:sz w:val="22"/>
          <w:szCs w:val="22"/>
        </w:rPr>
      </w:pPr>
    </w:p>
    <w:p w14:paraId="5EA732AB" w14:textId="77777777" w:rsidR="00483BE4" w:rsidRPr="00230978" w:rsidRDefault="00483BE4" w:rsidP="00230978">
      <w:pPr>
        <w:autoSpaceDE w:val="0"/>
        <w:autoSpaceDN w:val="0"/>
        <w:adjustRightInd w:val="0"/>
        <w:rPr>
          <w:sz w:val="22"/>
        </w:rPr>
      </w:pPr>
      <w:r w:rsidRPr="00230978">
        <w:rPr>
          <w:sz w:val="22"/>
        </w:rPr>
        <w:t>The objectives of the Foundation are to:</w:t>
      </w:r>
    </w:p>
    <w:p w14:paraId="5EA732AC"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ensure the assets of the Trust are protected and preserved to the maximum extent achievable;</w:t>
      </w:r>
    </w:p>
    <w:p w14:paraId="5EA732AD"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invest the assets of the Trust in accordance with the investment policy determined from time to time by the Board of Vision Australia (“VA Board’) and the Audit, Finance and Business Risk Committee of Vision Australia;</w:t>
      </w:r>
    </w:p>
    <w:p w14:paraId="5EA732AE"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strike an appropriate balance between the maximisation of return on investments and safeguarding the assets of the Trust by determining and implementing appropriate risk management systems;</w:t>
      </w:r>
    </w:p>
    <w:p w14:paraId="5EA732AF"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to select an Investment Manager;</w:t>
      </w:r>
    </w:p>
    <w:p w14:paraId="5EA732B0"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to oversee the discharge of responsibilities with respect to:</w:t>
      </w:r>
    </w:p>
    <w:p w14:paraId="5EA732B1"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the financial statements, financial report and annual reporting</w:t>
      </w:r>
    </w:p>
    <w:p w14:paraId="5EA732B2"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compliance with regulatory requirements</w:t>
      </w:r>
    </w:p>
    <w:p w14:paraId="5EA732B3"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protection of the Trust’s Capital and</w:t>
      </w:r>
    </w:p>
    <w:p w14:paraId="5EA732B4" w14:textId="77777777" w:rsidR="00483BE4" w:rsidRPr="00483BE4" w:rsidRDefault="00483BE4" w:rsidP="00230978">
      <w:pPr>
        <w:numPr>
          <w:ilvl w:val="0"/>
          <w:numId w:val="11"/>
        </w:numPr>
        <w:tabs>
          <w:tab w:val="clear" w:pos="720"/>
          <w:tab w:val="num" w:pos="426"/>
        </w:tabs>
        <w:autoSpaceDE w:val="0"/>
        <w:autoSpaceDN w:val="0"/>
        <w:adjustRightInd w:val="0"/>
        <w:ind w:left="426" w:hanging="426"/>
        <w:rPr>
          <w:rFonts w:cs="Arial"/>
          <w:sz w:val="22"/>
          <w:szCs w:val="22"/>
        </w:rPr>
      </w:pPr>
      <w:proofErr w:type="gramStart"/>
      <w:r w:rsidRPr="00230978">
        <w:rPr>
          <w:sz w:val="22"/>
        </w:rPr>
        <w:t>appropriate</w:t>
      </w:r>
      <w:proofErr w:type="gramEnd"/>
      <w:r w:rsidRPr="00230978">
        <w:rPr>
          <w:sz w:val="22"/>
        </w:rPr>
        <w:t xml:space="preserve"> risk management systems. </w:t>
      </w:r>
    </w:p>
    <w:p w14:paraId="5EA732B5" w14:textId="77777777" w:rsidR="004166B9" w:rsidRDefault="004166B9" w:rsidP="002206F9">
      <w:pPr>
        <w:rPr>
          <w:rFonts w:cs="Arial"/>
          <w:sz w:val="22"/>
          <w:szCs w:val="22"/>
        </w:rPr>
      </w:pPr>
    </w:p>
    <w:p w14:paraId="5EA732B6" w14:textId="012F99DB" w:rsidR="004166B9" w:rsidRPr="00EE5A6D" w:rsidRDefault="004166B9" w:rsidP="002206F9">
      <w:pPr>
        <w:rPr>
          <w:rFonts w:cs="Arial"/>
          <w:sz w:val="22"/>
          <w:szCs w:val="22"/>
        </w:rPr>
      </w:pPr>
      <w:r>
        <w:rPr>
          <w:rFonts w:cs="Arial"/>
          <w:sz w:val="22"/>
          <w:szCs w:val="22"/>
        </w:rPr>
        <w:t xml:space="preserve">The </w:t>
      </w:r>
      <w:r w:rsidR="00604A3C">
        <w:rPr>
          <w:rFonts w:cs="Arial"/>
          <w:sz w:val="22"/>
          <w:szCs w:val="22"/>
        </w:rPr>
        <w:t xml:space="preserve">Charter of the </w:t>
      </w:r>
      <w:r>
        <w:rPr>
          <w:rFonts w:cs="Arial"/>
          <w:sz w:val="22"/>
          <w:szCs w:val="22"/>
        </w:rPr>
        <w:t xml:space="preserve">Vision Australia Foundation as Trustee of the Vision Australia Trust can </w:t>
      </w:r>
      <w:r w:rsidRPr="001C1AE4">
        <w:rPr>
          <w:rFonts w:cs="Arial"/>
          <w:sz w:val="22"/>
          <w:szCs w:val="22"/>
        </w:rPr>
        <w:t>be</w:t>
      </w:r>
      <w:r w:rsidR="008E4F55" w:rsidRPr="001C1AE4">
        <w:rPr>
          <w:rFonts w:cs="Arial"/>
          <w:sz w:val="22"/>
          <w:szCs w:val="22"/>
        </w:rPr>
        <w:t xml:space="preserve"> found on the Vision Australia w</w:t>
      </w:r>
      <w:r w:rsidRPr="001C1AE4">
        <w:rPr>
          <w:rFonts w:cs="Arial"/>
          <w:sz w:val="22"/>
          <w:szCs w:val="22"/>
        </w:rPr>
        <w:t xml:space="preserve">ebsite </w:t>
      </w:r>
      <w:r w:rsidR="005C1CCD">
        <w:rPr>
          <w:rFonts w:cs="Arial"/>
          <w:sz w:val="22"/>
          <w:szCs w:val="22"/>
        </w:rPr>
        <w:t>via</w:t>
      </w:r>
      <w:r w:rsidR="001C1AE4" w:rsidRPr="001C1AE4">
        <w:rPr>
          <w:rFonts w:cs="Arial"/>
          <w:sz w:val="22"/>
          <w:szCs w:val="22"/>
        </w:rPr>
        <w:t xml:space="preserve"> </w:t>
      </w:r>
      <w:hyperlink r:id="rId23" w:history="1">
        <w:r w:rsidR="005C1CCD" w:rsidRPr="005C1CCD">
          <w:rPr>
            <w:rStyle w:val="Hyperlink"/>
            <w:rFonts w:cs="Arial"/>
            <w:sz w:val="22"/>
            <w:szCs w:val="22"/>
          </w:rPr>
          <w:t>this link</w:t>
        </w:r>
      </w:hyperlink>
      <w:r w:rsidR="005C1CCD">
        <w:rPr>
          <w:rFonts w:cs="Arial"/>
          <w:sz w:val="22"/>
          <w:szCs w:val="22"/>
        </w:rPr>
        <w:t>.</w:t>
      </w:r>
    </w:p>
    <w:p w14:paraId="5EA732B7" w14:textId="77777777" w:rsidR="004441A8" w:rsidRPr="00B64EBB" w:rsidRDefault="004441A8" w:rsidP="002206F9">
      <w:pPr>
        <w:rPr>
          <w:rFonts w:cs="Arial"/>
          <w:sz w:val="18"/>
          <w:szCs w:val="22"/>
          <w:highlight w:val="yellow"/>
        </w:rPr>
      </w:pPr>
    </w:p>
    <w:p w14:paraId="00BDE591" w14:textId="77777777" w:rsidR="00A07FE0" w:rsidRDefault="00A07FE0">
      <w:pPr>
        <w:rPr>
          <w:rFonts w:cs="Arial"/>
          <w:sz w:val="22"/>
          <w:szCs w:val="22"/>
        </w:rPr>
      </w:pPr>
      <w:r>
        <w:rPr>
          <w:rFonts w:cs="Arial"/>
          <w:sz w:val="22"/>
          <w:szCs w:val="22"/>
        </w:rPr>
        <w:br w:type="page"/>
      </w:r>
    </w:p>
    <w:p w14:paraId="5EA732B8" w14:textId="6DA226F8" w:rsidR="004441A8" w:rsidRPr="00B9282D" w:rsidRDefault="004441A8" w:rsidP="002206F9">
      <w:pPr>
        <w:rPr>
          <w:rFonts w:cs="Arial"/>
          <w:sz w:val="22"/>
          <w:szCs w:val="22"/>
        </w:rPr>
      </w:pPr>
      <w:r w:rsidRPr="00B9282D">
        <w:rPr>
          <w:rFonts w:cs="Arial"/>
          <w:sz w:val="22"/>
          <w:szCs w:val="22"/>
        </w:rPr>
        <w:lastRenderedPageBreak/>
        <w:t>Directors</w:t>
      </w:r>
      <w:r w:rsidR="002041A9">
        <w:rPr>
          <w:rFonts w:cs="Arial"/>
          <w:sz w:val="22"/>
          <w:szCs w:val="22"/>
        </w:rPr>
        <w:t xml:space="preserve"> of the Foundation </w:t>
      </w:r>
      <w:r w:rsidRPr="00B9282D">
        <w:rPr>
          <w:rFonts w:cs="Arial"/>
          <w:sz w:val="22"/>
          <w:szCs w:val="22"/>
        </w:rPr>
        <w:t>during the year were:</w:t>
      </w:r>
    </w:p>
    <w:p w14:paraId="5EA732B9" w14:textId="77777777" w:rsidR="004441A8" w:rsidRPr="00B64EBB" w:rsidRDefault="004441A8" w:rsidP="002206F9">
      <w:pPr>
        <w:tabs>
          <w:tab w:val="left" w:pos="2579"/>
        </w:tabs>
        <w:rPr>
          <w:rFonts w:cs="Arial"/>
          <w:sz w:val="12"/>
          <w:szCs w:val="22"/>
        </w:rPr>
      </w:pPr>
      <w:r w:rsidRPr="00B64EBB">
        <w:rPr>
          <w:rFonts w:cs="Arial"/>
          <w:sz w:val="12"/>
          <w:szCs w:val="22"/>
        </w:rPr>
        <w:tab/>
      </w:r>
    </w:p>
    <w:p w14:paraId="5EA732BA" w14:textId="77777777" w:rsidR="004441A8" w:rsidRPr="00B9282D" w:rsidRDefault="004441A8" w:rsidP="002206F9">
      <w:pPr>
        <w:rPr>
          <w:rFonts w:cs="Arial"/>
          <w:sz w:val="22"/>
          <w:szCs w:val="22"/>
        </w:rPr>
      </w:pPr>
      <w:r w:rsidRPr="00B9282D">
        <w:rPr>
          <w:rFonts w:cs="Arial"/>
          <w:sz w:val="22"/>
          <w:szCs w:val="22"/>
        </w:rPr>
        <w:t>Andrew Moffat (Chair)</w:t>
      </w:r>
    </w:p>
    <w:p w14:paraId="5EA732BB" w14:textId="77777777" w:rsidR="004441A8" w:rsidRDefault="004441A8" w:rsidP="002206F9">
      <w:pPr>
        <w:rPr>
          <w:rFonts w:cs="Arial"/>
          <w:sz w:val="22"/>
          <w:szCs w:val="22"/>
        </w:rPr>
      </w:pPr>
      <w:r w:rsidRPr="00B9282D">
        <w:rPr>
          <w:rFonts w:cs="Arial"/>
          <w:sz w:val="22"/>
          <w:szCs w:val="22"/>
        </w:rPr>
        <w:t>Roger Zimmerman</w:t>
      </w:r>
    </w:p>
    <w:p w14:paraId="5EA732BC" w14:textId="77777777" w:rsidR="00A74A5D" w:rsidRPr="00B9282D" w:rsidRDefault="00A74A5D" w:rsidP="002206F9">
      <w:pPr>
        <w:rPr>
          <w:rFonts w:cs="Arial"/>
          <w:sz w:val="22"/>
          <w:szCs w:val="22"/>
        </w:rPr>
      </w:pPr>
      <w:r>
        <w:rPr>
          <w:rFonts w:cs="Arial"/>
          <w:sz w:val="22"/>
          <w:szCs w:val="22"/>
        </w:rPr>
        <w:t>Kevin Murfitt</w:t>
      </w:r>
    </w:p>
    <w:p w14:paraId="5EA732BD" w14:textId="77777777" w:rsidR="004441A8" w:rsidRPr="00B9282D" w:rsidRDefault="004441A8" w:rsidP="002206F9">
      <w:pPr>
        <w:rPr>
          <w:rFonts w:cs="Arial"/>
          <w:sz w:val="22"/>
          <w:szCs w:val="22"/>
        </w:rPr>
      </w:pPr>
      <w:r w:rsidRPr="00B9282D">
        <w:rPr>
          <w:rFonts w:cs="Arial"/>
          <w:sz w:val="22"/>
          <w:szCs w:val="22"/>
        </w:rPr>
        <w:t xml:space="preserve">Ron Hooton </w:t>
      </w:r>
    </w:p>
    <w:p w14:paraId="5EA732BE" w14:textId="77777777" w:rsidR="004441A8" w:rsidRPr="00B9282D" w:rsidRDefault="004441A8" w:rsidP="002206F9">
      <w:pPr>
        <w:rPr>
          <w:rFonts w:cs="Arial"/>
          <w:sz w:val="22"/>
          <w:szCs w:val="22"/>
        </w:rPr>
      </w:pPr>
      <w:r w:rsidRPr="00B9282D">
        <w:rPr>
          <w:rFonts w:cs="Arial"/>
          <w:sz w:val="22"/>
          <w:szCs w:val="22"/>
        </w:rPr>
        <w:t xml:space="preserve">Sara Watts </w:t>
      </w:r>
    </w:p>
    <w:p w14:paraId="5EA732BF" w14:textId="000BDE90" w:rsidR="004441A8" w:rsidRPr="00B9282D" w:rsidRDefault="004441A8" w:rsidP="002206F9">
      <w:pPr>
        <w:rPr>
          <w:rFonts w:cs="Arial"/>
          <w:sz w:val="22"/>
          <w:szCs w:val="22"/>
        </w:rPr>
      </w:pPr>
      <w:r w:rsidRPr="00B9282D">
        <w:rPr>
          <w:rFonts w:cs="Arial"/>
          <w:sz w:val="22"/>
          <w:szCs w:val="22"/>
        </w:rPr>
        <w:t>David Speyer (Secretary)</w:t>
      </w:r>
    </w:p>
    <w:p w14:paraId="5EA732C0" w14:textId="77777777" w:rsidR="00EB27E7" w:rsidRDefault="00B2767F" w:rsidP="002206F9">
      <w:pPr>
        <w:rPr>
          <w:rFonts w:cs="Arial"/>
          <w:sz w:val="22"/>
          <w:szCs w:val="22"/>
        </w:rPr>
      </w:pPr>
      <w:r>
        <w:rPr>
          <w:rFonts w:cs="Arial"/>
          <w:sz w:val="22"/>
          <w:szCs w:val="22"/>
        </w:rPr>
        <w:t>Tim Boyle</w:t>
      </w:r>
    </w:p>
    <w:p w14:paraId="5EA732C1" w14:textId="1FC06F7F" w:rsidR="00A74A5D" w:rsidRDefault="00A74A5D" w:rsidP="002206F9">
      <w:pPr>
        <w:rPr>
          <w:rFonts w:cs="Arial"/>
          <w:sz w:val="22"/>
          <w:szCs w:val="22"/>
        </w:rPr>
      </w:pPr>
      <w:r>
        <w:rPr>
          <w:rFonts w:cs="Arial"/>
          <w:sz w:val="22"/>
          <w:szCs w:val="22"/>
        </w:rPr>
        <w:t>David Hodgson</w:t>
      </w:r>
      <w:r w:rsidR="00890219">
        <w:rPr>
          <w:rFonts w:cs="Arial"/>
          <w:sz w:val="22"/>
          <w:szCs w:val="22"/>
        </w:rPr>
        <w:t xml:space="preserve"> (appointed 18 June 2015)</w:t>
      </w:r>
    </w:p>
    <w:p w14:paraId="5EA732C2" w14:textId="133E0382" w:rsidR="00A74A5D" w:rsidRPr="00B9282D" w:rsidRDefault="00A74A5D" w:rsidP="002206F9">
      <w:pPr>
        <w:rPr>
          <w:rFonts w:cs="Arial"/>
          <w:sz w:val="22"/>
          <w:szCs w:val="22"/>
        </w:rPr>
      </w:pPr>
      <w:r>
        <w:rPr>
          <w:rFonts w:cs="Arial"/>
          <w:sz w:val="22"/>
          <w:szCs w:val="22"/>
        </w:rPr>
        <w:t>Nick Carter</w:t>
      </w:r>
      <w:r w:rsidR="00890219">
        <w:rPr>
          <w:rFonts w:cs="Arial"/>
          <w:sz w:val="22"/>
          <w:szCs w:val="22"/>
        </w:rPr>
        <w:t xml:space="preserve"> (appointed 18 June 2015)</w:t>
      </w:r>
    </w:p>
    <w:p w14:paraId="5EA732C3" w14:textId="77777777" w:rsidR="004441A8" w:rsidRPr="00B64EBB" w:rsidRDefault="004441A8" w:rsidP="002206F9">
      <w:pPr>
        <w:rPr>
          <w:rFonts w:cs="Arial"/>
          <w:sz w:val="12"/>
          <w:szCs w:val="22"/>
        </w:rPr>
      </w:pPr>
    </w:p>
    <w:p w14:paraId="5EA732C4" w14:textId="77777777" w:rsidR="004441A8" w:rsidRPr="00F210E2" w:rsidRDefault="004441A8" w:rsidP="00431251"/>
    <w:p w14:paraId="5EA732C5" w14:textId="77777777" w:rsidR="004441A8" w:rsidRPr="00313D6B" w:rsidRDefault="004441A8" w:rsidP="00431251">
      <w:pPr>
        <w:pStyle w:val="Heading4"/>
        <w:jc w:val="left"/>
      </w:pPr>
      <w:r w:rsidRPr="00313D6B">
        <w:t>Property Committee</w:t>
      </w:r>
    </w:p>
    <w:p w14:paraId="5EA732C6" w14:textId="77777777" w:rsidR="004441A8" w:rsidRPr="00431251" w:rsidRDefault="004441A8" w:rsidP="00431251">
      <w:pPr>
        <w:rPr>
          <w:sz w:val="22"/>
          <w:szCs w:val="22"/>
        </w:rPr>
      </w:pPr>
    </w:p>
    <w:p w14:paraId="5EA732C7" w14:textId="77777777" w:rsidR="004441A8" w:rsidRPr="00431251" w:rsidRDefault="004441A8" w:rsidP="00431251">
      <w:pPr>
        <w:rPr>
          <w:rFonts w:cs="Arial"/>
          <w:sz w:val="22"/>
          <w:szCs w:val="22"/>
        </w:rPr>
      </w:pPr>
      <w:r w:rsidRPr="00431251">
        <w:rPr>
          <w:sz w:val="22"/>
          <w:szCs w:val="22"/>
        </w:rPr>
        <w:t>A Property Committee is established to provide strategic property advice to management</w:t>
      </w:r>
      <w:r w:rsidRPr="00431251">
        <w:rPr>
          <w:rFonts w:cs="Arial"/>
          <w:sz w:val="22"/>
          <w:szCs w:val="22"/>
        </w:rPr>
        <w:t xml:space="preserve"> and to monitor and review Vision Australia Limited’s property planning, development and maintenance policies.</w:t>
      </w:r>
    </w:p>
    <w:p w14:paraId="5EA732C8" w14:textId="77777777" w:rsidR="004441A8" w:rsidRPr="00431251" w:rsidRDefault="004441A8" w:rsidP="00431251">
      <w:pPr>
        <w:rPr>
          <w:rFonts w:cs="Arial"/>
          <w:sz w:val="22"/>
          <w:szCs w:val="22"/>
        </w:rPr>
      </w:pPr>
    </w:p>
    <w:p w14:paraId="5EA732C9" w14:textId="77777777" w:rsidR="004441A8" w:rsidRPr="00B9282D" w:rsidRDefault="004441A8" w:rsidP="002206F9">
      <w:pPr>
        <w:rPr>
          <w:rFonts w:cs="Arial"/>
          <w:sz w:val="22"/>
          <w:szCs w:val="22"/>
        </w:rPr>
      </w:pPr>
      <w:r w:rsidRPr="00B9282D">
        <w:rPr>
          <w:rFonts w:cs="Arial"/>
          <w:sz w:val="22"/>
          <w:szCs w:val="22"/>
        </w:rPr>
        <w:t>Members of the Committee during the year were:</w:t>
      </w:r>
    </w:p>
    <w:p w14:paraId="5EA732CA" w14:textId="77777777" w:rsidR="004441A8" w:rsidRPr="00B9282D" w:rsidRDefault="004441A8" w:rsidP="002206F9">
      <w:pPr>
        <w:rPr>
          <w:rFonts w:cs="Arial"/>
          <w:sz w:val="16"/>
          <w:szCs w:val="22"/>
        </w:rPr>
      </w:pPr>
    </w:p>
    <w:p w14:paraId="5EA732CB" w14:textId="77777777" w:rsidR="004441A8" w:rsidRPr="00B64EBB" w:rsidRDefault="004441A8" w:rsidP="002206F9">
      <w:pPr>
        <w:rPr>
          <w:rFonts w:cs="Arial"/>
          <w:sz w:val="22"/>
          <w:szCs w:val="22"/>
        </w:rPr>
      </w:pPr>
      <w:r w:rsidRPr="00B64EBB">
        <w:rPr>
          <w:rFonts w:cs="Arial"/>
          <w:sz w:val="22"/>
          <w:szCs w:val="22"/>
        </w:rPr>
        <w:t>Nick Carter (Chair)</w:t>
      </w:r>
    </w:p>
    <w:p w14:paraId="5EA732CC" w14:textId="77777777" w:rsidR="004441A8" w:rsidRDefault="004441A8" w:rsidP="002206F9">
      <w:pPr>
        <w:rPr>
          <w:rFonts w:cs="Arial"/>
          <w:sz w:val="22"/>
          <w:szCs w:val="22"/>
        </w:rPr>
      </w:pPr>
      <w:r w:rsidRPr="00B9282D">
        <w:rPr>
          <w:rFonts w:cs="Arial"/>
          <w:sz w:val="22"/>
          <w:szCs w:val="22"/>
        </w:rPr>
        <w:t>Kevin Murfitt</w:t>
      </w:r>
    </w:p>
    <w:p w14:paraId="5EA732CD" w14:textId="77777777" w:rsidR="004441A8" w:rsidRDefault="004441A8" w:rsidP="002206F9">
      <w:pPr>
        <w:rPr>
          <w:rFonts w:cs="Arial"/>
          <w:sz w:val="22"/>
          <w:szCs w:val="22"/>
        </w:rPr>
      </w:pPr>
      <w:r>
        <w:rPr>
          <w:rFonts w:cs="Arial"/>
          <w:sz w:val="22"/>
          <w:szCs w:val="22"/>
        </w:rPr>
        <w:t>Lyn Allison</w:t>
      </w:r>
    </w:p>
    <w:p w14:paraId="5EA732CE" w14:textId="77777777" w:rsidR="004166B9" w:rsidRDefault="004166B9" w:rsidP="002206F9">
      <w:pPr>
        <w:rPr>
          <w:rFonts w:cs="Arial"/>
          <w:sz w:val="22"/>
          <w:szCs w:val="22"/>
        </w:rPr>
      </w:pPr>
      <w:r>
        <w:rPr>
          <w:rFonts w:cs="Arial"/>
          <w:sz w:val="22"/>
          <w:szCs w:val="22"/>
        </w:rPr>
        <w:t>Heith Mackay-Cruise</w:t>
      </w:r>
    </w:p>
    <w:p w14:paraId="5EA732CF" w14:textId="77777777" w:rsidR="004441A8" w:rsidRPr="00EE5A6D" w:rsidRDefault="004441A8" w:rsidP="002206F9">
      <w:pPr>
        <w:rPr>
          <w:rFonts w:cs="Arial"/>
          <w:sz w:val="22"/>
          <w:szCs w:val="22"/>
        </w:rPr>
      </w:pPr>
      <w:r>
        <w:rPr>
          <w:rFonts w:cs="Arial"/>
          <w:sz w:val="22"/>
          <w:szCs w:val="22"/>
        </w:rPr>
        <w:t xml:space="preserve">David Hodgson </w:t>
      </w:r>
      <w:r w:rsidR="00FA66B8">
        <w:rPr>
          <w:rFonts w:cs="Arial"/>
          <w:sz w:val="22"/>
          <w:szCs w:val="22"/>
        </w:rPr>
        <w:t>(</w:t>
      </w:r>
      <w:r>
        <w:rPr>
          <w:rFonts w:cs="Arial"/>
          <w:sz w:val="22"/>
          <w:szCs w:val="22"/>
        </w:rPr>
        <w:t>Co-opted member</w:t>
      </w:r>
      <w:r w:rsidR="00FA66B8">
        <w:rPr>
          <w:rFonts w:cs="Arial"/>
          <w:sz w:val="22"/>
          <w:szCs w:val="22"/>
        </w:rPr>
        <w:t xml:space="preserve">) </w:t>
      </w:r>
    </w:p>
    <w:p w14:paraId="5EA732D0" w14:textId="77777777" w:rsidR="00B2767F" w:rsidRDefault="004166B9">
      <w:pPr>
        <w:rPr>
          <w:rFonts w:cs="Arial"/>
          <w:sz w:val="22"/>
          <w:szCs w:val="22"/>
        </w:rPr>
      </w:pPr>
      <w:r>
        <w:rPr>
          <w:rFonts w:cs="Arial"/>
          <w:sz w:val="22"/>
          <w:szCs w:val="22"/>
        </w:rPr>
        <w:t>Mark Williams (Co-opted member)</w:t>
      </w:r>
    </w:p>
    <w:p w14:paraId="5EA732D1" w14:textId="77777777" w:rsidR="004166B9" w:rsidRDefault="004166B9">
      <w:pPr>
        <w:rPr>
          <w:rFonts w:cs="Arial"/>
          <w:sz w:val="22"/>
          <w:szCs w:val="22"/>
        </w:rPr>
      </w:pPr>
    </w:p>
    <w:p w14:paraId="5EA732D2" w14:textId="5ADB6CF6" w:rsidR="004441A8" w:rsidRDefault="004441A8" w:rsidP="002206F9">
      <w:pPr>
        <w:rPr>
          <w:rFonts w:cs="Arial"/>
          <w:color w:val="0000FF"/>
          <w:sz w:val="22"/>
          <w:szCs w:val="22"/>
          <w:lang w:eastAsia="en-AU"/>
        </w:rPr>
      </w:pPr>
      <w:r w:rsidRPr="001D7400">
        <w:rPr>
          <w:rFonts w:cs="Arial"/>
          <w:sz w:val="22"/>
          <w:szCs w:val="22"/>
        </w:rPr>
        <w:t>The Property Committee charter can be viewed on the Vision Australia website</w:t>
      </w:r>
      <w:r w:rsidR="007D652E" w:rsidRPr="001D7400">
        <w:rPr>
          <w:rFonts w:cs="Arial"/>
          <w:sz w:val="22"/>
          <w:szCs w:val="22"/>
        </w:rPr>
        <w:t xml:space="preserve"> </w:t>
      </w:r>
      <w:r w:rsidR="005C1CCD">
        <w:rPr>
          <w:rFonts w:cs="Arial"/>
          <w:sz w:val="22"/>
          <w:szCs w:val="22"/>
        </w:rPr>
        <w:t xml:space="preserve">via </w:t>
      </w:r>
      <w:hyperlink r:id="rId24" w:history="1">
        <w:r w:rsidR="005C1CCD" w:rsidRPr="005C1CCD">
          <w:rPr>
            <w:rStyle w:val="Hyperlink"/>
            <w:rFonts w:cs="Arial"/>
            <w:sz w:val="22"/>
            <w:szCs w:val="22"/>
          </w:rPr>
          <w:t>this link</w:t>
        </w:r>
      </w:hyperlink>
      <w:r w:rsidR="005C1CCD">
        <w:rPr>
          <w:rFonts w:cs="Arial"/>
          <w:sz w:val="22"/>
          <w:szCs w:val="22"/>
        </w:rPr>
        <w:t>.</w:t>
      </w:r>
      <w:r w:rsidR="001D7400">
        <w:rPr>
          <w:rFonts w:cs="Arial"/>
          <w:color w:val="0000FF"/>
          <w:sz w:val="22"/>
          <w:szCs w:val="22"/>
          <w:lang w:eastAsia="en-AU"/>
        </w:rPr>
        <w:t xml:space="preserve"> </w:t>
      </w:r>
    </w:p>
    <w:p w14:paraId="5EA732D3" w14:textId="77777777" w:rsidR="004441A8" w:rsidRDefault="004441A8" w:rsidP="002206F9">
      <w:pPr>
        <w:rPr>
          <w:rFonts w:cs="Arial"/>
          <w:color w:val="0000FF"/>
          <w:sz w:val="22"/>
          <w:szCs w:val="22"/>
          <w:lang w:eastAsia="en-AU"/>
        </w:rPr>
      </w:pPr>
    </w:p>
    <w:p w14:paraId="5EA732D4" w14:textId="07B5F2F3" w:rsidR="004441A8" w:rsidRPr="00431251" w:rsidRDefault="004166B9" w:rsidP="00431251">
      <w:pPr>
        <w:pStyle w:val="Heading4"/>
        <w:jc w:val="left"/>
      </w:pPr>
      <w:r w:rsidRPr="00431251">
        <w:t xml:space="preserve">People and Culture </w:t>
      </w:r>
      <w:r w:rsidR="004441A8" w:rsidRPr="00431251">
        <w:t>Committee</w:t>
      </w:r>
    </w:p>
    <w:p w14:paraId="5EA732D5" w14:textId="77777777" w:rsidR="004441A8" w:rsidRDefault="004441A8" w:rsidP="002206F9">
      <w:pPr>
        <w:rPr>
          <w:rFonts w:cs="Arial"/>
          <w:sz w:val="22"/>
          <w:szCs w:val="22"/>
        </w:rPr>
      </w:pPr>
    </w:p>
    <w:p w14:paraId="5EA732D6" w14:textId="6A360534" w:rsidR="004441A8" w:rsidRPr="00EE5A6D" w:rsidRDefault="004441A8" w:rsidP="002206F9">
      <w:pPr>
        <w:rPr>
          <w:rFonts w:cs="Arial"/>
          <w:sz w:val="22"/>
          <w:szCs w:val="22"/>
        </w:rPr>
      </w:pPr>
      <w:r w:rsidRPr="00EE5A6D">
        <w:rPr>
          <w:rFonts w:cs="Arial"/>
          <w:sz w:val="22"/>
          <w:szCs w:val="22"/>
        </w:rPr>
        <w:t xml:space="preserve">The Board has established a </w:t>
      </w:r>
      <w:r w:rsidR="004166B9">
        <w:rPr>
          <w:rFonts w:cs="Arial"/>
          <w:sz w:val="22"/>
          <w:szCs w:val="22"/>
        </w:rPr>
        <w:t xml:space="preserve">People and Culture </w:t>
      </w:r>
      <w:r w:rsidRPr="00EE5A6D">
        <w:rPr>
          <w:rFonts w:cs="Arial"/>
          <w:sz w:val="22"/>
          <w:szCs w:val="22"/>
        </w:rPr>
        <w:t xml:space="preserve">Committee governed by a charter which outlines the Committee’s roles and responsibilities, composition, structure and membership requirements.  The charter is regularly reviewed to ensure it remains consistent with the Board’s objectives and responsibilities. </w:t>
      </w:r>
    </w:p>
    <w:p w14:paraId="5EA732D7" w14:textId="77777777" w:rsidR="004441A8" w:rsidRPr="00EE5A6D" w:rsidRDefault="004441A8" w:rsidP="002206F9">
      <w:pPr>
        <w:rPr>
          <w:rFonts w:cs="Arial"/>
          <w:sz w:val="22"/>
          <w:szCs w:val="22"/>
        </w:rPr>
      </w:pPr>
    </w:p>
    <w:p w14:paraId="5EA732D8" w14:textId="77777777" w:rsidR="004441A8" w:rsidRPr="00EE5A6D" w:rsidRDefault="004441A8" w:rsidP="002206F9">
      <w:pPr>
        <w:rPr>
          <w:rFonts w:cs="Arial"/>
          <w:sz w:val="22"/>
          <w:szCs w:val="22"/>
        </w:rPr>
      </w:pPr>
      <w:r w:rsidRPr="005022A4">
        <w:rPr>
          <w:rFonts w:cs="Arial"/>
          <w:sz w:val="22"/>
          <w:szCs w:val="22"/>
        </w:rPr>
        <w:t>The main functions are to:</w:t>
      </w:r>
    </w:p>
    <w:p w14:paraId="5EA732D9" w14:textId="77777777" w:rsidR="004441A8" w:rsidRPr="00EE5A6D" w:rsidRDefault="004441A8" w:rsidP="002206F9">
      <w:pPr>
        <w:rPr>
          <w:rFonts w:cs="Arial"/>
          <w:sz w:val="20"/>
          <w:szCs w:val="22"/>
        </w:rPr>
      </w:pPr>
    </w:p>
    <w:p w14:paraId="5EA732DA" w14:textId="4123C979" w:rsidR="00483BE4" w:rsidRDefault="00483BE4" w:rsidP="0031284D">
      <w:pPr>
        <w:numPr>
          <w:ilvl w:val="0"/>
          <w:numId w:val="11"/>
        </w:numPr>
        <w:tabs>
          <w:tab w:val="clear" w:pos="720"/>
          <w:tab w:val="num" w:pos="426"/>
        </w:tabs>
        <w:autoSpaceDE w:val="0"/>
        <w:autoSpaceDN w:val="0"/>
        <w:adjustRightInd w:val="0"/>
        <w:ind w:left="426" w:hanging="426"/>
        <w:rPr>
          <w:rFonts w:cs="Arial"/>
          <w:sz w:val="22"/>
          <w:szCs w:val="22"/>
        </w:rPr>
      </w:pPr>
      <w:r>
        <w:rPr>
          <w:rFonts w:cs="Arial"/>
          <w:sz w:val="22"/>
          <w:szCs w:val="22"/>
        </w:rPr>
        <w:t>m</w:t>
      </w:r>
      <w:r w:rsidRPr="00230978">
        <w:rPr>
          <w:sz w:val="22"/>
        </w:rPr>
        <w:t>onitor the culture of the organisation and management strategies to develop the culture consistent with the mission of the organisation, in particular compliance with values and workforce engagement</w:t>
      </w:r>
      <w:r w:rsidR="00C5319C">
        <w:rPr>
          <w:sz w:val="22"/>
        </w:rPr>
        <w:t>;</w:t>
      </w:r>
    </w:p>
    <w:p w14:paraId="5EA732DB" w14:textId="77777777" w:rsidR="004441A8" w:rsidRPr="00D16D8A"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D16D8A">
        <w:rPr>
          <w:rFonts w:cs="Arial"/>
          <w:sz w:val="22"/>
          <w:szCs w:val="22"/>
        </w:rPr>
        <w:t>recommend to the Board the appointment and the terms of engagement of a CEO;</w:t>
      </w:r>
    </w:p>
    <w:p w14:paraId="5EA732DC" w14:textId="77777777" w:rsidR="004441A8" w:rsidRPr="00D16D8A"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D16D8A">
        <w:rPr>
          <w:rFonts w:cs="Arial"/>
          <w:sz w:val="22"/>
          <w:szCs w:val="22"/>
        </w:rPr>
        <w:t>agree recommendations from the CEO on the appointment and terms of engagement of members of the senior executive who report directly to the CEO;</w:t>
      </w:r>
    </w:p>
    <w:p w14:paraId="5EA732DD" w14:textId="77777777" w:rsidR="004441A8"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D16D8A">
        <w:rPr>
          <w:rFonts w:cs="Arial"/>
          <w:sz w:val="22"/>
          <w:szCs w:val="22"/>
        </w:rPr>
        <w:t>the oversight of the general remuneration strategy (including superannuation and other benefits);</w:t>
      </w:r>
    </w:p>
    <w:p w14:paraId="5EA732DE" w14:textId="09C68E69" w:rsidR="00483BE4" w:rsidRPr="00483BE4" w:rsidRDefault="008E4F55" w:rsidP="00483BE4">
      <w:pPr>
        <w:numPr>
          <w:ilvl w:val="0"/>
          <w:numId w:val="11"/>
        </w:numPr>
        <w:tabs>
          <w:tab w:val="clear" w:pos="720"/>
          <w:tab w:val="num" w:pos="426"/>
        </w:tabs>
        <w:autoSpaceDE w:val="0"/>
        <w:autoSpaceDN w:val="0"/>
        <w:adjustRightInd w:val="0"/>
        <w:ind w:left="426" w:hanging="426"/>
        <w:rPr>
          <w:rFonts w:cs="Arial"/>
          <w:sz w:val="22"/>
          <w:szCs w:val="22"/>
        </w:rPr>
      </w:pPr>
      <w:r>
        <w:rPr>
          <w:sz w:val="22"/>
        </w:rPr>
        <w:t>m</w:t>
      </w:r>
      <w:r w:rsidR="00483BE4" w:rsidRPr="00230978">
        <w:rPr>
          <w:sz w:val="22"/>
        </w:rPr>
        <w:t>onitor empl</w:t>
      </w:r>
      <w:r w:rsidR="00483BE4" w:rsidRPr="00483BE4">
        <w:rPr>
          <w:rFonts w:cs="Arial"/>
          <w:sz w:val="22"/>
          <w:szCs w:val="22"/>
        </w:rPr>
        <w:t xml:space="preserve">oyment diversity, ensuring that </w:t>
      </w:r>
      <w:r w:rsidR="00483BE4" w:rsidRPr="00230978">
        <w:rPr>
          <w:sz w:val="22"/>
        </w:rPr>
        <w:t>the organisation’s policies regarding employment of staff who are blind or have low vision is implemented to the fullest extent possible</w:t>
      </w:r>
      <w:r w:rsidR="00483BE4">
        <w:rPr>
          <w:rFonts w:cs="Arial"/>
          <w:sz w:val="22"/>
          <w:szCs w:val="22"/>
        </w:rPr>
        <w:t>;</w:t>
      </w:r>
    </w:p>
    <w:p w14:paraId="5EA732DF" w14:textId="77777777" w:rsidR="004441A8" w:rsidRPr="00D16D8A"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D16D8A">
        <w:rPr>
          <w:rFonts w:cs="Arial"/>
          <w:sz w:val="22"/>
          <w:szCs w:val="22"/>
        </w:rPr>
        <w:t>review policy recommendations and guidelines related to significant human resource issues; and</w:t>
      </w:r>
    </w:p>
    <w:p w14:paraId="6AF15F98" w14:textId="77777777" w:rsidR="009C2E81" w:rsidRDefault="009C2E81">
      <w:pPr>
        <w:rPr>
          <w:rFonts w:cs="Arial"/>
          <w:sz w:val="22"/>
          <w:szCs w:val="22"/>
        </w:rPr>
      </w:pPr>
      <w:r>
        <w:rPr>
          <w:rFonts w:cs="Arial"/>
          <w:sz w:val="22"/>
          <w:szCs w:val="22"/>
        </w:rPr>
        <w:br w:type="page"/>
      </w:r>
    </w:p>
    <w:p w14:paraId="5EA732E0" w14:textId="5351247B" w:rsidR="004441A8" w:rsidRPr="00D16D8A"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D16D8A">
        <w:rPr>
          <w:rFonts w:cs="Arial"/>
          <w:sz w:val="22"/>
          <w:szCs w:val="22"/>
        </w:rPr>
        <w:lastRenderedPageBreak/>
        <w:t>review major human resources processes including, but not limited to:</w:t>
      </w:r>
    </w:p>
    <w:p w14:paraId="5EA732E1" w14:textId="77777777" w:rsidR="004441A8" w:rsidRPr="00EE5A6D" w:rsidRDefault="004441A8" w:rsidP="0031284D">
      <w:pPr>
        <w:pStyle w:val="NormalWeb"/>
        <w:numPr>
          <w:ilvl w:val="1"/>
          <w:numId w:val="12"/>
        </w:numPr>
        <w:tabs>
          <w:tab w:val="clear" w:pos="1800"/>
          <w:tab w:val="num" w:pos="851"/>
        </w:tabs>
        <w:spacing w:before="0" w:beforeAutospacing="0" w:after="0" w:afterAutospacing="0"/>
        <w:ind w:left="993" w:hanging="567"/>
        <w:rPr>
          <w:color w:val="auto"/>
          <w:sz w:val="22"/>
          <w:szCs w:val="22"/>
        </w:rPr>
      </w:pPr>
      <w:r w:rsidRPr="00EE5A6D">
        <w:rPr>
          <w:color w:val="auto"/>
          <w:sz w:val="22"/>
          <w:szCs w:val="22"/>
        </w:rPr>
        <w:t>Succession planning;</w:t>
      </w:r>
    </w:p>
    <w:p w14:paraId="5EA732E2" w14:textId="35728D2F" w:rsidR="004441A8" w:rsidRPr="00EE5A6D" w:rsidRDefault="00483BE4" w:rsidP="0031284D">
      <w:pPr>
        <w:pStyle w:val="NormalWeb"/>
        <w:numPr>
          <w:ilvl w:val="1"/>
          <w:numId w:val="12"/>
        </w:numPr>
        <w:tabs>
          <w:tab w:val="clear" w:pos="1800"/>
          <w:tab w:val="num" w:pos="851"/>
        </w:tabs>
        <w:spacing w:before="0" w:beforeAutospacing="0" w:after="0" w:afterAutospacing="0"/>
        <w:ind w:left="993" w:hanging="567"/>
        <w:rPr>
          <w:color w:val="auto"/>
          <w:sz w:val="22"/>
          <w:szCs w:val="22"/>
        </w:rPr>
      </w:pPr>
      <w:r>
        <w:rPr>
          <w:color w:val="auto"/>
          <w:sz w:val="22"/>
          <w:szCs w:val="22"/>
        </w:rPr>
        <w:t>Industrial</w:t>
      </w:r>
      <w:r w:rsidRPr="00EE5A6D">
        <w:rPr>
          <w:color w:val="auto"/>
          <w:sz w:val="22"/>
          <w:szCs w:val="22"/>
        </w:rPr>
        <w:t xml:space="preserve"> </w:t>
      </w:r>
      <w:r w:rsidR="004441A8" w:rsidRPr="00EE5A6D">
        <w:rPr>
          <w:color w:val="auto"/>
          <w:sz w:val="22"/>
          <w:szCs w:val="22"/>
        </w:rPr>
        <w:t>relations;</w:t>
      </w:r>
    </w:p>
    <w:p w14:paraId="5EA732E3" w14:textId="069F1021" w:rsidR="004441A8" w:rsidRPr="00EE5A6D" w:rsidRDefault="00483BE4" w:rsidP="0031284D">
      <w:pPr>
        <w:pStyle w:val="NormalWeb"/>
        <w:numPr>
          <w:ilvl w:val="1"/>
          <w:numId w:val="12"/>
        </w:numPr>
        <w:tabs>
          <w:tab w:val="clear" w:pos="1800"/>
          <w:tab w:val="num" w:pos="851"/>
        </w:tabs>
        <w:spacing w:before="0" w:beforeAutospacing="0" w:after="0" w:afterAutospacing="0"/>
        <w:ind w:left="993" w:hanging="567"/>
        <w:rPr>
          <w:color w:val="auto"/>
          <w:sz w:val="22"/>
          <w:szCs w:val="22"/>
        </w:rPr>
      </w:pPr>
      <w:r>
        <w:rPr>
          <w:color w:val="auto"/>
          <w:sz w:val="22"/>
          <w:szCs w:val="22"/>
        </w:rPr>
        <w:t xml:space="preserve">Workplace </w:t>
      </w:r>
      <w:r w:rsidR="004441A8" w:rsidRPr="00EE5A6D">
        <w:rPr>
          <w:color w:val="auto"/>
          <w:sz w:val="22"/>
          <w:szCs w:val="22"/>
        </w:rPr>
        <w:t>health and safety; and</w:t>
      </w:r>
    </w:p>
    <w:p w14:paraId="5EA732E4" w14:textId="77777777" w:rsidR="004441A8" w:rsidRPr="00EE5A6D" w:rsidRDefault="004441A8" w:rsidP="0031284D">
      <w:pPr>
        <w:pStyle w:val="NormalWeb"/>
        <w:numPr>
          <w:ilvl w:val="1"/>
          <w:numId w:val="12"/>
        </w:numPr>
        <w:tabs>
          <w:tab w:val="clear" w:pos="1800"/>
          <w:tab w:val="num" w:pos="851"/>
        </w:tabs>
        <w:spacing w:before="0" w:beforeAutospacing="0" w:after="0" w:afterAutospacing="0"/>
        <w:ind w:left="993" w:hanging="567"/>
        <w:rPr>
          <w:color w:val="auto"/>
          <w:sz w:val="22"/>
          <w:szCs w:val="22"/>
        </w:rPr>
      </w:pPr>
      <w:r w:rsidRPr="00EE5A6D">
        <w:rPr>
          <w:color w:val="auto"/>
          <w:sz w:val="22"/>
          <w:szCs w:val="22"/>
        </w:rPr>
        <w:t>Professional development.</w:t>
      </w:r>
    </w:p>
    <w:p w14:paraId="5EA732E5" w14:textId="77777777" w:rsidR="004441A8" w:rsidRDefault="004441A8" w:rsidP="002206F9">
      <w:pPr>
        <w:rPr>
          <w:rFonts w:cs="Arial"/>
          <w:sz w:val="20"/>
          <w:szCs w:val="22"/>
          <w:highlight w:val="yellow"/>
        </w:rPr>
      </w:pPr>
    </w:p>
    <w:p w14:paraId="5EA732E6" w14:textId="77777777" w:rsidR="00343F79" w:rsidRPr="00156683" w:rsidRDefault="00343F79" w:rsidP="002206F9">
      <w:pPr>
        <w:rPr>
          <w:rFonts w:cs="Arial"/>
          <w:sz w:val="22"/>
          <w:szCs w:val="22"/>
        </w:rPr>
      </w:pPr>
      <w:r w:rsidRPr="00156683">
        <w:rPr>
          <w:rFonts w:cs="Arial"/>
          <w:sz w:val="22"/>
          <w:szCs w:val="22"/>
        </w:rPr>
        <w:t>Committee members during the year were:</w:t>
      </w:r>
    </w:p>
    <w:p w14:paraId="5EA732E7" w14:textId="77777777" w:rsidR="00343F79" w:rsidRPr="005022A4" w:rsidRDefault="00343F79" w:rsidP="002206F9">
      <w:pPr>
        <w:rPr>
          <w:rFonts w:cs="Arial"/>
          <w:sz w:val="22"/>
          <w:szCs w:val="22"/>
        </w:rPr>
      </w:pPr>
    </w:p>
    <w:p w14:paraId="5EA732E8" w14:textId="77777777" w:rsidR="00343F79" w:rsidRPr="005022A4" w:rsidRDefault="00343F79" w:rsidP="002206F9">
      <w:pPr>
        <w:rPr>
          <w:rFonts w:cs="Arial"/>
          <w:sz w:val="22"/>
          <w:szCs w:val="22"/>
        </w:rPr>
      </w:pPr>
      <w:r w:rsidRPr="005022A4">
        <w:rPr>
          <w:rFonts w:cs="Arial"/>
          <w:sz w:val="22"/>
          <w:szCs w:val="22"/>
        </w:rPr>
        <w:t>Theresa Smith-Ruig (Chair)</w:t>
      </w:r>
    </w:p>
    <w:p w14:paraId="5EA732E9" w14:textId="77777777" w:rsidR="00343F79" w:rsidRDefault="00343F79" w:rsidP="002206F9">
      <w:pPr>
        <w:rPr>
          <w:rFonts w:cs="Arial"/>
          <w:sz w:val="22"/>
          <w:szCs w:val="22"/>
        </w:rPr>
      </w:pPr>
      <w:r w:rsidRPr="005022A4">
        <w:rPr>
          <w:rFonts w:cs="Arial"/>
          <w:sz w:val="22"/>
          <w:szCs w:val="22"/>
        </w:rPr>
        <w:t>Kevin Murfitt</w:t>
      </w:r>
    </w:p>
    <w:p w14:paraId="304297C9" w14:textId="2F21F008" w:rsidR="00A07FE0" w:rsidRPr="005022A4" w:rsidRDefault="00A07FE0" w:rsidP="002206F9">
      <w:pPr>
        <w:rPr>
          <w:rFonts w:cs="Arial"/>
          <w:sz w:val="22"/>
          <w:szCs w:val="22"/>
        </w:rPr>
      </w:pPr>
      <w:r>
        <w:rPr>
          <w:rFonts w:cs="Arial"/>
          <w:sz w:val="22"/>
          <w:szCs w:val="22"/>
        </w:rPr>
        <w:t>Ron McCallum</w:t>
      </w:r>
    </w:p>
    <w:p w14:paraId="5EA732EC" w14:textId="39BFAA74" w:rsidR="00483BE4" w:rsidRDefault="00A07FE0" w:rsidP="002206F9">
      <w:pPr>
        <w:rPr>
          <w:rFonts w:cs="Arial"/>
          <w:sz w:val="22"/>
          <w:szCs w:val="22"/>
        </w:rPr>
      </w:pPr>
      <w:r>
        <w:rPr>
          <w:rFonts w:cs="Arial"/>
          <w:sz w:val="22"/>
          <w:szCs w:val="22"/>
        </w:rPr>
        <w:t>Don Fraser</w:t>
      </w:r>
    </w:p>
    <w:p w14:paraId="5EA732ED" w14:textId="77777777" w:rsidR="00343F79" w:rsidRPr="005022A4" w:rsidRDefault="00343F79" w:rsidP="002206F9">
      <w:pPr>
        <w:rPr>
          <w:rFonts w:cs="Arial"/>
          <w:sz w:val="22"/>
          <w:szCs w:val="22"/>
        </w:rPr>
      </w:pPr>
      <w:r w:rsidRPr="005022A4">
        <w:rPr>
          <w:rFonts w:cs="Arial"/>
          <w:sz w:val="22"/>
          <w:szCs w:val="22"/>
        </w:rPr>
        <w:t xml:space="preserve">Heith Mackay-Cruise </w:t>
      </w:r>
    </w:p>
    <w:p w14:paraId="5EA732EE" w14:textId="77777777" w:rsidR="00343F79" w:rsidRPr="00A94A4A" w:rsidRDefault="00343F79" w:rsidP="002206F9">
      <w:pPr>
        <w:rPr>
          <w:rFonts w:cs="Arial"/>
          <w:sz w:val="20"/>
          <w:szCs w:val="22"/>
          <w:highlight w:val="yellow"/>
        </w:rPr>
      </w:pPr>
    </w:p>
    <w:p w14:paraId="5EA732EF" w14:textId="542613BB" w:rsidR="004441A8" w:rsidRPr="00EE5A6D" w:rsidRDefault="004441A8" w:rsidP="002206F9">
      <w:pPr>
        <w:rPr>
          <w:rFonts w:cs="Arial"/>
          <w:sz w:val="22"/>
          <w:szCs w:val="22"/>
        </w:rPr>
      </w:pPr>
      <w:r w:rsidRPr="007041B8">
        <w:rPr>
          <w:rFonts w:cs="Arial"/>
          <w:sz w:val="22"/>
          <w:szCs w:val="22"/>
        </w:rPr>
        <w:t xml:space="preserve">Note that all policies and charters mentioned above are posted on our website </w:t>
      </w:r>
      <w:r w:rsidR="005C1CCD">
        <w:rPr>
          <w:rFonts w:cs="Arial"/>
          <w:sz w:val="22"/>
          <w:szCs w:val="22"/>
        </w:rPr>
        <w:t>at</w:t>
      </w:r>
      <w:r w:rsidRPr="007041B8">
        <w:rPr>
          <w:rFonts w:cs="Arial"/>
          <w:sz w:val="22"/>
          <w:szCs w:val="22"/>
        </w:rPr>
        <w:t xml:space="preserve"> </w:t>
      </w:r>
      <w:hyperlink r:id="rId25" w:history="1">
        <w:r w:rsidR="005C1CCD" w:rsidRPr="005C1CCD">
          <w:rPr>
            <w:rStyle w:val="Hyperlink"/>
            <w:rFonts w:cs="Arial"/>
            <w:sz w:val="22"/>
            <w:szCs w:val="22"/>
          </w:rPr>
          <w:t>this link</w:t>
        </w:r>
      </w:hyperlink>
      <w:r w:rsidR="005C1CCD">
        <w:rPr>
          <w:rFonts w:cs="Arial"/>
          <w:sz w:val="22"/>
          <w:szCs w:val="22"/>
        </w:rPr>
        <w:t>.</w:t>
      </w:r>
    </w:p>
    <w:p w14:paraId="5EA732F0" w14:textId="77777777" w:rsidR="004441A8" w:rsidRDefault="004441A8" w:rsidP="002206F9">
      <w:pPr>
        <w:rPr>
          <w:rFonts w:cs="Arial"/>
          <w:color w:val="0000FF"/>
          <w:sz w:val="22"/>
          <w:szCs w:val="22"/>
          <w:lang w:eastAsia="en-AU"/>
        </w:rPr>
      </w:pPr>
    </w:p>
    <w:p w14:paraId="5EA732F1" w14:textId="77777777" w:rsidR="004441A8" w:rsidRPr="00313D6B" w:rsidRDefault="004441A8" w:rsidP="00431251">
      <w:pPr>
        <w:pStyle w:val="Heading4"/>
        <w:jc w:val="left"/>
      </w:pPr>
      <w:r w:rsidRPr="00313D6B">
        <w:t xml:space="preserve">Client Services Committee </w:t>
      </w:r>
    </w:p>
    <w:p w14:paraId="5EA732F2" w14:textId="77777777" w:rsidR="004441A8" w:rsidRPr="00EE5A6D" w:rsidRDefault="004441A8" w:rsidP="002206F9">
      <w:pPr>
        <w:rPr>
          <w:rFonts w:cs="Arial"/>
          <w:sz w:val="22"/>
          <w:szCs w:val="22"/>
        </w:rPr>
      </w:pPr>
    </w:p>
    <w:p w14:paraId="5EA732F3" w14:textId="14F500F3" w:rsidR="004441A8" w:rsidRDefault="004441A8" w:rsidP="002206F9">
      <w:pPr>
        <w:autoSpaceDE w:val="0"/>
        <w:autoSpaceDN w:val="0"/>
        <w:adjustRightInd w:val="0"/>
        <w:rPr>
          <w:rFonts w:cs="Arial"/>
          <w:sz w:val="22"/>
          <w:szCs w:val="22"/>
        </w:rPr>
      </w:pPr>
      <w:r w:rsidRPr="00EE5A6D">
        <w:rPr>
          <w:rFonts w:cs="Arial"/>
          <w:sz w:val="22"/>
          <w:szCs w:val="22"/>
        </w:rPr>
        <w:t>The role of the Client Services Committee is to provide strategic advice to management and to provide a mechanism to review, assess and recommend client services policies and procedures to the Board. The Committee has strong client participation to ensure that services are designed to meet client needs</w:t>
      </w:r>
      <w:r w:rsidR="00C5319C">
        <w:rPr>
          <w:rFonts w:cs="Arial"/>
          <w:sz w:val="22"/>
          <w:szCs w:val="22"/>
        </w:rPr>
        <w:t>.</w:t>
      </w:r>
    </w:p>
    <w:p w14:paraId="5EA732F6" w14:textId="074B666C" w:rsidR="004441A8" w:rsidRPr="00EE5A6D" w:rsidRDefault="004441A8" w:rsidP="002206F9">
      <w:pPr>
        <w:pStyle w:val="NormalWeb"/>
        <w:spacing w:before="0" w:beforeAutospacing="0" w:after="0" w:afterAutospacing="0"/>
        <w:rPr>
          <w:color w:val="auto"/>
          <w:sz w:val="22"/>
          <w:szCs w:val="22"/>
        </w:rPr>
      </w:pPr>
    </w:p>
    <w:p w14:paraId="6645A505" w14:textId="77777777" w:rsidR="00A07FE0" w:rsidRDefault="00483BE4" w:rsidP="00230978">
      <w:pPr>
        <w:autoSpaceDE w:val="0"/>
        <w:autoSpaceDN w:val="0"/>
        <w:adjustRightInd w:val="0"/>
        <w:rPr>
          <w:sz w:val="22"/>
        </w:rPr>
      </w:pPr>
      <w:r w:rsidRPr="00230978">
        <w:rPr>
          <w:sz w:val="22"/>
        </w:rPr>
        <w:t>The role of the Committee is to provide governance oversight of:</w:t>
      </w:r>
    </w:p>
    <w:p w14:paraId="5EA732FC" w14:textId="18D8AD5A" w:rsidR="00483BE4" w:rsidRPr="00230978" w:rsidRDefault="00483BE4" w:rsidP="00230978">
      <w:pPr>
        <w:autoSpaceDE w:val="0"/>
        <w:autoSpaceDN w:val="0"/>
        <w:adjustRightInd w:val="0"/>
        <w:rPr>
          <w:sz w:val="22"/>
        </w:rPr>
      </w:pPr>
      <w:r w:rsidRPr="00230978">
        <w:rPr>
          <w:sz w:val="22"/>
        </w:rPr>
        <w:t xml:space="preserve"> </w:t>
      </w:r>
    </w:p>
    <w:p w14:paraId="5EA732FD" w14:textId="33DA9CF4"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 xml:space="preserve">the Organisation’s engagement with clients where this identifies emerging trends in service delivery need </w:t>
      </w:r>
      <w:r w:rsidR="008E4F55">
        <w:rPr>
          <w:sz w:val="22"/>
        </w:rPr>
        <w:t>or issues with current services;</w:t>
      </w:r>
      <w:r w:rsidRPr="00230978">
        <w:rPr>
          <w:sz w:val="22"/>
        </w:rPr>
        <w:t xml:space="preserve"> </w:t>
      </w:r>
    </w:p>
    <w:p w14:paraId="5EA732FE" w14:textId="51F60E2F"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the quality of services provided to Vision Australia clients, particularly to ensure that eviden</w:t>
      </w:r>
      <w:r w:rsidR="008E4F55">
        <w:rPr>
          <w:sz w:val="22"/>
        </w:rPr>
        <w:t>ce-based services are delivered; and</w:t>
      </w:r>
      <w:r w:rsidRPr="00230978">
        <w:rPr>
          <w:sz w:val="22"/>
        </w:rPr>
        <w:t xml:space="preserve"> </w:t>
      </w:r>
    </w:p>
    <w:p w14:paraId="5EA732FF" w14:textId="77777777"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proofErr w:type="gramStart"/>
      <w:r w:rsidRPr="00230978">
        <w:rPr>
          <w:sz w:val="22"/>
        </w:rPr>
        <w:t>clinical</w:t>
      </w:r>
      <w:proofErr w:type="gramEnd"/>
      <w:r w:rsidRPr="00230978">
        <w:rPr>
          <w:sz w:val="22"/>
        </w:rPr>
        <w:t xml:space="preserve"> and service delivery risk management, in particular with respect to professional registration, accreditation and legislation. </w:t>
      </w:r>
    </w:p>
    <w:p w14:paraId="08FAF66A" w14:textId="77777777" w:rsidR="00A07FE0" w:rsidRDefault="00A07FE0" w:rsidP="00230978">
      <w:pPr>
        <w:autoSpaceDE w:val="0"/>
        <w:autoSpaceDN w:val="0"/>
        <w:adjustRightInd w:val="0"/>
        <w:rPr>
          <w:sz w:val="22"/>
        </w:rPr>
      </w:pPr>
    </w:p>
    <w:p w14:paraId="5EA73300" w14:textId="77777777" w:rsidR="00483BE4" w:rsidRDefault="00483BE4" w:rsidP="00230978">
      <w:pPr>
        <w:autoSpaceDE w:val="0"/>
        <w:autoSpaceDN w:val="0"/>
        <w:adjustRightInd w:val="0"/>
        <w:rPr>
          <w:sz w:val="22"/>
        </w:rPr>
      </w:pPr>
      <w:r w:rsidRPr="00230978">
        <w:rPr>
          <w:sz w:val="22"/>
        </w:rPr>
        <w:t>The main functions of the Committee include:</w:t>
      </w:r>
    </w:p>
    <w:p w14:paraId="1E383EC4" w14:textId="77777777" w:rsidR="00A07FE0" w:rsidRPr="00230978" w:rsidRDefault="00A07FE0" w:rsidP="00230978">
      <w:pPr>
        <w:autoSpaceDE w:val="0"/>
        <w:autoSpaceDN w:val="0"/>
        <w:adjustRightInd w:val="0"/>
        <w:rPr>
          <w:sz w:val="22"/>
        </w:rPr>
      </w:pPr>
    </w:p>
    <w:p w14:paraId="5EA73301" w14:textId="73C11C62"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 xml:space="preserve">oversee strategies and plans for quality improvement, clinical governance, evaluate client </w:t>
      </w:r>
      <w:r w:rsidR="00A07FE0">
        <w:rPr>
          <w:sz w:val="22"/>
        </w:rPr>
        <w:t>and</w:t>
      </w:r>
      <w:r w:rsidRPr="00230978">
        <w:rPr>
          <w:sz w:val="22"/>
        </w:rPr>
        <w:t xml:space="preserve"> volunteer participation and c</w:t>
      </w:r>
      <w:r w:rsidR="008E4F55">
        <w:rPr>
          <w:sz w:val="22"/>
        </w:rPr>
        <w:t>lient based research activities;</w:t>
      </w:r>
    </w:p>
    <w:p w14:paraId="5EA73302" w14:textId="50B9F99F"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receive and review all audits or reviews pertaining to service delivery, quality and clinical governance and monitor man</w:t>
      </w:r>
      <w:r w:rsidR="008E4F55">
        <w:rPr>
          <w:sz w:val="22"/>
        </w:rPr>
        <w:t>agement responses;</w:t>
      </w:r>
    </w:p>
    <w:p w14:paraId="5EA73303" w14:textId="3E4ED62E"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r w:rsidRPr="00230978">
        <w:rPr>
          <w:sz w:val="22"/>
        </w:rPr>
        <w:t>receive and review reports on the management of complaints, outcome measures, client satisfaction results a</w:t>
      </w:r>
      <w:r w:rsidR="008E4F55">
        <w:rPr>
          <w:sz w:val="22"/>
        </w:rPr>
        <w:t>nd monitor management responses; and</w:t>
      </w:r>
    </w:p>
    <w:p w14:paraId="5EA73304" w14:textId="72A4FCFF" w:rsidR="00483BE4" w:rsidRPr="00230978" w:rsidRDefault="00483BE4" w:rsidP="00230978">
      <w:pPr>
        <w:numPr>
          <w:ilvl w:val="0"/>
          <w:numId w:val="11"/>
        </w:numPr>
        <w:tabs>
          <w:tab w:val="clear" w:pos="720"/>
          <w:tab w:val="num" w:pos="426"/>
        </w:tabs>
        <w:autoSpaceDE w:val="0"/>
        <w:autoSpaceDN w:val="0"/>
        <w:adjustRightInd w:val="0"/>
        <w:ind w:left="426" w:hanging="426"/>
        <w:rPr>
          <w:sz w:val="22"/>
        </w:rPr>
      </w:pPr>
      <w:proofErr w:type="gramStart"/>
      <w:r w:rsidRPr="00230978">
        <w:rPr>
          <w:sz w:val="22"/>
        </w:rPr>
        <w:t>report</w:t>
      </w:r>
      <w:proofErr w:type="gramEnd"/>
      <w:r w:rsidRPr="00230978">
        <w:rPr>
          <w:sz w:val="22"/>
        </w:rPr>
        <w:t xml:space="preserve"> to the Board on the matters listed </w:t>
      </w:r>
      <w:r w:rsidR="00EC2D22">
        <w:rPr>
          <w:sz w:val="22"/>
        </w:rPr>
        <w:t>above</w:t>
      </w:r>
      <w:r w:rsidRPr="00230978">
        <w:rPr>
          <w:sz w:val="22"/>
        </w:rPr>
        <w:t xml:space="preserve">. </w:t>
      </w:r>
    </w:p>
    <w:p w14:paraId="5EA73305" w14:textId="77777777" w:rsidR="00483BE4" w:rsidRDefault="00483BE4" w:rsidP="003B76A0">
      <w:pPr>
        <w:autoSpaceDE w:val="0"/>
        <w:autoSpaceDN w:val="0"/>
        <w:adjustRightInd w:val="0"/>
        <w:ind w:left="426"/>
        <w:rPr>
          <w:sz w:val="22"/>
          <w:szCs w:val="22"/>
        </w:rPr>
      </w:pPr>
    </w:p>
    <w:p w14:paraId="5EA73306" w14:textId="77777777" w:rsidR="00343F79" w:rsidRPr="00156683" w:rsidRDefault="00343F79" w:rsidP="002206F9">
      <w:pPr>
        <w:rPr>
          <w:rFonts w:cs="Arial"/>
          <w:sz w:val="22"/>
          <w:szCs w:val="22"/>
        </w:rPr>
      </w:pPr>
      <w:r w:rsidRPr="00156683">
        <w:rPr>
          <w:rFonts w:cs="Arial"/>
          <w:sz w:val="22"/>
          <w:szCs w:val="22"/>
        </w:rPr>
        <w:t>Committee members during the year were:</w:t>
      </w:r>
    </w:p>
    <w:p w14:paraId="5EA73307" w14:textId="77777777" w:rsidR="00343F79" w:rsidRPr="00EE5A6D" w:rsidRDefault="00343F79" w:rsidP="002206F9">
      <w:pPr>
        <w:autoSpaceDE w:val="0"/>
        <w:autoSpaceDN w:val="0"/>
        <w:adjustRightInd w:val="0"/>
        <w:rPr>
          <w:rFonts w:cs="Arial"/>
          <w:i/>
          <w:sz w:val="22"/>
          <w:szCs w:val="22"/>
        </w:rPr>
      </w:pPr>
    </w:p>
    <w:p w14:paraId="5EA73309" w14:textId="77777777" w:rsidR="00483BE4" w:rsidRDefault="00483BE4" w:rsidP="002206F9">
      <w:pPr>
        <w:rPr>
          <w:rFonts w:cs="Arial"/>
          <w:sz w:val="22"/>
          <w:szCs w:val="22"/>
        </w:rPr>
      </w:pPr>
      <w:r>
        <w:rPr>
          <w:rFonts w:cs="Arial"/>
          <w:sz w:val="22"/>
          <w:szCs w:val="22"/>
        </w:rPr>
        <w:t>Caroline Waldron (Chair)</w:t>
      </w:r>
    </w:p>
    <w:p w14:paraId="5EA7330A" w14:textId="77777777" w:rsidR="00343F79" w:rsidRPr="001253C0" w:rsidRDefault="00343F79" w:rsidP="002206F9">
      <w:pPr>
        <w:rPr>
          <w:rFonts w:cs="Arial"/>
          <w:sz w:val="22"/>
          <w:szCs w:val="22"/>
        </w:rPr>
      </w:pPr>
      <w:r w:rsidRPr="001253C0">
        <w:rPr>
          <w:rFonts w:cs="Arial"/>
          <w:sz w:val="22"/>
          <w:szCs w:val="22"/>
        </w:rPr>
        <w:t>Kevin Murfitt</w:t>
      </w:r>
    </w:p>
    <w:p w14:paraId="5EA7330B" w14:textId="715072F4" w:rsidR="004441A8" w:rsidRDefault="00F76165" w:rsidP="002206F9">
      <w:pPr>
        <w:rPr>
          <w:rFonts w:cs="Arial"/>
          <w:sz w:val="22"/>
          <w:szCs w:val="22"/>
        </w:rPr>
      </w:pPr>
      <w:r>
        <w:rPr>
          <w:rFonts w:cs="Arial"/>
          <w:sz w:val="22"/>
          <w:szCs w:val="22"/>
        </w:rPr>
        <w:t>Sharon Bentley</w:t>
      </w:r>
      <w:r w:rsidR="00E40898">
        <w:rPr>
          <w:rFonts w:cs="Arial"/>
          <w:sz w:val="22"/>
          <w:szCs w:val="22"/>
        </w:rPr>
        <w:t xml:space="preserve"> </w:t>
      </w:r>
    </w:p>
    <w:p w14:paraId="1B38E907" w14:textId="67984569" w:rsidR="00A07FE0" w:rsidRDefault="00A07FE0" w:rsidP="002206F9">
      <w:pPr>
        <w:rPr>
          <w:rFonts w:cs="Arial"/>
          <w:sz w:val="22"/>
          <w:szCs w:val="22"/>
        </w:rPr>
      </w:pPr>
      <w:r>
        <w:rPr>
          <w:rFonts w:cs="Arial"/>
          <w:sz w:val="22"/>
          <w:szCs w:val="22"/>
        </w:rPr>
        <w:t xml:space="preserve">Jan </w:t>
      </w:r>
      <w:proofErr w:type="spellStart"/>
      <w:r>
        <w:rPr>
          <w:rFonts w:cs="Arial"/>
          <w:sz w:val="22"/>
          <w:szCs w:val="22"/>
        </w:rPr>
        <w:t>Lovie-Kitchin</w:t>
      </w:r>
      <w:proofErr w:type="spellEnd"/>
      <w:r>
        <w:rPr>
          <w:rFonts w:cs="Arial"/>
          <w:sz w:val="22"/>
          <w:szCs w:val="22"/>
        </w:rPr>
        <w:t xml:space="preserve"> (resigned 11 November 2014)</w:t>
      </w:r>
    </w:p>
    <w:p w14:paraId="5EA7330C" w14:textId="358C0746" w:rsidR="00E40898" w:rsidRDefault="00941E72" w:rsidP="002206F9">
      <w:pPr>
        <w:rPr>
          <w:rFonts w:cs="Arial"/>
          <w:sz w:val="22"/>
          <w:szCs w:val="22"/>
        </w:rPr>
      </w:pPr>
      <w:r>
        <w:rPr>
          <w:rFonts w:cs="Arial"/>
          <w:sz w:val="22"/>
          <w:szCs w:val="22"/>
        </w:rPr>
        <w:t xml:space="preserve">Bill Jolley </w:t>
      </w:r>
    </w:p>
    <w:p w14:paraId="1659D62D" w14:textId="482B588C" w:rsidR="00941E72" w:rsidRDefault="00941E72" w:rsidP="002206F9">
      <w:pPr>
        <w:rPr>
          <w:rFonts w:cs="Arial"/>
          <w:sz w:val="22"/>
          <w:szCs w:val="22"/>
        </w:rPr>
      </w:pPr>
      <w:r>
        <w:rPr>
          <w:rFonts w:cs="Arial"/>
          <w:sz w:val="22"/>
          <w:szCs w:val="22"/>
        </w:rPr>
        <w:t>Clinton Herd (Co-Opted member, appointed August 2014)</w:t>
      </w:r>
    </w:p>
    <w:p w14:paraId="6B123BC6" w14:textId="77777777" w:rsidR="00941E72" w:rsidRDefault="00941E72" w:rsidP="002206F9">
      <w:pPr>
        <w:rPr>
          <w:rFonts w:cs="Arial"/>
          <w:sz w:val="22"/>
          <w:szCs w:val="22"/>
        </w:rPr>
      </w:pPr>
    </w:p>
    <w:p w14:paraId="5EA7330D" w14:textId="77777777" w:rsidR="00C52725" w:rsidRDefault="00C52725" w:rsidP="002206F9">
      <w:pPr>
        <w:rPr>
          <w:rFonts w:cs="Arial"/>
          <w:sz w:val="22"/>
          <w:szCs w:val="22"/>
        </w:rPr>
      </w:pPr>
      <w:r w:rsidRPr="00EE5A6D">
        <w:rPr>
          <w:rFonts w:cs="Arial"/>
          <w:sz w:val="22"/>
          <w:szCs w:val="22"/>
        </w:rPr>
        <w:t xml:space="preserve">The </w:t>
      </w:r>
      <w:r w:rsidR="00086A21">
        <w:rPr>
          <w:rFonts w:cs="Arial"/>
          <w:sz w:val="22"/>
          <w:szCs w:val="22"/>
        </w:rPr>
        <w:t>Client Services</w:t>
      </w:r>
      <w:r w:rsidRPr="00EE5A6D">
        <w:rPr>
          <w:rFonts w:cs="Arial"/>
          <w:sz w:val="22"/>
          <w:szCs w:val="22"/>
        </w:rPr>
        <w:t xml:space="preserve"> Committee charter can be viewed on the Vision Australia</w:t>
      </w:r>
      <w:r>
        <w:rPr>
          <w:rFonts w:cs="Arial"/>
          <w:sz w:val="22"/>
          <w:szCs w:val="22"/>
        </w:rPr>
        <w:t xml:space="preserve"> </w:t>
      </w:r>
      <w:r w:rsidRPr="00EE5A6D">
        <w:rPr>
          <w:rFonts w:cs="Arial"/>
          <w:sz w:val="22"/>
          <w:szCs w:val="22"/>
        </w:rPr>
        <w:t>website</w:t>
      </w:r>
      <w:r>
        <w:rPr>
          <w:rFonts w:cs="Arial"/>
          <w:sz w:val="22"/>
          <w:szCs w:val="22"/>
        </w:rPr>
        <w:t xml:space="preserve"> at</w:t>
      </w:r>
    </w:p>
    <w:p w14:paraId="5EA7330E" w14:textId="46AF1CA7" w:rsidR="00C52725" w:rsidRDefault="005C1CCD" w:rsidP="002206F9">
      <w:pPr>
        <w:rPr>
          <w:rFonts w:cs="Arial"/>
          <w:sz w:val="22"/>
          <w:szCs w:val="22"/>
        </w:rPr>
      </w:pPr>
      <w:hyperlink r:id="rId26" w:history="1">
        <w:proofErr w:type="gramStart"/>
        <w:r w:rsidRPr="005C1CCD">
          <w:rPr>
            <w:rStyle w:val="Hyperlink"/>
            <w:rFonts w:cs="Arial"/>
            <w:sz w:val="22"/>
            <w:szCs w:val="22"/>
          </w:rPr>
          <w:t>this</w:t>
        </w:r>
        <w:proofErr w:type="gramEnd"/>
        <w:r w:rsidRPr="005C1CCD">
          <w:rPr>
            <w:rStyle w:val="Hyperlink"/>
            <w:rFonts w:cs="Arial"/>
            <w:sz w:val="22"/>
            <w:szCs w:val="22"/>
          </w:rPr>
          <w:t xml:space="preserve"> link</w:t>
        </w:r>
      </w:hyperlink>
      <w:r>
        <w:rPr>
          <w:rFonts w:cs="Arial"/>
          <w:sz w:val="22"/>
          <w:szCs w:val="22"/>
        </w:rPr>
        <w:t>.</w:t>
      </w:r>
    </w:p>
    <w:p w14:paraId="5EA7330F" w14:textId="3E8AB294" w:rsidR="00BF3629" w:rsidRDefault="00BF3629">
      <w:pPr>
        <w:rPr>
          <w:rFonts w:cs="Arial"/>
          <w:sz w:val="22"/>
          <w:szCs w:val="22"/>
        </w:rPr>
      </w:pPr>
      <w:r>
        <w:rPr>
          <w:rFonts w:cs="Arial"/>
          <w:sz w:val="22"/>
          <w:szCs w:val="22"/>
        </w:rPr>
        <w:br w:type="page"/>
      </w:r>
    </w:p>
    <w:p w14:paraId="69F1BFD7" w14:textId="77777777" w:rsidR="00086A21" w:rsidRDefault="00086A21" w:rsidP="002206F9">
      <w:pPr>
        <w:rPr>
          <w:rFonts w:cs="Arial"/>
          <w:sz w:val="22"/>
          <w:szCs w:val="22"/>
        </w:rPr>
      </w:pPr>
    </w:p>
    <w:p w14:paraId="5EA73310" w14:textId="4D98A583" w:rsidR="004441A8" w:rsidRPr="00313D6B" w:rsidRDefault="004441A8" w:rsidP="00431251">
      <w:pPr>
        <w:pStyle w:val="Heading4"/>
        <w:jc w:val="left"/>
      </w:pPr>
      <w:r w:rsidRPr="00313D6B">
        <w:t xml:space="preserve">Board Development </w:t>
      </w:r>
      <w:r w:rsidR="00A07FE0">
        <w:t>and</w:t>
      </w:r>
      <w:r w:rsidRPr="00313D6B">
        <w:t xml:space="preserve"> Nominations Committee</w:t>
      </w:r>
    </w:p>
    <w:p w14:paraId="5EA73311" w14:textId="77777777" w:rsidR="004441A8" w:rsidRPr="00313D6B" w:rsidRDefault="004441A8" w:rsidP="002206F9">
      <w:pPr>
        <w:rPr>
          <w:rFonts w:cs="Arial"/>
          <w:b/>
          <w:sz w:val="22"/>
          <w:szCs w:val="22"/>
        </w:rPr>
      </w:pPr>
    </w:p>
    <w:p w14:paraId="5EA73312" w14:textId="0230AFB6" w:rsidR="004441A8" w:rsidRDefault="004441A8" w:rsidP="002206F9">
      <w:pPr>
        <w:rPr>
          <w:rFonts w:cs="Arial"/>
          <w:sz w:val="22"/>
          <w:szCs w:val="22"/>
        </w:rPr>
      </w:pPr>
      <w:r w:rsidRPr="00EE5A6D">
        <w:rPr>
          <w:rFonts w:cs="Arial"/>
          <w:sz w:val="22"/>
          <w:szCs w:val="22"/>
        </w:rPr>
        <w:t xml:space="preserve">The Board appointed a Board Development </w:t>
      </w:r>
      <w:r w:rsidR="00A07FE0">
        <w:rPr>
          <w:rFonts w:cs="Arial"/>
          <w:sz w:val="22"/>
          <w:szCs w:val="22"/>
        </w:rPr>
        <w:t>and</w:t>
      </w:r>
      <w:r w:rsidRPr="00EE5A6D">
        <w:rPr>
          <w:rFonts w:cs="Arial"/>
          <w:sz w:val="22"/>
          <w:szCs w:val="22"/>
        </w:rPr>
        <w:t xml:space="preserve"> Nominations Committee to oversee selection for appointment and the induction process for Board and Committee members.  </w:t>
      </w:r>
    </w:p>
    <w:p w14:paraId="5EA73313" w14:textId="207390CF" w:rsidR="004441A8" w:rsidRDefault="004441A8" w:rsidP="002206F9">
      <w:pPr>
        <w:rPr>
          <w:rFonts w:cs="Arial"/>
          <w:sz w:val="20"/>
          <w:szCs w:val="22"/>
        </w:rPr>
      </w:pPr>
    </w:p>
    <w:p w14:paraId="5EA73314" w14:textId="77777777" w:rsidR="004441A8" w:rsidRPr="00EE5A6D" w:rsidRDefault="004441A8" w:rsidP="002206F9">
      <w:pPr>
        <w:pStyle w:val="NormalWeb"/>
        <w:spacing w:before="0" w:beforeAutospacing="0" w:after="0" w:afterAutospacing="0"/>
        <w:rPr>
          <w:b/>
          <w:color w:val="auto"/>
          <w:sz w:val="22"/>
          <w:szCs w:val="22"/>
        </w:rPr>
      </w:pPr>
      <w:r w:rsidRPr="00EE5A6D">
        <w:rPr>
          <w:color w:val="auto"/>
          <w:sz w:val="22"/>
          <w:szCs w:val="22"/>
        </w:rPr>
        <w:t>The main responsibilities of the committee include</w:t>
      </w:r>
      <w:r w:rsidRPr="00EE5A6D">
        <w:rPr>
          <w:b/>
          <w:color w:val="auto"/>
          <w:sz w:val="22"/>
          <w:szCs w:val="22"/>
        </w:rPr>
        <w:t>:</w:t>
      </w:r>
    </w:p>
    <w:p w14:paraId="5EA73315" w14:textId="77777777" w:rsidR="004441A8" w:rsidRPr="00EE5A6D" w:rsidRDefault="004441A8" w:rsidP="002206F9">
      <w:pPr>
        <w:rPr>
          <w:rFonts w:cs="Arial"/>
          <w:sz w:val="20"/>
          <w:szCs w:val="22"/>
        </w:rPr>
      </w:pPr>
    </w:p>
    <w:p w14:paraId="5EA7331A" w14:textId="4CE67C01" w:rsidR="00E40898" w:rsidRPr="005B1F87" w:rsidRDefault="007D652E" w:rsidP="005B1F87">
      <w:pPr>
        <w:pStyle w:val="ListParagraph"/>
        <w:numPr>
          <w:ilvl w:val="0"/>
          <w:numId w:val="34"/>
        </w:numPr>
        <w:autoSpaceDE w:val="0"/>
        <w:autoSpaceDN w:val="0"/>
        <w:adjustRightInd w:val="0"/>
        <w:rPr>
          <w:rFonts w:cs="Arial"/>
          <w:sz w:val="22"/>
          <w:szCs w:val="22"/>
          <w:lang w:eastAsia="zh-TW" w:bidi="th-TH"/>
        </w:rPr>
      </w:pPr>
      <w:r w:rsidRPr="007D652E">
        <w:rPr>
          <w:rFonts w:ascii="Arial" w:hAnsi="Arial" w:cs="Arial"/>
          <w:sz w:val="22"/>
          <w:szCs w:val="22"/>
          <w:lang w:eastAsia="zh-TW" w:bidi="th-TH"/>
        </w:rPr>
        <w:t>a</w:t>
      </w:r>
      <w:r w:rsidR="00E40898" w:rsidRPr="005B1F87">
        <w:rPr>
          <w:rFonts w:ascii="Arial" w:hAnsi="Arial" w:cs="Arial"/>
          <w:sz w:val="22"/>
          <w:szCs w:val="22"/>
          <w:lang w:eastAsia="zh-TW" w:bidi="th-TH"/>
        </w:rPr>
        <w:t>ssess the skills required to discharge competently the Bo</w:t>
      </w:r>
      <w:r w:rsidR="008E4F55">
        <w:rPr>
          <w:rFonts w:ascii="Arial" w:hAnsi="Arial" w:cs="Arial"/>
          <w:sz w:val="22"/>
          <w:szCs w:val="22"/>
          <w:lang w:eastAsia="zh-TW" w:bidi="th-TH"/>
        </w:rPr>
        <w:t xml:space="preserve">ard’s duties having regard to </w:t>
      </w:r>
      <w:r w:rsidR="008E4F55" w:rsidRPr="008E4F55">
        <w:rPr>
          <w:rFonts w:ascii="Arial" w:hAnsi="Arial" w:cs="Arial"/>
          <w:sz w:val="22"/>
          <w:szCs w:val="22"/>
          <w:lang w:eastAsia="zh-TW" w:bidi="th-TH"/>
        </w:rPr>
        <w:t>Vision Australia</w:t>
      </w:r>
      <w:r w:rsidR="008E4F55">
        <w:rPr>
          <w:rFonts w:ascii="Arial" w:hAnsi="Arial" w:cs="Arial"/>
          <w:sz w:val="22"/>
          <w:szCs w:val="22"/>
          <w:lang w:eastAsia="zh-TW" w:bidi="th-TH"/>
        </w:rPr>
        <w:t>’</w:t>
      </w:r>
      <w:r w:rsidR="00E40898" w:rsidRPr="005B1F87">
        <w:rPr>
          <w:rFonts w:ascii="Arial" w:hAnsi="Arial" w:cs="Arial"/>
          <w:sz w:val="22"/>
          <w:szCs w:val="22"/>
          <w:lang w:eastAsia="zh-TW" w:bidi="th-TH"/>
        </w:rPr>
        <w:t xml:space="preserve">s performance, financial position and strategic direction, including specific qualities, skills and attributes that the </w:t>
      </w:r>
      <w:r w:rsidRPr="007D652E">
        <w:rPr>
          <w:rFonts w:ascii="Arial" w:hAnsi="Arial" w:cs="Arial"/>
          <w:sz w:val="22"/>
          <w:szCs w:val="22"/>
        </w:rPr>
        <w:t>Committee</w:t>
      </w:r>
      <w:r w:rsidR="00E40898" w:rsidRPr="005B1F87">
        <w:rPr>
          <w:rFonts w:ascii="Arial" w:hAnsi="Arial" w:cs="Arial"/>
          <w:sz w:val="22"/>
          <w:szCs w:val="22"/>
          <w:lang w:eastAsia="zh-TW" w:bidi="th-TH"/>
        </w:rPr>
        <w:t xml:space="preserve"> believes are necessary for one or more of the Directors to possess and the mix of experience, expertise and diversity that the Board desires to achieve</w:t>
      </w:r>
      <w:r w:rsidR="008E4F55">
        <w:rPr>
          <w:rFonts w:ascii="Arial" w:hAnsi="Arial" w:cs="Arial"/>
          <w:sz w:val="22"/>
          <w:szCs w:val="22"/>
          <w:lang w:eastAsia="zh-TW" w:bidi="th-TH"/>
        </w:rPr>
        <w:t xml:space="preserve"> in the membership of the Board;</w:t>
      </w:r>
    </w:p>
    <w:p w14:paraId="5EA7331B" w14:textId="6D10FD26" w:rsidR="00E40898" w:rsidRPr="005B1F87" w:rsidRDefault="007D652E" w:rsidP="005B1F87">
      <w:pPr>
        <w:pStyle w:val="ListParagraph"/>
        <w:numPr>
          <w:ilvl w:val="0"/>
          <w:numId w:val="34"/>
        </w:numPr>
        <w:autoSpaceDE w:val="0"/>
        <w:autoSpaceDN w:val="0"/>
        <w:adjustRightInd w:val="0"/>
        <w:rPr>
          <w:rFonts w:cs="Arial"/>
          <w:sz w:val="22"/>
          <w:szCs w:val="22"/>
          <w:lang w:eastAsia="zh-TW" w:bidi="th-TH"/>
        </w:rPr>
      </w:pPr>
      <w:r w:rsidRPr="007D652E">
        <w:rPr>
          <w:rFonts w:ascii="Arial" w:hAnsi="Arial" w:cs="Arial"/>
          <w:sz w:val="22"/>
          <w:szCs w:val="22"/>
          <w:lang w:eastAsia="zh-TW" w:bidi="th-TH"/>
        </w:rPr>
        <w:t>d</w:t>
      </w:r>
      <w:r w:rsidR="00E40898" w:rsidRPr="005B1F87">
        <w:rPr>
          <w:rFonts w:ascii="Arial" w:hAnsi="Arial" w:cs="Arial"/>
          <w:sz w:val="22"/>
          <w:szCs w:val="22"/>
          <w:lang w:eastAsia="zh-TW" w:bidi="th-TH"/>
        </w:rPr>
        <w:t>evelop policy, review, assess from time to time and recommend to the Board as appropriate on Director tenure, Board composition and size</w:t>
      </w:r>
      <w:r w:rsidR="008E4F55">
        <w:rPr>
          <w:rFonts w:ascii="Arial" w:hAnsi="Arial" w:cs="Arial"/>
          <w:sz w:val="22"/>
          <w:szCs w:val="22"/>
          <w:lang w:eastAsia="zh-TW" w:bidi="th-TH"/>
        </w:rPr>
        <w:t>;</w:t>
      </w:r>
    </w:p>
    <w:p w14:paraId="5EA7331C" w14:textId="689CF410" w:rsidR="00E40898" w:rsidRPr="005B1F87" w:rsidRDefault="007D652E" w:rsidP="005B1F87">
      <w:pPr>
        <w:pStyle w:val="ListParagraph"/>
        <w:numPr>
          <w:ilvl w:val="0"/>
          <w:numId w:val="34"/>
        </w:numPr>
        <w:autoSpaceDE w:val="0"/>
        <w:autoSpaceDN w:val="0"/>
        <w:adjustRightInd w:val="0"/>
        <w:rPr>
          <w:rFonts w:cs="Arial"/>
          <w:sz w:val="22"/>
          <w:szCs w:val="22"/>
          <w:lang w:eastAsia="zh-TW" w:bidi="th-TH"/>
        </w:rPr>
      </w:pPr>
      <w:r w:rsidRPr="007D652E">
        <w:rPr>
          <w:rFonts w:ascii="Arial" w:hAnsi="Arial" w:cs="Arial"/>
          <w:sz w:val="22"/>
          <w:szCs w:val="22"/>
          <w:lang w:eastAsia="zh-TW" w:bidi="th-TH"/>
        </w:rPr>
        <w:t>r</w:t>
      </w:r>
      <w:r w:rsidR="00E40898" w:rsidRPr="005B1F87">
        <w:rPr>
          <w:rFonts w:ascii="Arial" w:hAnsi="Arial" w:cs="Arial"/>
          <w:sz w:val="22"/>
          <w:szCs w:val="22"/>
          <w:lang w:eastAsia="zh-TW" w:bidi="th-TH"/>
        </w:rPr>
        <w:t xml:space="preserve">eview annually the time required to be committed to </w:t>
      </w:r>
      <w:r w:rsidRPr="007D652E">
        <w:rPr>
          <w:rFonts w:ascii="Arial" w:hAnsi="Arial" w:cs="Arial"/>
          <w:sz w:val="22"/>
          <w:szCs w:val="22"/>
          <w:lang w:eastAsia="zh-TW" w:bidi="th-TH"/>
        </w:rPr>
        <w:t>Vision Australia</w:t>
      </w:r>
      <w:r w:rsidR="00E40898" w:rsidRPr="005B1F87">
        <w:rPr>
          <w:rFonts w:ascii="Arial" w:hAnsi="Arial" w:cs="Arial"/>
          <w:sz w:val="22"/>
          <w:szCs w:val="22"/>
          <w:lang w:eastAsia="zh-TW" w:bidi="th-TH"/>
        </w:rPr>
        <w:t xml:space="preserve"> business by Directors, including reviewing the other commitments of Directors and the time involved in those commitmen</w:t>
      </w:r>
      <w:r w:rsidR="008E4F55">
        <w:rPr>
          <w:rFonts w:ascii="Arial" w:hAnsi="Arial" w:cs="Arial"/>
          <w:sz w:val="22"/>
          <w:szCs w:val="22"/>
          <w:lang w:eastAsia="zh-TW" w:bidi="th-TH"/>
        </w:rPr>
        <w:t>ts;</w:t>
      </w:r>
      <w:r w:rsidR="00E40898" w:rsidRPr="005B1F87">
        <w:rPr>
          <w:rFonts w:ascii="Arial" w:hAnsi="Arial" w:cs="Arial"/>
          <w:sz w:val="22"/>
          <w:szCs w:val="22"/>
          <w:lang w:eastAsia="zh-TW" w:bidi="th-TH"/>
        </w:rPr>
        <w:t xml:space="preserve"> </w:t>
      </w:r>
    </w:p>
    <w:p w14:paraId="5EA7331E" w14:textId="719E653C" w:rsidR="00E40898" w:rsidRPr="00230978" w:rsidRDefault="007D652E" w:rsidP="005B1F87">
      <w:pPr>
        <w:pStyle w:val="ListParagraph"/>
        <w:numPr>
          <w:ilvl w:val="0"/>
          <w:numId w:val="35"/>
        </w:numPr>
        <w:autoSpaceDE w:val="0"/>
        <w:autoSpaceDN w:val="0"/>
        <w:adjustRightInd w:val="0"/>
        <w:rPr>
          <w:rFonts w:ascii="Arial" w:hAnsi="Arial"/>
          <w:sz w:val="22"/>
          <w:lang w:eastAsia="zh-TW"/>
        </w:rPr>
      </w:pPr>
      <w:r w:rsidRPr="007D652E">
        <w:rPr>
          <w:rFonts w:ascii="Arial" w:hAnsi="Arial" w:cs="Arial"/>
          <w:sz w:val="22"/>
          <w:szCs w:val="22"/>
          <w:lang w:eastAsia="zh-TW" w:bidi="th-TH"/>
        </w:rPr>
        <w:t>r</w:t>
      </w:r>
      <w:r w:rsidR="00E40898" w:rsidRPr="005B1F87">
        <w:rPr>
          <w:rFonts w:ascii="Arial" w:hAnsi="Arial" w:cs="Arial"/>
          <w:sz w:val="22"/>
          <w:szCs w:val="22"/>
          <w:lang w:eastAsia="zh-TW" w:bidi="th-TH"/>
        </w:rPr>
        <w:t>eview Director appointment criteria from time to time, with eligibility criteria to have regard to a proposed candidate’s broad ex</w:t>
      </w:r>
      <w:r w:rsidR="008E4F55">
        <w:rPr>
          <w:rFonts w:ascii="Arial" w:hAnsi="Arial" w:cs="Arial"/>
          <w:sz w:val="22"/>
          <w:szCs w:val="22"/>
          <w:lang w:eastAsia="zh-TW" w:bidi="th-TH"/>
        </w:rPr>
        <w:t>perience, skills and attributes;</w:t>
      </w:r>
    </w:p>
    <w:p w14:paraId="5EA7331F" w14:textId="33D80557" w:rsidR="00E40898" w:rsidRPr="00230978" w:rsidRDefault="007D652E" w:rsidP="005B1F87">
      <w:pPr>
        <w:pStyle w:val="ListParagraph"/>
        <w:numPr>
          <w:ilvl w:val="0"/>
          <w:numId w:val="35"/>
        </w:numPr>
        <w:autoSpaceDE w:val="0"/>
        <w:autoSpaceDN w:val="0"/>
        <w:adjustRightInd w:val="0"/>
        <w:rPr>
          <w:rFonts w:ascii="Arial" w:hAnsi="Arial"/>
          <w:sz w:val="22"/>
          <w:lang w:eastAsia="zh-TW"/>
        </w:rPr>
      </w:pPr>
      <w:proofErr w:type="gramStart"/>
      <w:r w:rsidRPr="007D652E">
        <w:rPr>
          <w:rFonts w:ascii="Arial" w:hAnsi="Arial" w:cs="Arial"/>
          <w:sz w:val="22"/>
          <w:szCs w:val="22"/>
          <w:lang w:eastAsia="zh-TW" w:bidi="th-TH"/>
        </w:rPr>
        <w:t>c</w:t>
      </w:r>
      <w:r w:rsidR="00E40898" w:rsidRPr="005B1F87">
        <w:rPr>
          <w:rFonts w:ascii="Arial" w:hAnsi="Arial" w:cs="Arial"/>
          <w:sz w:val="22"/>
          <w:szCs w:val="22"/>
          <w:lang w:eastAsia="zh-TW" w:bidi="th-TH"/>
        </w:rPr>
        <w:t>onsider</w:t>
      </w:r>
      <w:proofErr w:type="gramEnd"/>
      <w:r w:rsidR="00E40898" w:rsidRPr="005B1F87">
        <w:rPr>
          <w:rFonts w:ascii="Arial" w:hAnsi="Arial" w:cs="Arial"/>
          <w:sz w:val="22"/>
          <w:szCs w:val="22"/>
          <w:lang w:eastAsia="zh-TW" w:bidi="th-TH"/>
        </w:rPr>
        <w:t xml:space="preserve"> and make recommendations to the Board on candidates for appointment as Directors. Such recommendations should pay particular attention to the mix of skills, experience, expertise, diversity and other qualities of existing Directors and how the candidate’s attributes will balance and complement those qualities</w:t>
      </w:r>
      <w:r w:rsidR="008E4F55">
        <w:rPr>
          <w:rFonts w:ascii="Arial" w:hAnsi="Arial" w:cs="Arial"/>
          <w:sz w:val="22"/>
          <w:szCs w:val="22"/>
          <w:lang w:eastAsia="zh-TW" w:bidi="th-TH"/>
        </w:rPr>
        <w:t>;</w:t>
      </w:r>
    </w:p>
    <w:p w14:paraId="5EA73320" w14:textId="1FC80168" w:rsidR="00E40898" w:rsidRPr="00230978" w:rsidRDefault="007D652E" w:rsidP="005B1F87">
      <w:pPr>
        <w:pStyle w:val="ListParagraph"/>
        <w:numPr>
          <w:ilvl w:val="0"/>
          <w:numId w:val="35"/>
        </w:numPr>
        <w:autoSpaceDE w:val="0"/>
        <w:autoSpaceDN w:val="0"/>
        <w:adjustRightInd w:val="0"/>
        <w:rPr>
          <w:rFonts w:ascii="Arial" w:hAnsi="Arial"/>
          <w:sz w:val="22"/>
          <w:lang w:eastAsia="zh-TW"/>
        </w:rPr>
      </w:pPr>
      <w:r w:rsidRPr="007D652E">
        <w:rPr>
          <w:rFonts w:ascii="Arial" w:hAnsi="Arial" w:cs="Arial"/>
          <w:sz w:val="22"/>
          <w:szCs w:val="22"/>
          <w:lang w:eastAsia="zh-TW" w:bidi="th-TH"/>
        </w:rPr>
        <w:t>c</w:t>
      </w:r>
      <w:r w:rsidR="00E40898" w:rsidRPr="005B1F87">
        <w:rPr>
          <w:rFonts w:ascii="Arial" w:hAnsi="Arial" w:cs="Arial"/>
          <w:sz w:val="22"/>
          <w:szCs w:val="22"/>
          <w:lang w:eastAsia="zh-TW" w:bidi="th-TH"/>
        </w:rPr>
        <w:t>onsider and make recommendations to the Board on candidates for appointment as D</w:t>
      </w:r>
      <w:r w:rsidR="008E4F55">
        <w:rPr>
          <w:rFonts w:ascii="Arial" w:hAnsi="Arial" w:cs="Arial"/>
          <w:sz w:val="22"/>
          <w:szCs w:val="22"/>
          <w:lang w:eastAsia="zh-TW" w:bidi="th-TH"/>
        </w:rPr>
        <w:t>irectors as proposed by members;</w:t>
      </w:r>
    </w:p>
    <w:p w14:paraId="5EA73321" w14:textId="49154093" w:rsidR="00E40898" w:rsidRPr="00230978" w:rsidRDefault="00E40898" w:rsidP="005B1F87">
      <w:pPr>
        <w:pStyle w:val="ListParagraph"/>
        <w:numPr>
          <w:ilvl w:val="0"/>
          <w:numId w:val="35"/>
        </w:numPr>
        <w:autoSpaceDE w:val="0"/>
        <w:autoSpaceDN w:val="0"/>
        <w:adjustRightInd w:val="0"/>
        <w:rPr>
          <w:rFonts w:ascii="Arial" w:hAnsi="Arial"/>
          <w:sz w:val="22"/>
          <w:lang w:eastAsia="zh-TW"/>
        </w:rPr>
      </w:pPr>
      <w:r w:rsidRPr="00230978">
        <w:rPr>
          <w:rFonts w:ascii="Arial" w:hAnsi="Arial"/>
          <w:sz w:val="22"/>
          <w:lang w:eastAsia="zh-TW"/>
        </w:rPr>
        <w:t xml:space="preserve">Consider and make recommendations to the Board on candidates for appointment </w:t>
      </w:r>
      <w:r w:rsidR="008E4F55">
        <w:rPr>
          <w:rFonts w:ascii="Arial" w:hAnsi="Arial"/>
          <w:sz w:val="22"/>
          <w:lang w:eastAsia="zh-TW"/>
        </w:rPr>
        <w:t>as Directors of VA subsidiaries;</w:t>
      </w:r>
    </w:p>
    <w:p w14:paraId="5EA73322" w14:textId="338E1F8B" w:rsidR="00E40898" w:rsidRPr="00230978" w:rsidRDefault="007D652E" w:rsidP="005B1F87">
      <w:pPr>
        <w:pStyle w:val="ListParagraph"/>
        <w:numPr>
          <w:ilvl w:val="0"/>
          <w:numId w:val="35"/>
        </w:numPr>
        <w:autoSpaceDE w:val="0"/>
        <w:autoSpaceDN w:val="0"/>
        <w:adjustRightInd w:val="0"/>
        <w:rPr>
          <w:rFonts w:ascii="Arial" w:hAnsi="Arial"/>
          <w:sz w:val="22"/>
          <w:lang w:eastAsia="zh-TW"/>
        </w:rPr>
      </w:pPr>
      <w:r w:rsidRPr="007D652E">
        <w:rPr>
          <w:rFonts w:ascii="Arial" w:hAnsi="Arial" w:cs="Arial"/>
          <w:sz w:val="22"/>
          <w:szCs w:val="22"/>
          <w:lang w:eastAsia="zh-TW" w:bidi="th-TH"/>
        </w:rPr>
        <w:t>r</w:t>
      </w:r>
      <w:r w:rsidR="00E40898" w:rsidRPr="005B1F87">
        <w:rPr>
          <w:rFonts w:ascii="Arial" w:hAnsi="Arial" w:cs="Arial"/>
          <w:sz w:val="22"/>
          <w:szCs w:val="22"/>
          <w:lang w:eastAsia="zh-TW" w:bidi="th-TH"/>
        </w:rPr>
        <w:t>eview and, if thought fit, recommend the re-election by members of any Director under the retirement by rotation provisions or any Director who must stand for election</w:t>
      </w:r>
      <w:r w:rsidR="008E4F55">
        <w:rPr>
          <w:rFonts w:ascii="Arial" w:hAnsi="Arial" w:cs="Arial"/>
          <w:sz w:val="22"/>
          <w:szCs w:val="22"/>
          <w:lang w:eastAsia="zh-TW" w:bidi="th-TH"/>
        </w:rPr>
        <w:t xml:space="preserve"> as a result of extended tenure;</w:t>
      </w:r>
      <w:r w:rsidR="00E40898" w:rsidRPr="005B1F87">
        <w:rPr>
          <w:rFonts w:ascii="Arial" w:hAnsi="Arial" w:cs="Arial"/>
          <w:sz w:val="22"/>
          <w:szCs w:val="22"/>
          <w:lang w:eastAsia="zh-TW" w:bidi="th-TH"/>
        </w:rPr>
        <w:t xml:space="preserve">  </w:t>
      </w:r>
    </w:p>
    <w:p w14:paraId="5EA73325" w14:textId="29279F6B" w:rsidR="00E40898" w:rsidRPr="00230978" w:rsidRDefault="007D652E" w:rsidP="005B1F87">
      <w:pPr>
        <w:pStyle w:val="ListParagraph"/>
        <w:numPr>
          <w:ilvl w:val="0"/>
          <w:numId w:val="36"/>
        </w:numPr>
        <w:autoSpaceDE w:val="0"/>
        <w:autoSpaceDN w:val="0"/>
        <w:adjustRightInd w:val="0"/>
        <w:rPr>
          <w:rFonts w:ascii="Arial" w:hAnsi="Arial"/>
          <w:sz w:val="22"/>
          <w:lang w:eastAsia="zh-TW"/>
        </w:rPr>
      </w:pPr>
      <w:r w:rsidRPr="007D652E">
        <w:rPr>
          <w:rFonts w:ascii="Arial" w:hAnsi="Arial" w:cs="Arial"/>
          <w:sz w:val="22"/>
          <w:szCs w:val="22"/>
          <w:lang w:eastAsia="zh-TW" w:bidi="th-TH"/>
        </w:rPr>
        <w:t>d</w:t>
      </w:r>
      <w:r w:rsidR="00E40898" w:rsidRPr="005B1F87">
        <w:rPr>
          <w:rFonts w:ascii="Arial" w:hAnsi="Arial" w:cs="Arial"/>
          <w:sz w:val="22"/>
          <w:szCs w:val="22"/>
          <w:lang w:eastAsia="zh-TW" w:bidi="th-TH"/>
        </w:rPr>
        <w:t xml:space="preserve">evelop and implement succession planning for Directors, taking into account the challenges and opportunities facing </w:t>
      </w:r>
      <w:r w:rsidRPr="007D652E">
        <w:rPr>
          <w:rFonts w:ascii="Arial" w:hAnsi="Arial" w:cs="Arial"/>
          <w:sz w:val="22"/>
          <w:szCs w:val="22"/>
          <w:lang w:eastAsia="zh-TW" w:bidi="th-TH"/>
        </w:rPr>
        <w:t>Vision Australia</w:t>
      </w:r>
      <w:r w:rsidR="00E40898" w:rsidRPr="005B1F87">
        <w:rPr>
          <w:rFonts w:ascii="Arial" w:hAnsi="Arial" w:cs="Arial"/>
          <w:sz w:val="22"/>
          <w:szCs w:val="22"/>
          <w:lang w:eastAsia="zh-TW" w:bidi="th-TH"/>
        </w:rPr>
        <w:t xml:space="preserve"> and what skills and expertise are therefor</w:t>
      </w:r>
      <w:r w:rsidR="008E4F55">
        <w:rPr>
          <w:rFonts w:ascii="Arial" w:hAnsi="Arial" w:cs="Arial"/>
          <w:sz w:val="22"/>
          <w:szCs w:val="22"/>
          <w:lang w:eastAsia="zh-TW" w:bidi="th-TH"/>
        </w:rPr>
        <w:t>e needed on the Board in future;</w:t>
      </w:r>
    </w:p>
    <w:p w14:paraId="5EA73328" w14:textId="2E80EBBA" w:rsidR="00E40898" w:rsidRPr="00230978" w:rsidRDefault="007D652E" w:rsidP="005B1F87">
      <w:pPr>
        <w:pStyle w:val="ListParagraph"/>
        <w:numPr>
          <w:ilvl w:val="0"/>
          <w:numId w:val="36"/>
        </w:numPr>
        <w:autoSpaceDE w:val="0"/>
        <w:autoSpaceDN w:val="0"/>
        <w:adjustRightInd w:val="0"/>
        <w:rPr>
          <w:rFonts w:ascii="Arial" w:hAnsi="Arial"/>
          <w:sz w:val="22"/>
          <w:lang w:eastAsia="zh-TW"/>
        </w:rPr>
      </w:pPr>
      <w:proofErr w:type="gramStart"/>
      <w:r w:rsidRPr="007D652E">
        <w:rPr>
          <w:rFonts w:ascii="Arial" w:hAnsi="Arial" w:cs="Arial"/>
          <w:sz w:val="22"/>
          <w:szCs w:val="22"/>
          <w:lang w:eastAsia="zh-TW" w:bidi="th-TH"/>
        </w:rPr>
        <w:t>d</w:t>
      </w:r>
      <w:r w:rsidR="00E40898" w:rsidRPr="005B1F87">
        <w:rPr>
          <w:rFonts w:ascii="Arial" w:hAnsi="Arial" w:cs="Arial"/>
          <w:sz w:val="22"/>
          <w:szCs w:val="22"/>
          <w:lang w:eastAsia="zh-TW" w:bidi="th-TH"/>
        </w:rPr>
        <w:t>evelop</w:t>
      </w:r>
      <w:proofErr w:type="gramEnd"/>
      <w:r w:rsidR="00E40898" w:rsidRPr="005B1F87">
        <w:rPr>
          <w:rFonts w:ascii="Arial" w:hAnsi="Arial" w:cs="Arial"/>
          <w:sz w:val="22"/>
          <w:szCs w:val="22"/>
          <w:lang w:eastAsia="zh-TW" w:bidi="th-TH"/>
        </w:rPr>
        <w:t xml:space="preserve"> and implement learning and development programs for Directors.</w:t>
      </w:r>
    </w:p>
    <w:p w14:paraId="5EA73329" w14:textId="701B9BF8" w:rsidR="00E40898" w:rsidRPr="00230978" w:rsidRDefault="007D652E" w:rsidP="005B1F87">
      <w:pPr>
        <w:pStyle w:val="ListParagraph"/>
        <w:numPr>
          <w:ilvl w:val="0"/>
          <w:numId w:val="36"/>
        </w:numPr>
        <w:autoSpaceDE w:val="0"/>
        <w:autoSpaceDN w:val="0"/>
        <w:adjustRightInd w:val="0"/>
        <w:rPr>
          <w:rFonts w:ascii="Arial" w:hAnsi="Arial"/>
          <w:sz w:val="22"/>
          <w:lang w:eastAsia="zh-TW"/>
        </w:rPr>
      </w:pPr>
      <w:r w:rsidRPr="007D652E">
        <w:rPr>
          <w:rFonts w:ascii="Arial" w:hAnsi="Arial" w:cs="Arial"/>
          <w:sz w:val="22"/>
          <w:szCs w:val="22"/>
          <w:lang w:eastAsia="zh-TW" w:bidi="th-TH"/>
        </w:rPr>
        <w:t>e</w:t>
      </w:r>
      <w:r w:rsidR="00E40898" w:rsidRPr="005B1F87">
        <w:rPr>
          <w:rFonts w:ascii="Arial" w:hAnsi="Arial" w:cs="Arial"/>
          <w:sz w:val="22"/>
          <w:szCs w:val="22"/>
          <w:lang w:eastAsia="zh-TW" w:bidi="th-TH"/>
        </w:rPr>
        <w:t>xamine ways to improve board performance</w:t>
      </w:r>
      <w:r w:rsidR="008E4F55">
        <w:rPr>
          <w:rFonts w:ascii="Arial" w:hAnsi="Arial" w:cs="Arial"/>
          <w:sz w:val="22"/>
          <w:szCs w:val="22"/>
          <w:lang w:eastAsia="zh-TW" w:bidi="th-TH"/>
        </w:rPr>
        <w:t>;</w:t>
      </w:r>
    </w:p>
    <w:p w14:paraId="5EA7332A" w14:textId="014F46FC" w:rsidR="00E40898" w:rsidRPr="00230978" w:rsidRDefault="007D652E" w:rsidP="005B1F87">
      <w:pPr>
        <w:pStyle w:val="ListParagraph"/>
        <w:numPr>
          <w:ilvl w:val="0"/>
          <w:numId w:val="36"/>
        </w:numPr>
        <w:autoSpaceDE w:val="0"/>
        <w:autoSpaceDN w:val="0"/>
        <w:adjustRightInd w:val="0"/>
        <w:rPr>
          <w:rFonts w:ascii="Arial" w:hAnsi="Arial"/>
          <w:sz w:val="22"/>
          <w:lang w:eastAsia="zh-TW"/>
        </w:rPr>
      </w:pPr>
      <w:r w:rsidRPr="007D652E">
        <w:rPr>
          <w:rFonts w:ascii="Arial" w:hAnsi="Arial" w:cs="Arial"/>
          <w:sz w:val="22"/>
          <w:szCs w:val="22"/>
          <w:lang w:eastAsia="zh-TW" w:bidi="th-TH"/>
        </w:rPr>
        <w:t>r</w:t>
      </w:r>
      <w:r w:rsidR="00E40898" w:rsidRPr="005B1F87">
        <w:rPr>
          <w:rFonts w:ascii="Arial" w:hAnsi="Arial" w:cs="Arial"/>
          <w:sz w:val="22"/>
          <w:szCs w:val="22"/>
          <w:lang w:eastAsia="zh-TW" w:bidi="th-TH"/>
        </w:rPr>
        <w:t>eview and recommend to the Board a process for the orientation</w:t>
      </w:r>
      <w:r w:rsidR="008E4F55">
        <w:rPr>
          <w:rFonts w:ascii="Arial" w:hAnsi="Arial" w:cs="Arial"/>
          <w:sz w:val="22"/>
          <w:szCs w:val="22"/>
          <w:lang w:eastAsia="zh-TW" w:bidi="th-TH"/>
        </w:rPr>
        <w:t xml:space="preserve"> and education of new Directors; and</w:t>
      </w:r>
    </w:p>
    <w:p w14:paraId="5EA7332B" w14:textId="73939725" w:rsidR="00E40898" w:rsidRPr="00230978" w:rsidRDefault="007D652E" w:rsidP="005B1F87">
      <w:pPr>
        <w:pStyle w:val="ListParagraph"/>
        <w:numPr>
          <w:ilvl w:val="0"/>
          <w:numId w:val="36"/>
        </w:numPr>
        <w:autoSpaceDE w:val="0"/>
        <w:autoSpaceDN w:val="0"/>
        <w:adjustRightInd w:val="0"/>
        <w:rPr>
          <w:rFonts w:ascii="Arial" w:hAnsi="Arial"/>
          <w:sz w:val="22"/>
          <w:lang w:eastAsia="zh-TW"/>
        </w:rPr>
      </w:pPr>
      <w:proofErr w:type="gramStart"/>
      <w:r w:rsidRPr="007D652E">
        <w:rPr>
          <w:rFonts w:ascii="Arial" w:hAnsi="Arial" w:cs="Arial"/>
          <w:sz w:val="22"/>
          <w:szCs w:val="22"/>
          <w:lang w:eastAsia="zh-TW" w:bidi="th-TH"/>
        </w:rPr>
        <w:t>e</w:t>
      </w:r>
      <w:r w:rsidR="00E40898" w:rsidRPr="005B1F87">
        <w:rPr>
          <w:rFonts w:ascii="Arial" w:hAnsi="Arial" w:cs="Arial"/>
          <w:sz w:val="22"/>
          <w:szCs w:val="22"/>
          <w:lang w:eastAsia="zh-TW" w:bidi="th-TH"/>
        </w:rPr>
        <w:t>ncourage</w:t>
      </w:r>
      <w:proofErr w:type="gramEnd"/>
      <w:r w:rsidR="00E40898" w:rsidRPr="005B1F87">
        <w:rPr>
          <w:rFonts w:ascii="Arial" w:hAnsi="Arial" w:cs="Arial"/>
          <w:sz w:val="22"/>
          <w:szCs w:val="22"/>
          <w:lang w:eastAsia="zh-TW" w:bidi="th-TH"/>
        </w:rPr>
        <w:t xml:space="preserve"> Directors to attend relevant site visits and undertake relevant external education where they wish to do so.</w:t>
      </w:r>
    </w:p>
    <w:p w14:paraId="5EA73336" w14:textId="77777777" w:rsidR="004441A8" w:rsidRPr="00A94A4A" w:rsidRDefault="004441A8" w:rsidP="002206F9">
      <w:pPr>
        <w:autoSpaceDE w:val="0"/>
        <w:autoSpaceDN w:val="0"/>
        <w:adjustRightInd w:val="0"/>
        <w:rPr>
          <w:rFonts w:cs="Arial"/>
          <w:sz w:val="20"/>
          <w:szCs w:val="22"/>
          <w:highlight w:val="yellow"/>
        </w:rPr>
      </w:pPr>
    </w:p>
    <w:p w14:paraId="5EA73337" w14:textId="77777777" w:rsidR="004441A8" w:rsidRPr="00EE5A6D" w:rsidRDefault="004441A8" w:rsidP="002206F9">
      <w:pPr>
        <w:autoSpaceDE w:val="0"/>
        <w:autoSpaceDN w:val="0"/>
        <w:adjustRightInd w:val="0"/>
        <w:rPr>
          <w:rFonts w:cs="Arial"/>
          <w:sz w:val="22"/>
          <w:szCs w:val="22"/>
        </w:rPr>
      </w:pPr>
      <w:r w:rsidRPr="00EE5A6D">
        <w:rPr>
          <w:rFonts w:cs="Arial"/>
          <w:sz w:val="22"/>
          <w:szCs w:val="22"/>
        </w:rPr>
        <w:t>The Board undertakes an annual self-assessment of the performance of the Board as a whole, its Committees, the Chair, individual Directors and governance processes that support Board work. Performance of individual Directors is assessed against a range of dimensions including the ability of the Director to consistently contribute to the development of strategies and risk identification, to provide clarity of direction to senior management, to listen to the views of fellow Directors and members of management and key third party stakeholders and to provide the time commitment to ensure the discharge of duties and obligations to the Company. The Chair meets privately with each Director to discuss individual and collective performance of Directors.</w:t>
      </w:r>
    </w:p>
    <w:p w14:paraId="45CA0F83" w14:textId="7C1042BA" w:rsidR="00A07FE0" w:rsidRDefault="00A07FE0">
      <w:pPr>
        <w:rPr>
          <w:rFonts w:cs="Arial"/>
          <w:sz w:val="22"/>
          <w:szCs w:val="22"/>
        </w:rPr>
      </w:pPr>
    </w:p>
    <w:p w14:paraId="5EA73339" w14:textId="3C989CF4" w:rsidR="00343F79" w:rsidRPr="00156683" w:rsidRDefault="00343F79" w:rsidP="002206F9">
      <w:pPr>
        <w:rPr>
          <w:rFonts w:cs="Arial"/>
          <w:sz w:val="22"/>
          <w:szCs w:val="22"/>
        </w:rPr>
      </w:pPr>
      <w:r w:rsidRPr="00156683">
        <w:rPr>
          <w:rFonts w:cs="Arial"/>
          <w:sz w:val="22"/>
          <w:szCs w:val="22"/>
        </w:rPr>
        <w:t>Committee members during the year were:</w:t>
      </w:r>
    </w:p>
    <w:p w14:paraId="5EA7333A" w14:textId="77777777" w:rsidR="00343F79" w:rsidRPr="00EE5A6D" w:rsidRDefault="00343F79" w:rsidP="002206F9">
      <w:pPr>
        <w:rPr>
          <w:rFonts w:cs="Arial"/>
          <w:sz w:val="20"/>
          <w:szCs w:val="22"/>
        </w:rPr>
      </w:pPr>
    </w:p>
    <w:p w14:paraId="5EA7333B" w14:textId="77777777" w:rsidR="00343F79" w:rsidRPr="00156683" w:rsidRDefault="00343F79" w:rsidP="002206F9">
      <w:pPr>
        <w:rPr>
          <w:rFonts w:cs="Arial"/>
          <w:sz w:val="22"/>
          <w:szCs w:val="22"/>
        </w:rPr>
      </w:pPr>
      <w:r w:rsidRPr="00156683">
        <w:rPr>
          <w:rFonts w:cs="Arial"/>
          <w:sz w:val="22"/>
          <w:szCs w:val="22"/>
        </w:rPr>
        <w:t>Kevin Murfitt (Chair)</w:t>
      </w:r>
    </w:p>
    <w:p w14:paraId="5EA7333C" w14:textId="535C6F13" w:rsidR="00343F79" w:rsidRPr="00156683" w:rsidRDefault="006738C8" w:rsidP="002206F9">
      <w:pPr>
        <w:rPr>
          <w:rFonts w:cs="Arial"/>
          <w:sz w:val="22"/>
          <w:szCs w:val="22"/>
        </w:rPr>
      </w:pPr>
      <w:r>
        <w:rPr>
          <w:rFonts w:cs="Arial"/>
          <w:sz w:val="22"/>
          <w:szCs w:val="22"/>
        </w:rPr>
        <w:t>Theresa Smith-Ruig</w:t>
      </w:r>
    </w:p>
    <w:p w14:paraId="5EA7333D" w14:textId="77777777" w:rsidR="00343F79" w:rsidRPr="00156683" w:rsidRDefault="00343F79" w:rsidP="002206F9">
      <w:pPr>
        <w:rPr>
          <w:rFonts w:cs="Arial"/>
          <w:sz w:val="22"/>
          <w:szCs w:val="22"/>
        </w:rPr>
      </w:pPr>
      <w:r w:rsidRPr="00156683">
        <w:rPr>
          <w:rFonts w:cs="Arial"/>
          <w:sz w:val="22"/>
          <w:szCs w:val="22"/>
        </w:rPr>
        <w:t xml:space="preserve">Don Fraser </w:t>
      </w:r>
    </w:p>
    <w:p w14:paraId="5EA7333E" w14:textId="77777777" w:rsidR="00343F79" w:rsidRDefault="00B2767F" w:rsidP="002206F9">
      <w:pPr>
        <w:rPr>
          <w:rFonts w:cs="Arial"/>
          <w:sz w:val="22"/>
          <w:szCs w:val="22"/>
        </w:rPr>
      </w:pPr>
      <w:r>
        <w:rPr>
          <w:rFonts w:cs="Arial"/>
          <w:sz w:val="22"/>
          <w:szCs w:val="22"/>
        </w:rPr>
        <w:lastRenderedPageBreak/>
        <w:t>Nick Carter</w:t>
      </w:r>
    </w:p>
    <w:p w14:paraId="5EA7333F" w14:textId="77777777" w:rsidR="00B2767F" w:rsidRDefault="00B2767F">
      <w:pPr>
        <w:rPr>
          <w:rFonts w:cs="Arial"/>
          <w:sz w:val="22"/>
          <w:szCs w:val="22"/>
        </w:rPr>
      </w:pPr>
    </w:p>
    <w:p w14:paraId="5EA73340" w14:textId="4DFFCE67" w:rsidR="004441A8" w:rsidRPr="00DD1946" w:rsidRDefault="004441A8" w:rsidP="002206F9">
      <w:pPr>
        <w:rPr>
          <w:rFonts w:cs="Arial"/>
          <w:sz w:val="22"/>
          <w:szCs w:val="22"/>
        </w:rPr>
      </w:pPr>
      <w:r w:rsidRPr="00EE5A6D">
        <w:rPr>
          <w:rFonts w:cs="Arial"/>
          <w:sz w:val="22"/>
          <w:szCs w:val="22"/>
        </w:rPr>
        <w:t>The Board Development and Nominations Committee charter can be viewed on the Vision Australia</w:t>
      </w:r>
      <w:r>
        <w:rPr>
          <w:rFonts w:cs="Arial"/>
          <w:sz w:val="22"/>
          <w:szCs w:val="22"/>
        </w:rPr>
        <w:t xml:space="preserve"> </w:t>
      </w:r>
      <w:r w:rsidRPr="00EE5A6D">
        <w:rPr>
          <w:rFonts w:cs="Arial"/>
          <w:sz w:val="22"/>
          <w:szCs w:val="22"/>
        </w:rPr>
        <w:t>website</w:t>
      </w:r>
      <w:r>
        <w:rPr>
          <w:rFonts w:cs="Arial"/>
          <w:sz w:val="22"/>
          <w:szCs w:val="22"/>
        </w:rPr>
        <w:t xml:space="preserve"> </w:t>
      </w:r>
      <w:r w:rsidR="00026F59">
        <w:rPr>
          <w:rFonts w:cs="Arial"/>
          <w:sz w:val="22"/>
          <w:szCs w:val="22"/>
        </w:rPr>
        <w:t xml:space="preserve">at </w:t>
      </w:r>
      <w:hyperlink r:id="rId27" w:history="1">
        <w:r w:rsidR="005C1CCD" w:rsidRPr="005C1CCD">
          <w:rPr>
            <w:rStyle w:val="Hyperlink"/>
            <w:rFonts w:cs="Arial"/>
            <w:sz w:val="22"/>
            <w:szCs w:val="22"/>
          </w:rPr>
          <w:t>this link</w:t>
        </w:r>
      </w:hyperlink>
      <w:r w:rsidR="005C1CCD">
        <w:rPr>
          <w:rFonts w:cs="Arial"/>
          <w:sz w:val="22"/>
          <w:szCs w:val="22"/>
        </w:rPr>
        <w:t>.</w:t>
      </w:r>
    </w:p>
    <w:p w14:paraId="5EA73341" w14:textId="77777777" w:rsidR="004441A8" w:rsidRDefault="004441A8" w:rsidP="002206F9">
      <w:pPr>
        <w:rPr>
          <w:rFonts w:cs="Arial"/>
          <w:b/>
          <w:color w:val="0000FF"/>
          <w:sz w:val="22"/>
          <w:szCs w:val="22"/>
          <w:lang w:eastAsia="en-AU"/>
        </w:rPr>
      </w:pPr>
    </w:p>
    <w:p w14:paraId="5EA73342" w14:textId="77777777" w:rsidR="004441A8" w:rsidRPr="00343F79" w:rsidRDefault="004441A8" w:rsidP="00431251">
      <w:pPr>
        <w:pStyle w:val="Heading4"/>
        <w:jc w:val="left"/>
        <w:rPr>
          <w:lang w:eastAsia="en-AU"/>
        </w:rPr>
      </w:pPr>
      <w:r w:rsidRPr="00343F79">
        <w:rPr>
          <w:lang w:eastAsia="en-AU"/>
        </w:rPr>
        <w:t>Strategic Program Committee</w:t>
      </w:r>
    </w:p>
    <w:p w14:paraId="5EA73343" w14:textId="77777777" w:rsidR="004441A8" w:rsidRPr="00313D6B" w:rsidRDefault="004441A8" w:rsidP="002206F9">
      <w:pPr>
        <w:autoSpaceDE w:val="0"/>
        <w:autoSpaceDN w:val="0"/>
        <w:adjustRightInd w:val="0"/>
        <w:rPr>
          <w:rFonts w:cs="Arial"/>
          <w:b/>
          <w:sz w:val="22"/>
          <w:szCs w:val="22"/>
        </w:rPr>
      </w:pPr>
    </w:p>
    <w:p w14:paraId="5EA73344" w14:textId="170A51D6" w:rsidR="004441A8" w:rsidRPr="00F61975" w:rsidRDefault="004441A8" w:rsidP="002206F9">
      <w:pPr>
        <w:autoSpaceDE w:val="0"/>
        <w:autoSpaceDN w:val="0"/>
        <w:adjustRightInd w:val="0"/>
        <w:rPr>
          <w:rFonts w:cs="Arial"/>
          <w:sz w:val="22"/>
          <w:szCs w:val="22"/>
        </w:rPr>
      </w:pPr>
      <w:r>
        <w:rPr>
          <w:rFonts w:cs="Arial"/>
          <w:sz w:val="22"/>
          <w:szCs w:val="22"/>
        </w:rPr>
        <w:t xml:space="preserve">The </w:t>
      </w:r>
      <w:r w:rsidRPr="00F61975">
        <w:rPr>
          <w:rFonts w:cs="Arial"/>
          <w:sz w:val="22"/>
          <w:szCs w:val="22"/>
        </w:rPr>
        <w:t>Board has established</w:t>
      </w:r>
      <w:r>
        <w:rPr>
          <w:rFonts w:cs="Arial"/>
          <w:sz w:val="22"/>
          <w:szCs w:val="22"/>
        </w:rPr>
        <w:t xml:space="preserve"> </w:t>
      </w:r>
      <w:r w:rsidRPr="00F61975">
        <w:rPr>
          <w:rFonts w:cs="Arial"/>
          <w:sz w:val="22"/>
          <w:szCs w:val="22"/>
        </w:rPr>
        <w:t>the Strategic Program Committee which has the responsibility</w:t>
      </w:r>
      <w:r>
        <w:rPr>
          <w:rFonts w:cs="Arial"/>
          <w:sz w:val="22"/>
          <w:szCs w:val="22"/>
        </w:rPr>
        <w:t xml:space="preserve"> on behalf of the Board </w:t>
      </w:r>
      <w:r w:rsidRPr="00F61975">
        <w:rPr>
          <w:rFonts w:cs="Arial"/>
          <w:sz w:val="22"/>
          <w:szCs w:val="22"/>
        </w:rPr>
        <w:t>to provide governance oversight for the strategic change program that is be</w:t>
      </w:r>
      <w:r w:rsidR="0054179F">
        <w:rPr>
          <w:rFonts w:cs="Arial"/>
          <w:sz w:val="22"/>
          <w:szCs w:val="22"/>
        </w:rPr>
        <w:t>ing implemented as part of the Strategic P</w:t>
      </w:r>
      <w:r w:rsidRPr="00F61975">
        <w:rPr>
          <w:rFonts w:cs="Arial"/>
          <w:sz w:val="22"/>
          <w:szCs w:val="22"/>
        </w:rPr>
        <w:t>lan 2014 - 2018.</w:t>
      </w:r>
    </w:p>
    <w:p w14:paraId="5EA73345" w14:textId="77777777" w:rsidR="004441A8" w:rsidRDefault="004441A8" w:rsidP="002206F9">
      <w:pPr>
        <w:autoSpaceDE w:val="0"/>
        <w:autoSpaceDN w:val="0"/>
        <w:adjustRightInd w:val="0"/>
        <w:rPr>
          <w:rFonts w:cs="Arial"/>
          <w:sz w:val="22"/>
          <w:szCs w:val="22"/>
        </w:rPr>
      </w:pPr>
    </w:p>
    <w:p w14:paraId="5EA73346" w14:textId="77777777" w:rsidR="004441A8" w:rsidRDefault="004441A8" w:rsidP="002206F9">
      <w:pPr>
        <w:autoSpaceDE w:val="0"/>
        <w:autoSpaceDN w:val="0"/>
        <w:adjustRightInd w:val="0"/>
        <w:rPr>
          <w:rFonts w:cs="Arial"/>
          <w:sz w:val="22"/>
          <w:szCs w:val="22"/>
        </w:rPr>
      </w:pPr>
      <w:r w:rsidRPr="00F61975">
        <w:rPr>
          <w:rFonts w:cs="Arial"/>
          <w:sz w:val="22"/>
          <w:szCs w:val="22"/>
        </w:rPr>
        <w:t xml:space="preserve">The main responsibilities of the committee include: </w:t>
      </w:r>
    </w:p>
    <w:p w14:paraId="5EA73347" w14:textId="77777777" w:rsidR="004441A8" w:rsidRPr="00F61975" w:rsidRDefault="004441A8" w:rsidP="002206F9">
      <w:pPr>
        <w:autoSpaceDE w:val="0"/>
        <w:autoSpaceDN w:val="0"/>
        <w:adjustRightInd w:val="0"/>
        <w:rPr>
          <w:rFonts w:cs="Arial"/>
          <w:sz w:val="22"/>
          <w:szCs w:val="22"/>
        </w:rPr>
      </w:pPr>
    </w:p>
    <w:p w14:paraId="5EA73348" w14:textId="39F060BB" w:rsidR="004441A8" w:rsidRPr="00F61975"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F61975">
        <w:rPr>
          <w:rFonts w:cs="Arial"/>
          <w:sz w:val="22"/>
          <w:szCs w:val="22"/>
        </w:rPr>
        <w:t>Maintaining a high-level understanding of the Vision Austr</w:t>
      </w:r>
      <w:r w:rsidR="008E4F55">
        <w:rPr>
          <w:rFonts w:cs="Arial"/>
          <w:sz w:val="22"/>
          <w:szCs w:val="22"/>
        </w:rPr>
        <w:t>alia strategic program of works;</w:t>
      </w:r>
    </w:p>
    <w:p w14:paraId="5EA73349" w14:textId="2DD979A3" w:rsidR="004441A8" w:rsidRPr="00F61975"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F61975">
        <w:rPr>
          <w:rFonts w:cs="Arial"/>
          <w:sz w:val="22"/>
          <w:szCs w:val="22"/>
        </w:rPr>
        <w:t>Undertaking periodic reviews of progress towards d</w:t>
      </w:r>
      <w:r w:rsidR="008E4F55">
        <w:rPr>
          <w:rFonts w:cs="Arial"/>
          <w:sz w:val="22"/>
          <w:szCs w:val="22"/>
        </w:rPr>
        <w:t>elivering on the strategic plan;</w:t>
      </w:r>
    </w:p>
    <w:p w14:paraId="5EA7334A" w14:textId="25028E71" w:rsidR="004441A8" w:rsidRPr="00F61975"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F61975">
        <w:rPr>
          <w:rFonts w:cs="Arial"/>
          <w:sz w:val="22"/>
          <w:szCs w:val="22"/>
        </w:rPr>
        <w:t>Receiving reports on th</w:t>
      </w:r>
      <w:r w:rsidR="008E4F55">
        <w:rPr>
          <w:rFonts w:cs="Arial"/>
          <w:sz w:val="22"/>
          <w:szCs w:val="22"/>
        </w:rPr>
        <w:t>e project at periodic intervals;</w:t>
      </w:r>
    </w:p>
    <w:p w14:paraId="5EA7334B" w14:textId="235A64A6" w:rsidR="004441A8" w:rsidRPr="00F61975"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F61975">
        <w:rPr>
          <w:rFonts w:cs="Arial"/>
          <w:sz w:val="22"/>
          <w:szCs w:val="22"/>
        </w:rPr>
        <w:t>Reviewing proposals and recommendations made by management and make decisions or endorse proposal</w:t>
      </w:r>
      <w:r w:rsidR="008E4F55">
        <w:rPr>
          <w:rFonts w:cs="Arial"/>
          <w:sz w:val="22"/>
          <w:szCs w:val="22"/>
        </w:rPr>
        <w:t>s to the Vision Australia Board;</w:t>
      </w:r>
    </w:p>
    <w:p w14:paraId="5EA7334C" w14:textId="7C337678" w:rsidR="004441A8" w:rsidRPr="00F61975"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F61975">
        <w:rPr>
          <w:rFonts w:cs="Arial"/>
          <w:sz w:val="22"/>
          <w:szCs w:val="22"/>
        </w:rPr>
        <w:t>Reviewing project risks and provide advice to management on mitigation measures</w:t>
      </w:r>
      <w:r w:rsidR="008E4F55">
        <w:rPr>
          <w:rFonts w:cs="Arial"/>
          <w:sz w:val="22"/>
          <w:szCs w:val="22"/>
        </w:rPr>
        <w:t>; and</w:t>
      </w:r>
    </w:p>
    <w:p w14:paraId="5EA7334D" w14:textId="77777777" w:rsidR="004441A8" w:rsidRPr="00F61975" w:rsidRDefault="004441A8" w:rsidP="0031284D">
      <w:pPr>
        <w:numPr>
          <w:ilvl w:val="0"/>
          <w:numId w:val="11"/>
        </w:numPr>
        <w:tabs>
          <w:tab w:val="clear" w:pos="720"/>
          <w:tab w:val="num" w:pos="426"/>
        </w:tabs>
        <w:autoSpaceDE w:val="0"/>
        <w:autoSpaceDN w:val="0"/>
        <w:adjustRightInd w:val="0"/>
        <w:ind w:left="426" w:hanging="426"/>
        <w:rPr>
          <w:rFonts w:cs="Arial"/>
          <w:sz w:val="22"/>
          <w:szCs w:val="22"/>
        </w:rPr>
      </w:pPr>
      <w:r w:rsidRPr="00F61975">
        <w:rPr>
          <w:rFonts w:cs="Arial"/>
          <w:sz w:val="22"/>
          <w:szCs w:val="22"/>
        </w:rPr>
        <w:t>Providing advice and guidance to management in support of the implementation of the strategic change program.</w:t>
      </w:r>
    </w:p>
    <w:p w14:paraId="5EA73353" w14:textId="5B443851" w:rsidR="004441A8" w:rsidRDefault="004441A8" w:rsidP="002206F9">
      <w:pPr>
        <w:autoSpaceDE w:val="0"/>
        <w:autoSpaceDN w:val="0"/>
        <w:adjustRightInd w:val="0"/>
        <w:rPr>
          <w:rFonts w:cs="Arial"/>
          <w:sz w:val="22"/>
          <w:szCs w:val="22"/>
        </w:rPr>
      </w:pPr>
    </w:p>
    <w:p w14:paraId="5EA73354" w14:textId="77777777" w:rsidR="004441A8" w:rsidRPr="00F61975" w:rsidRDefault="004441A8" w:rsidP="002206F9">
      <w:pPr>
        <w:autoSpaceDE w:val="0"/>
        <w:autoSpaceDN w:val="0"/>
        <w:adjustRightInd w:val="0"/>
        <w:rPr>
          <w:rFonts w:cs="Arial"/>
          <w:sz w:val="22"/>
          <w:szCs w:val="22"/>
        </w:rPr>
      </w:pPr>
      <w:r w:rsidRPr="00F61975">
        <w:rPr>
          <w:rFonts w:cs="Arial"/>
          <w:sz w:val="22"/>
          <w:szCs w:val="22"/>
        </w:rPr>
        <w:t>The Committee will exist for the duration of the implementation of the strategic change program, or such other time as determined by the Board.</w:t>
      </w:r>
    </w:p>
    <w:p w14:paraId="5EA73355" w14:textId="77777777" w:rsidR="004441A8" w:rsidRDefault="004441A8" w:rsidP="002206F9">
      <w:pPr>
        <w:autoSpaceDE w:val="0"/>
        <w:autoSpaceDN w:val="0"/>
        <w:adjustRightInd w:val="0"/>
        <w:rPr>
          <w:rFonts w:cs="Arial"/>
          <w:sz w:val="22"/>
          <w:szCs w:val="22"/>
        </w:rPr>
      </w:pPr>
    </w:p>
    <w:p w14:paraId="5EA73356" w14:textId="77777777" w:rsidR="004441A8" w:rsidRPr="00F61975" w:rsidRDefault="004441A8" w:rsidP="002206F9">
      <w:pPr>
        <w:autoSpaceDE w:val="0"/>
        <w:autoSpaceDN w:val="0"/>
        <w:adjustRightInd w:val="0"/>
        <w:rPr>
          <w:rFonts w:cs="Arial"/>
          <w:sz w:val="22"/>
          <w:szCs w:val="22"/>
        </w:rPr>
      </w:pPr>
      <w:r w:rsidRPr="00F61975">
        <w:rPr>
          <w:rFonts w:cs="Arial"/>
          <w:sz w:val="22"/>
          <w:szCs w:val="22"/>
        </w:rPr>
        <w:t>Committee members during the year were:</w:t>
      </w:r>
    </w:p>
    <w:p w14:paraId="5EA73357" w14:textId="77777777" w:rsidR="004441A8" w:rsidRPr="00F61975" w:rsidRDefault="004441A8" w:rsidP="002206F9">
      <w:pPr>
        <w:rPr>
          <w:rFonts w:cs="Arial"/>
          <w:sz w:val="22"/>
          <w:szCs w:val="22"/>
        </w:rPr>
      </w:pPr>
    </w:p>
    <w:p w14:paraId="5EA73358" w14:textId="77777777" w:rsidR="004441A8" w:rsidRPr="00F61975" w:rsidRDefault="004441A8" w:rsidP="002206F9">
      <w:pPr>
        <w:rPr>
          <w:rFonts w:cs="Arial"/>
          <w:sz w:val="22"/>
          <w:szCs w:val="22"/>
        </w:rPr>
      </w:pPr>
      <w:r w:rsidRPr="00F61975">
        <w:rPr>
          <w:rFonts w:cs="Arial"/>
          <w:sz w:val="22"/>
          <w:szCs w:val="22"/>
        </w:rPr>
        <w:t>Don Fr</w:t>
      </w:r>
      <w:r>
        <w:rPr>
          <w:rFonts w:cs="Arial"/>
          <w:sz w:val="22"/>
          <w:szCs w:val="22"/>
        </w:rPr>
        <w:t>aser (Chair</w:t>
      </w:r>
      <w:r w:rsidR="00B2767F">
        <w:rPr>
          <w:rFonts w:cs="Arial"/>
          <w:sz w:val="22"/>
          <w:szCs w:val="22"/>
        </w:rPr>
        <w:t>)</w:t>
      </w:r>
    </w:p>
    <w:p w14:paraId="5EA73359" w14:textId="77777777" w:rsidR="004441A8" w:rsidRPr="00F61975" w:rsidRDefault="00B2767F" w:rsidP="002206F9">
      <w:pPr>
        <w:rPr>
          <w:rFonts w:cs="Arial"/>
          <w:sz w:val="22"/>
          <w:szCs w:val="22"/>
        </w:rPr>
      </w:pPr>
      <w:r>
        <w:rPr>
          <w:rFonts w:cs="Arial"/>
          <w:sz w:val="22"/>
          <w:szCs w:val="22"/>
        </w:rPr>
        <w:t>Kevin Murfitt</w:t>
      </w:r>
    </w:p>
    <w:p w14:paraId="5EA7335A" w14:textId="77777777" w:rsidR="004441A8" w:rsidRPr="00F61975" w:rsidRDefault="00B2767F" w:rsidP="002206F9">
      <w:pPr>
        <w:rPr>
          <w:rFonts w:cs="Arial"/>
          <w:sz w:val="22"/>
          <w:szCs w:val="22"/>
        </w:rPr>
      </w:pPr>
      <w:r>
        <w:rPr>
          <w:rFonts w:cs="Arial"/>
          <w:sz w:val="22"/>
          <w:szCs w:val="22"/>
        </w:rPr>
        <w:t>Sara Watts</w:t>
      </w:r>
    </w:p>
    <w:p w14:paraId="5EA7335B" w14:textId="77777777" w:rsidR="004441A8" w:rsidRDefault="00B2767F" w:rsidP="002206F9">
      <w:pPr>
        <w:rPr>
          <w:rFonts w:cs="Arial"/>
          <w:sz w:val="22"/>
          <w:szCs w:val="22"/>
        </w:rPr>
      </w:pPr>
      <w:r>
        <w:rPr>
          <w:rFonts w:cs="Arial"/>
          <w:sz w:val="22"/>
          <w:szCs w:val="22"/>
        </w:rPr>
        <w:t>Heith Mackay-Cruise</w:t>
      </w:r>
    </w:p>
    <w:p w14:paraId="5EA7335C" w14:textId="77777777" w:rsidR="004441A8" w:rsidRDefault="00B2767F" w:rsidP="002206F9">
      <w:pPr>
        <w:rPr>
          <w:rFonts w:cs="Arial"/>
          <w:sz w:val="22"/>
          <w:szCs w:val="22"/>
        </w:rPr>
      </w:pPr>
      <w:r>
        <w:rPr>
          <w:rFonts w:cs="Arial"/>
          <w:sz w:val="22"/>
          <w:szCs w:val="22"/>
        </w:rPr>
        <w:t>Lyn Allison</w:t>
      </w:r>
    </w:p>
    <w:p w14:paraId="5EA7335D" w14:textId="77777777" w:rsidR="006738C8" w:rsidRDefault="006738C8" w:rsidP="002206F9">
      <w:pPr>
        <w:rPr>
          <w:rFonts w:cs="Arial"/>
          <w:sz w:val="22"/>
          <w:szCs w:val="22"/>
        </w:rPr>
      </w:pPr>
    </w:p>
    <w:p w14:paraId="5EA7335E" w14:textId="0821B4AF" w:rsidR="006738C8" w:rsidRPr="00DD1946" w:rsidRDefault="006738C8" w:rsidP="006738C8">
      <w:pPr>
        <w:rPr>
          <w:rFonts w:cs="Arial"/>
          <w:sz w:val="22"/>
          <w:szCs w:val="22"/>
        </w:rPr>
      </w:pPr>
      <w:r w:rsidRPr="00EE5A6D">
        <w:rPr>
          <w:rFonts w:cs="Arial"/>
          <w:sz w:val="22"/>
          <w:szCs w:val="22"/>
        </w:rPr>
        <w:t xml:space="preserve">The </w:t>
      </w:r>
      <w:r>
        <w:rPr>
          <w:rFonts w:cs="Arial"/>
          <w:sz w:val="22"/>
          <w:szCs w:val="22"/>
        </w:rPr>
        <w:t xml:space="preserve">Strategic Program </w:t>
      </w:r>
      <w:r w:rsidRPr="00EE5A6D">
        <w:rPr>
          <w:rFonts w:cs="Arial"/>
          <w:sz w:val="22"/>
          <w:szCs w:val="22"/>
        </w:rPr>
        <w:t>Committee charter can be viewed on the Vision Australia</w:t>
      </w:r>
      <w:r>
        <w:rPr>
          <w:rFonts w:cs="Arial"/>
          <w:sz w:val="22"/>
          <w:szCs w:val="22"/>
        </w:rPr>
        <w:t xml:space="preserve"> </w:t>
      </w:r>
      <w:r w:rsidRPr="00EE5A6D">
        <w:rPr>
          <w:rFonts w:cs="Arial"/>
          <w:sz w:val="22"/>
          <w:szCs w:val="22"/>
        </w:rPr>
        <w:t>website</w:t>
      </w:r>
      <w:r>
        <w:rPr>
          <w:rFonts w:cs="Arial"/>
          <w:sz w:val="22"/>
          <w:szCs w:val="22"/>
        </w:rPr>
        <w:t xml:space="preserve"> at</w:t>
      </w:r>
      <w:r w:rsidRPr="00DD1946">
        <w:rPr>
          <w:rFonts w:cs="Arial"/>
          <w:sz w:val="22"/>
          <w:szCs w:val="22"/>
        </w:rPr>
        <w:t xml:space="preserve"> </w:t>
      </w:r>
      <w:hyperlink r:id="rId28" w:history="1">
        <w:r w:rsidR="005C1CCD" w:rsidRPr="005C1CCD">
          <w:rPr>
            <w:rStyle w:val="Hyperlink"/>
            <w:rFonts w:cs="Arial"/>
            <w:sz w:val="22"/>
            <w:szCs w:val="22"/>
          </w:rPr>
          <w:t>this link</w:t>
        </w:r>
      </w:hyperlink>
      <w:r w:rsidR="005C1CCD">
        <w:rPr>
          <w:rFonts w:cs="Arial"/>
          <w:sz w:val="22"/>
          <w:szCs w:val="22"/>
        </w:rPr>
        <w:t>.</w:t>
      </w:r>
    </w:p>
    <w:p w14:paraId="52ABB91B" w14:textId="21DC80D4" w:rsidR="00BD6654" w:rsidRDefault="00BD6654">
      <w:pPr>
        <w:rPr>
          <w:rFonts w:cs="Arial"/>
          <w:b/>
          <w:sz w:val="22"/>
          <w:szCs w:val="22"/>
        </w:rPr>
      </w:pPr>
    </w:p>
    <w:p w14:paraId="5EA73361" w14:textId="77777777" w:rsidR="00EB1EC9" w:rsidRPr="00431251" w:rsidRDefault="00EB1EC9" w:rsidP="00431251">
      <w:pPr>
        <w:pStyle w:val="Heading3"/>
        <w:jc w:val="left"/>
        <w:rPr>
          <w:color w:val="auto"/>
          <w:sz w:val="22"/>
          <w:szCs w:val="22"/>
        </w:rPr>
      </w:pPr>
      <w:bookmarkStart w:id="89" w:name="_Toc430613017"/>
      <w:bookmarkStart w:id="90" w:name="_Toc430613323"/>
      <w:bookmarkStart w:id="91" w:name="_Toc430613694"/>
      <w:r w:rsidRPr="00431251">
        <w:rPr>
          <w:color w:val="auto"/>
          <w:sz w:val="22"/>
          <w:szCs w:val="22"/>
        </w:rPr>
        <w:t>5. Principal Activities</w:t>
      </w:r>
      <w:bookmarkEnd w:id="89"/>
      <w:bookmarkEnd w:id="90"/>
      <w:bookmarkEnd w:id="91"/>
      <w:r w:rsidRPr="00431251">
        <w:rPr>
          <w:color w:val="auto"/>
          <w:sz w:val="22"/>
          <w:szCs w:val="22"/>
        </w:rPr>
        <w:tab/>
      </w:r>
    </w:p>
    <w:p w14:paraId="5EA73362" w14:textId="77777777" w:rsidR="00EB1EC9" w:rsidRPr="00EE5A6D" w:rsidRDefault="00EB1EC9" w:rsidP="002206F9">
      <w:pPr>
        <w:rPr>
          <w:rFonts w:cs="Arial"/>
          <w:b/>
          <w:sz w:val="18"/>
          <w:szCs w:val="22"/>
        </w:rPr>
      </w:pPr>
    </w:p>
    <w:p w14:paraId="5EA73363" w14:textId="77777777" w:rsidR="00EB1EC9" w:rsidRPr="00EE5A6D" w:rsidRDefault="00EB1EC9" w:rsidP="002206F9">
      <w:pPr>
        <w:rPr>
          <w:rFonts w:cs="Arial"/>
          <w:sz w:val="22"/>
          <w:szCs w:val="22"/>
        </w:rPr>
      </w:pPr>
      <w:r w:rsidRPr="00EE5A6D">
        <w:rPr>
          <w:rFonts w:cs="Arial"/>
          <w:sz w:val="22"/>
          <w:szCs w:val="22"/>
        </w:rPr>
        <w:t>The principal activities of Vision Australia</w:t>
      </w:r>
      <w:r w:rsidR="00A124A1" w:rsidRPr="00EE5A6D">
        <w:rPr>
          <w:rFonts w:cs="Arial"/>
          <w:sz w:val="22"/>
          <w:szCs w:val="22"/>
        </w:rPr>
        <w:t xml:space="preserve"> Limited</w:t>
      </w:r>
      <w:r w:rsidRPr="00EE5A6D">
        <w:rPr>
          <w:rFonts w:cs="Arial"/>
          <w:sz w:val="22"/>
          <w:szCs w:val="22"/>
        </w:rPr>
        <w:t xml:space="preserve"> during the financial year were the provision of services, programs and goods to people who are blind or have low vision.</w:t>
      </w:r>
    </w:p>
    <w:p w14:paraId="5EA73364" w14:textId="77777777" w:rsidR="00EB1EC9" w:rsidRPr="00A94A4A" w:rsidRDefault="00EB1EC9" w:rsidP="002206F9">
      <w:pPr>
        <w:rPr>
          <w:rFonts w:cs="Arial"/>
          <w:sz w:val="18"/>
          <w:szCs w:val="22"/>
          <w:highlight w:val="yellow"/>
        </w:rPr>
      </w:pPr>
    </w:p>
    <w:p w14:paraId="15CDE8E1" w14:textId="77777777" w:rsidR="00A07FE0" w:rsidRDefault="00A07FE0">
      <w:pPr>
        <w:rPr>
          <w:rFonts w:cs="Arial"/>
          <w:b/>
          <w:sz w:val="22"/>
          <w:szCs w:val="22"/>
        </w:rPr>
      </w:pPr>
      <w:r>
        <w:rPr>
          <w:rFonts w:cs="Arial"/>
          <w:b/>
          <w:sz w:val="22"/>
          <w:szCs w:val="22"/>
        </w:rPr>
        <w:br w:type="page"/>
      </w:r>
    </w:p>
    <w:p w14:paraId="5EA73365" w14:textId="2D57A126" w:rsidR="00965856" w:rsidRPr="00431251" w:rsidRDefault="00965856" w:rsidP="00431251">
      <w:pPr>
        <w:pStyle w:val="Heading3"/>
        <w:jc w:val="left"/>
        <w:rPr>
          <w:color w:val="auto"/>
          <w:sz w:val="22"/>
          <w:szCs w:val="22"/>
        </w:rPr>
      </w:pPr>
      <w:bookmarkStart w:id="92" w:name="_Toc430613018"/>
      <w:bookmarkStart w:id="93" w:name="_Toc430613324"/>
      <w:bookmarkStart w:id="94" w:name="_Toc430613695"/>
      <w:r w:rsidRPr="00431251">
        <w:rPr>
          <w:color w:val="auto"/>
          <w:sz w:val="22"/>
          <w:szCs w:val="22"/>
        </w:rPr>
        <w:lastRenderedPageBreak/>
        <w:t>6. Review of Operations</w:t>
      </w:r>
      <w:bookmarkEnd w:id="92"/>
      <w:bookmarkEnd w:id="93"/>
      <w:bookmarkEnd w:id="94"/>
    </w:p>
    <w:p w14:paraId="5EA73366" w14:textId="77777777" w:rsidR="00965856" w:rsidRPr="00A63479" w:rsidRDefault="00965856" w:rsidP="002206F9">
      <w:pPr>
        <w:rPr>
          <w:rFonts w:cs="Arial"/>
          <w:sz w:val="18"/>
          <w:szCs w:val="22"/>
        </w:rPr>
      </w:pPr>
    </w:p>
    <w:p w14:paraId="5EA73367" w14:textId="77777777" w:rsidR="00965856" w:rsidRPr="00A63479" w:rsidRDefault="00965856" w:rsidP="00431251">
      <w:pPr>
        <w:pStyle w:val="Heading4"/>
        <w:jc w:val="left"/>
      </w:pPr>
      <w:r w:rsidRPr="00A63479">
        <w:t>6.1 Highlights</w:t>
      </w:r>
    </w:p>
    <w:p w14:paraId="5EA73368" w14:textId="77777777" w:rsidR="00965856" w:rsidRPr="00A63479" w:rsidRDefault="00965856" w:rsidP="002206F9">
      <w:pPr>
        <w:rPr>
          <w:rFonts w:cs="Arial"/>
          <w:sz w:val="22"/>
          <w:szCs w:val="22"/>
        </w:rPr>
      </w:pPr>
    </w:p>
    <w:p w14:paraId="5EA73369" w14:textId="7DB9F39F" w:rsidR="00F51220" w:rsidRPr="00A63479" w:rsidRDefault="00D409FA" w:rsidP="002206F9">
      <w:pPr>
        <w:rPr>
          <w:rFonts w:cs="Arial"/>
          <w:color w:val="000000"/>
          <w:sz w:val="22"/>
          <w:szCs w:val="22"/>
        </w:rPr>
      </w:pPr>
      <w:r w:rsidRPr="00A63479">
        <w:rPr>
          <w:rFonts w:cs="Arial"/>
          <w:color w:val="000000"/>
          <w:sz w:val="22"/>
          <w:szCs w:val="22"/>
        </w:rPr>
        <w:t>During the financial year Vision Australia has continued to fulfil its mission of providing relevant services to people who are blind or vision impaired.</w:t>
      </w:r>
    </w:p>
    <w:p w14:paraId="5EA7336A" w14:textId="77777777" w:rsidR="00F51220" w:rsidRPr="00A63479" w:rsidRDefault="00F51220" w:rsidP="002206F9">
      <w:pPr>
        <w:rPr>
          <w:rFonts w:cs="Arial"/>
          <w:color w:val="000000"/>
          <w:sz w:val="22"/>
          <w:szCs w:val="22"/>
        </w:rPr>
      </w:pPr>
    </w:p>
    <w:p w14:paraId="5EA7336B" w14:textId="34B93076" w:rsidR="00D409FA" w:rsidRPr="00A63479" w:rsidRDefault="00A63479" w:rsidP="002206F9">
      <w:pPr>
        <w:rPr>
          <w:rFonts w:cs="Arial"/>
          <w:color w:val="000000"/>
          <w:sz w:val="22"/>
          <w:szCs w:val="22"/>
        </w:rPr>
      </w:pPr>
      <w:r w:rsidRPr="00A63479">
        <w:rPr>
          <w:rFonts w:cs="Arial"/>
          <w:color w:val="000000"/>
          <w:sz w:val="22"/>
          <w:szCs w:val="22"/>
        </w:rPr>
        <w:t>Activities during t</w:t>
      </w:r>
      <w:r w:rsidR="00F51220" w:rsidRPr="00A63479">
        <w:rPr>
          <w:rFonts w:cs="Arial"/>
          <w:color w:val="000000"/>
          <w:sz w:val="22"/>
          <w:szCs w:val="22"/>
        </w:rPr>
        <w:t>he 201</w:t>
      </w:r>
      <w:r w:rsidR="00CD76C1">
        <w:rPr>
          <w:rFonts w:cs="Arial"/>
          <w:color w:val="000000"/>
          <w:sz w:val="22"/>
          <w:szCs w:val="22"/>
        </w:rPr>
        <w:t>5</w:t>
      </w:r>
      <w:r w:rsidR="00F51220" w:rsidRPr="00A63479">
        <w:rPr>
          <w:rFonts w:cs="Arial"/>
          <w:color w:val="000000"/>
          <w:sz w:val="22"/>
          <w:szCs w:val="22"/>
        </w:rPr>
        <w:t xml:space="preserve"> financial year </w:t>
      </w:r>
      <w:r w:rsidRPr="00A63479">
        <w:rPr>
          <w:rFonts w:cs="Arial"/>
          <w:color w:val="000000"/>
          <w:sz w:val="22"/>
          <w:szCs w:val="22"/>
        </w:rPr>
        <w:t>returned</w:t>
      </w:r>
      <w:r w:rsidR="00F51220" w:rsidRPr="00A63479">
        <w:rPr>
          <w:rFonts w:cs="Arial"/>
          <w:color w:val="000000"/>
          <w:sz w:val="22"/>
          <w:szCs w:val="22"/>
        </w:rPr>
        <w:t xml:space="preserve"> a surplus of $</w:t>
      </w:r>
      <w:r w:rsidR="00BD6654">
        <w:rPr>
          <w:rFonts w:cs="Arial"/>
          <w:color w:val="000000"/>
          <w:sz w:val="22"/>
          <w:szCs w:val="22"/>
        </w:rPr>
        <w:t>10,259</w:t>
      </w:r>
      <w:r w:rsidR="00E16F1C" w:rsidRPr="005F0AB1">
        <w:rPr>
          <w:rFonts w:cs="Arial"/>
          <w:color w:val="000000"/>
          <w:sz w:val="22"/>
          <w:szCs w:val="22"/>
        </w:rPr>
        <w:t>,000</w:t>
      </w:r>
      <w:r w:rsidR="00B00999">
        <w:rPr>
          <w:rFonts w:cs="Arial"/>
          <w:color w:val="000000"/>
          <w:sz w:val="22"/>
          <w:szCs w:val="22"/>
        </w:rPr>
        <w:t xml:space="preserve">, which </w:t>
      </w:r>
      <w:r w:rsidRPr="00A63479">
        <w:rPr>
          <w:rFonts w:cs="Arial"/>
          <w:color w:val="000000"/>
          <w:sz w:val="22"/>
          <w:szCs w:val="22"/>
        </w:rPr>
        <w:t>after adjusting for non-operating and once off costs</w:t>
      </w:r>
      <w:r w:rsidR="00B00999">
        <w:rPr>
          <w:rFonts w:cs="Arial"/>
          <w:color w:val="000000"/>
          <w:sz w:val="22"/>
          <w:szCs w:val="22"/>
        </w:rPr>
        <w:t xml:space="preserve">, provided a recurring surplus </w:t>
      </w:r>
      <w:r w:rsidR="00B00999" w:rsidRPr="005F0AB1">
        <w:rPr>
          <w:rFonts w:cs="Arial"/>
          <w:color w:val="000000"/>
          <w:sz w:val="22"/>
          <w:szCs w:val="22"/>
        </w:rPr>
        <w:t>of $</w:t>
      </w:r>
      <w:r w:rsidR="005F0AB1" w:rsidRPr="005F0AB1">
        <w:rPr>
          <w:rFonts w:cs="Arial"/>
          <w:color w:val="000000"/>
          <w:sz w:val="22"/>
          <w:szCs w:val="22"/>
        </w:rPr>
        <w:t>6</w:t>
      </w:r>
      <w:r w:rsidR="00BD6654">
        <w:rPr>
          <w:rFonts w:cs="Arial"/>
          <w:color w:val="000000"/>
          <w:sz w:val="22"/>
          <w:szCs w:val="22"/>
        </w:rPr>
        <w:t>,</w:t>
      </w:r>
      <w:r w:rsidR="00BD6654" w:rsidRPr="005F0AB1">
        <w:rPr>
          <w:rFonts w:cs="Arial"/>
          <w:color w:val="000000"/>
          <w:sz w:val="22"/>
          <w:szCs w:val="22"/>
        </w:rPr>
        <w:t>5</w:t>
      </w:r>
      <w:r w:rsidR="00BD6654">
        <w:rPr>
          <w:rFonts w:cs="Arial"/>
          <w:color w:val="000000"/>
          <w:sz w:val="22"/>
          <w:szCs w:val="22"/>
        </w:rPr>
        <w:t>11</w:t>
      </w:r>
      <w:r w:rsidR="00B00999" w:rsidRPr="005F0AB1">
        <w:rPr>
          <w:rFonts w:cs="Arial"/>
          <w:color w:val="000000"/>
          <w:sz w:val="22"/>
          <w:szCs w:val="22"/>
        </w:rPr>
        <w:t>,000</w:t>
      </w:r>
      <w:r w:rsidR="00F51220" w:rsidRPr="00A63479">
        <w:rPr>
          <w:rFonts w:cs="Arial"/>
          <w:color w:val="000000"/>
          <w:sz w:val="22"/>
          <w:szCs w:val="22"/>
        </w:rPr>
        <w:t xml:space="preserve">.  </w:t>
      </w:r>
      <w:r w:rsidRPr="00A63479">
        <w:rPr>
          <w:rFonts w:cs="Arial"/>
          <w:color w:val="000000"/>
          <w:sz w:val="22"/>
          <w:szCs w:val="22"/>
        </w:rPr>
        <w:t>This result, c</w:t>
      </w:r>
      <w:r w:rsidR="00F51220" w:rsidRPr="00A63479">
        <w:rPr>
          <w:rFonts w:cs="Arial"/>
          <w:color w:val="000000"/>
          <w:sz w:val="22"/>
          <w:szCs w:val="22"/>
        </w:rPr>
        <w:t>ombined with a $</w:t>
      </w:r>
      <w:r w:rsidR="005F0AB1" w:rsidRPr="005F0AB1">
        <w:rPr>
          <w:rFonts w:cs="Arial"/>
          <w:color w:val="000000"/>
          <w:sz w:val="22"/>
          <w:szCs w:val="22"/>
        </w:rPr>
        <w:t>3</w:t>
      </w:r>
      <w:r w:rsidR="00BD6654">
        <w:rPr>
          <w:rFonts w:cs="Arial"/>
          <w:color w:val="000000"/>
          <w:sz w:val="22"/>
          <w:szCs w:val="22"/>
        </w:rPr>
        <w:t>,857</w:t>
      </w:r>
      <w:r w:rsidR="00E16F1C" w:rsidRPr="005F0AB1">
        <w:rPr>
          <w:rFonts w:cs="Arial"/>
          <w:color w:val="000000"/>
          <w:sz w:val="22"/>
          <w:szCs w:val="22"/>
        </w:rPr>
        <w:t>,000</w:t>
      </w:r>
      <w:r w:rsidR="005F0AB1">
        <w:rPr>
          <w:rFonts w:cs="Arial"/>
          <w:color w:val="000000"/>
          <w:sz w:val="22"/>
          <w:szCs w:val="22"/>
        </w:rPr>
        <w:t xml:space="preserve"> de</w:t>
      </w:r>
      <w:r w:rsidR="00F51220" w:rsidRPr="00A63479">
        <w:rPr>
          <w:rFonts w:cs="Arial"/>
          <w:color w:val="000000"/>
          <w:sz w:val="22"/>
          <w:szCs w:val="22"/>
        </w:rPr>
        <w:t>crease in the value of investments</w:t>
      </w:r>
      <w:r w:rsidRPr="00A63479">
        <w:rPr>
          <w:rFonts w:cs="Arial"/>
          <w:color w:val="000000"/>
          <w:sz w:val="22"/>
          <w:szCs w:val="22"/>
        </w:rPr>
        <w:t xml:space="preserve"> during the year</w:t>
      </w:r>
      <w:r w:rsidR="00F51220" w:rsidRPr="00A63479">
        <w:rPr>
          <w:rFonts w:cs="Arial"/>
          <w:color w:val="000000"/>
          <w:sz w:val="22"/>
          <w:szCs w:val="22"/>
        </w:rPr>
        <w:t xml:space="preserve">, </w:t>
      </w:r>
      <w:r w:rsidRPr="005F0AB1">
        <w:rPr>
          <w:rFonts w:cs="Arial"/>
          <w:color w:val="000000"/>
          <w:sz w:val="22"/>
          <w:szCs w:val="22"/>
        </w:rPr>
        <w:t xml:space="preserve">has increased the </w:t>
      </w:r>
      <w:r w:rsidR="00F51220" w:rsidRPr="005F0AB1">
        <w:rPr>
          <w:rFonts w:cs="Arial"/>
          <w:color w:val="000000"/>
          <w:sz w:val="22"/>
          <w:szCs w:val="22"/>
        </w:rPr>
        <w:t xml:space="preserve">net assets of </w:t>
      </w:r>
      <w:r w:rsidRPr="005F0AB1">
        <w:rPr>
          <w:rFonts w:cs="Arial"/>
          <w:color w:val="000000"/>
          <w:sz w:val="22"/>
          <w:szCs w:val="22"/>
        </w:rPr>
        <w:t>the Vision Australia consolidated entity by $</w:t>
      </w:r>
      <w:r w:rsidR="005F0AB1" w:rsidRPr="005F0AB1">
        <w:rPr>
          <w:rFonts w:cs="Arial"/>
          <w:color w:val="000000"/>
          <w:sz w:val="22"/>
          <w:szCs w:val="22"/>
        </w:rPr>
        <w:t>6,</w:t>
      </w:r>
      <w:r w:rsidR="00BD6654" w:rsidRPr="005F0AB1">
        <w:rPr>
          <w:rFonts w:cs="Arial"/>
          <w:color w:val="000000"/>
          <w:sz w:val="22"/>
          <w:szCs w:val="22"/>
        </w:rPr>
        <w:t>40</w:t>
      </w:r>
      <w:r w:rsidR="00BD6654">
        <w:rPr>
          <w:rFonts w:cs="Arial"/>
          <w:color w:val="000000"/>
          <w:sz w:val="22"/>
          <w:szCs w:val="22"/>
        </w:rPr>
        <w:t>2</w:t>
      </w:r>
      <w:r w:rsidR="00E16F1C" w:rsidRPr="005F0AB1">
        <w:rPr>
          <w:rFonts w:cs="Arial"/>
          <w:color w:val="000000"/>
          <w:sz w:val="22"/>
          <w:szCs w:val="22"/>
        </w:rPr>
        <w:t>,000</w:t>
      </w:r>
      <w:r w:rsidRPr="005F0AB1">
        <w:rPr>
          <w:rFonts w:cs="Arial"/>
          <w:color w:val="000000"/>
          <w:sz w:val="22"/>
          <w:szCs w:val="22"/>
        </w:rPr>
        <w:t xml:space="preserve">.  This result is </w:t>
      </w:r>
      <w:r w:rsidR="00041AA2">
        <w:rPr>
          <w:rFonts w:cs="Arial"/>
          <w:color w:val="000000"/>
          <w:sz w:val="22"/>
          <w:szCs w:val="22"/>
        </w:rPr>
        <w:t xml:space="preserve">largely </w:t>
      </w:r>
      <w:r w:rsidRPr="005F0AB1">
        <w:rPr>
          <w:rFonts w:cs="Arial"/>
          <w:color w:val="000000"/>
          <w:sz w:val="22"/>
          <w:szCs w:val="22"/>
        </w:rPr>
        <w:t xml:space="preserve">attributable to the focus on the </w:t>
      </w:r>
      <w:r w:rsidR="00D409FA" w:rsidRPr="005F0AB1">
        <w:rPr>
          <w:rFonts w:cs="Arial"/>
          <w:color w:val="000000"/>
          <w:sz w:val="22"/>
          <w:szCs w:val="22"/>
        </w:rPr>
        <w:t>active</w:t>
      </w:r>
      <w:r w:rsidR="00D409FA" w:rsidRPr="00A63479">
        <w:rPr>
          <w:rFonts w:cs="Arial"/>
          <w:color w:val="000000"/>
          <w:sz w:val="22"/>
          <w:szCs w:val="22"/>
        </w:rPr>
        <w:t xml:space="preserve"> management of costs</w:t>
      </w:r>
      <w:r w:rsidR="00041AA2">
        <w:rPr>
          <w:rFonts w:cs="Arial"/>
          <w:color w:val="000000"/>
          <w:sz w:val="22"/>
          <w:szCs w:val="22"/>
        </w:rPr>
        <w:t xml:space="preserve"> and fee for service income generation, combined with improvements in investment income despite the downward trend in the interest rate and general economic conditions.</w:t>
      </w:r>
    </w:p>
    <w:p w14:paraId="5EA7336C" w14:textId="77777777" w:rsidR="00D409FA" w:rsidRPr="00A63479" w:rsidRDefault="00D409FA" w:rsidP="002206F9">
      <w:pPr>
        <w:rPr>
          <w:rFonts w:cs="Arial"/>
          <w:color w:val="000000"/>
          <w:sz w:val="22"/>
          <w:szCs w:val="22"/>
        </w:rPr>
      </w:pPr>
    </w:p>
    <w:p w14:paraId="5EA73376" w14:textId="756A6EE5" w:rsidR="00D409FA" w:rsidRPr="005B0A38" w:rsidRDefault="00D93774" w:rsidP="002206F9">
      <w:pPr>
        <w:rPr>
          <w:rFonts w:cs="Arial"/>
          <w:sz w:val="22"/>
          <w:szCs w:val="22"/>
        </w:rPr>
      </w:pPr>
      <w:r w:rsidRPr="005B1F87">
        <w:rPr>
          <w:rFonts w:cs="Arial"/>
          <w:sz w:val="22"/>
          <w:szCs w:val="22"/>
        </w:rPr>
        <w:t xml:space="preserve">By comparison to the previous financial year, the </w:t>
      </w:r>
      <w:r w:rsidR="00D409FA" w:rsidRPr="005B1F87">
        <w:rPr>
          <w:rFonts w:cs="Arial"/>
          <w:sz w:val="22"/>
          <w:szCs w:val="22"/>
        </w:rPr>
        <w:t>operating surplus of $</w:t>
      </w:r>
      <w:r w:rsidR="00250FDB">
        <w:rPr>
          <w:rFonts w:cs="Arial"/>
          <w:sz w:val="22"/>
          <w:szCs w:val="22"/>
        </w:rPr>
        <w:t>6,511,000</w:t>
      </w:r>
      <w:r w:rsidR="00D409FA" w:rsidRPr="005B1F87">
        <w:rPr>
          <w:rFonts w:cs="Arial"/>
          <w:sz w:val="22"/>
          <w:szCs w:val="22"/>
        </w:rPr>
        <w:t xml:space="preserve"> (refer note 6.3 below)</w:t>
      </w:r>
      <w:r w:rsidRPr="005B1F87">
        <w:rPr>
          <w:rFonts w:cs="Arial"/>
          <w:sz w:val="22"/>
          <w:szCs w:val="22"/>
        </w:rPr>
        <w:t xml:space="preserve"> is</w:t>
      </w:r>
      <w:r w:rsidRPr="00041AA2">
        <w:rPr>
          <w:rFonts w:cs="Arial"/>
          <w:sz w:val="22"/>
          <w:szCs w:val="22"/>
        </w:rPr>
        <w:t xml:space="preserve"> an improvement</w:t>
      </w:r>
      <w:r w:rsidRPr="006B2BA4">
        <w:rPr>
          <w:rFonts w:cs="Arial"/>
          <w:sz w:val="22"/>
          <w:szCs w:val="22"/>
        </w:rPr>
        <w:t xml:space="preserve"> of $</w:t>
      </w:r>
      <w:r w:rsidR="00250FDB">
        <w:rPr>
          <w:rFonts w:cs="Arial"/>
          <w:sz w:val="22"/>
          <w:szCs w:val="22"/>
        </w:rPr>
        <w:t>2,554,000</w:t>
      </w:r>
      <w:r w:rsidRPr="005B0A38">
        <w:rPr>
          <w:rFonts w:cs="Arial"/>
          <w:sz w:val="22"/>
          <w:szCs w:val="22"/>
        </w:rPr>
        <w:t xml:space="preserve"> from the </w:t>
      </w:r>
      <w:r w:rsidR="00D409FA" w:rsidRPr="005B0A38">
        <w:rPr>
          <w:rFonts w:cs="Arial"/>
          <w:sz w:val="22"/>
          <w:szCs w:val="22"/>
        </w:rPr>
        <w:t xml:space="preserve">operating </w:t>
      </w:r>
      <w:r w:rsidRPr="005B0A38">
        <w:rPr>
          <w:rFonts w:cs="Arial"/>
          <w:sz w:val="22"/>
          <w:szCs w:val="22"/>
        </w:rPr>
        <w:t>surplus</w:t>
      </w:r>
      <w:r w:rsidR="00D409FA" w:rsidRPr="005B0A38">
        <w:rPr>
          <w:rFonts w:cs="Arial"/>
          <w:sz w:val="22"/>
          <w:szCs w:val="22"/>
        </w:rPr>
        <w:t xml:space="preserve"> for the previous financial </w:t>
      </w:r>
      <w:r w:rsidR="00D409FA" w:rsidRPr="006B2BA4">
        <w:rPr>
          <w:rFonts w:cs="Arial"/>
          <w:sz w:val="22"/>
          <w:szCs w:val="22"/>
        </w:rPr>
        <w:t>year</w:t>
      </w:r>
      <w:r w:rsidRPr="006B2BA4">
        <w:rPr>
          <w:rFonts w:cs="Arial"/>
          <w:sz w:val="22"/>
          <w:szCs w:val="22"/>
        </w:rPr>
        <w:t xml:space="preserve"> of $</w:t>
      </w:r>
      <w:r w:rsidR="006B2BA4" w:rsidRPr="006B2BA4">
        <w:rPr>
          <w:rFonts w:cs="Arial"/>
          <w:sz w:val="22"/>
          <w:szCs w:val="22"/>
        </w:rPr>
        <w:t>3,</w:t>
      </w:r>
      <w:r w:rsidR="006C37CE">
        <w:rPr>
          <w:rFonts w:cs="Arial"/>
          <w:sz w:val="22"/>
          <w:szCs w:val="22"/>
        </w:rPr>
        <w:t>95</w:t>
      </w:r>
      <w:r w:rsidR="006B2BA4" w:rsidRPr="006B2BA4">
        <w:rPr>
          <w:rFonts w:cs="Arial"/>
          <w:sz w:val="22"/>
          <w:szCs w:val="22"/>
        </w:rPr>
        <w:t>7</w:t>
      </w:r>
      <w:r w:rsidRPr="006B2BA4">
        <w:rPr>
          <w:rFonts w:cs="Arial"/>
          <w:sz w:val="22"/>
          <w:szCs w:val="22"/>
        </w:rPr>
        <w:t>,000</w:t>
      </w:r>
      <w:r w:rsidR="00D409FA" w:rsidRPr="006B2BA4">
        <w:rPr>
          <w:rFonts w:cs="Arial"/>
          <w:sz w:val="22"/>
          <w:szCs w:val="22"/>
        </w:rPr>
        <w:t>.</w:t>
      </w:r>
      <w:r w:rsidR="00D409FA" w:rsidRPr="005B0A38">
        <w:rPr>
          <w:rFonts w:cs="Arial"/>
          <w:sz w:val="22"/>
          <w:szCs w:val="22"/>
        </w:rPr>
        <w:t xml:space="preserve">  </w:t>
      </w:r>
    </w:p>
    <w:p w14:paraId="5EA73377" w14:textId="77777777" w:rsidR="00611F27" w:rsidRPr="00D93774" w:rsidRDefault="00611F27" w:rsidP="00AC0A26">
      <w:pPr>
        <w:ind w:left="360"/>
        <w:jc w:val="both"/>
        <w:rPr>
          <w:rFonts w:cs="Arial"/>
          <w:sz w:val="22"/>
          <w:szCs w:val="22"/>
        </w:rPr>
      </w:pPr>
    </w:p>
    <w:p w14:paraId="5EA73378" w14:textId="1F8E78DA" w:rsidR="00E607BD" w:rsidRPr="001C7D48" w:rsidRDefault="00E607BD" w:rsidP="00431251">
      <w:pPr>
        <w:pStyle w:val="Heading4"/>
        <w:jc w:val="left"/>
      </w:pPr>
      <w:r w:rsidRPr="00D93774">
        <w:t>6.</w:t>
      </w:r>
      <w:r w:rsidR="00464CCB" w:rsidRPr="00D93774">
        <w:t>2</w:t>
      </w:r>
      <w:r w:rsidRPr="001C7D48">
        <w:t xml:space="preserve"> Revenue</w:t>
      </w:r>
    </w:p>
    <w:p w14:paraId="5EA73379" w14:textId="77777777" w:rsidR="00E607BD" w:rsidRPr="001C7D48" w:rsidRDefault="00E607BD" w:rsidP="002206F9">
      <w:pPr>
        <w:rPr>
          <w:rFonts w:cs="Arial"/>
          <w:sz w:val="22"/>
          <w:szCs w:val="22"/>
        </w:rPr>
      </w:pPr>
    </w:p>
    <w:p w14:paraId="5EA7337A" w14:textId="77777777" w:rsidR="00F60FF6" w:rsidRPr="001C7D48" w:rsidRDefault="00E607BD" w:rsidP="002206F9">
      <w:pPr>
        <w:rPr>
          <w:rFonts w:cs="Arial"/>
          <w:color w:val="000000"/>
          <w:sz w:val="22"/>
          <w:szCs w:val="22"/>
          <w:lang w:eastAsia="en-AU"/>
        </w:rPr>
      </w:pPr>
      <w:r w:rsidRPr="001C7D48">
        <w:rPr>
          <w:rFonts w:cs="Arial"/>
          <w:sz w:val="22"/>
          <w:szCs w:val="22"/>
        </w:rPr>
        <w:t xml:space="preserve">In </w:t>
      </w:r>
      <w:r w:rsidR="00E815E2" w:rsidRPr="001C7D48">
        <w:rPr>
          <w:rFonts w:cs="Arial"/>
          <w:sz w:val="22"/>
          <w:szCs w:val="22"/>
        </w:rPr>
        <w:t>201</w:t>
      </w:r>
      <w:r w:rsidR="00CD76C1">
        <w:rPr>
          <w:rFonts w:cs="Arial"/>
          <w:sz w:val="22"/>
          <w:szCs w:val="22"/>
        </w:rPr>
        <w:t>5</w:t>
      </w:r>
      <w:r w:rsidRPr="001C7D48">
        <w:rPr>
          <w:rFonts w:cs="Arial"/>
          <w:sz w:val="22"/>
          <w:szCs w:val="22"/>
        </w:rPr>
        <w:t xml:space="preserve"> Vision Australia</w:t>
      </w:r>
      <w:r w:rsidR="00A124A1" w:rsidRPr="001C7D48">
        <w:rPr>
          <w:rFonts w:cs="Arial"/>
          <w:sz w:val="22"/>
          <w:szCs w:val="22"/>
        </w:rPr>
        <w:t xml:space="preserve"> Limited</w:t>
      </w:r>
      <w:r w:rsidRPr="001C7D48">
        <w:rPr>
          <w:rFonts w:cs="Arial"/>
          <w:sz w:val="22"/>
          <w:szCs w:val="22"/>
        </w:rPr>
        <w:t xml:space="preserve">’s revenue was </w:t>
      </w:r>
      <w:r w:rsidRPr="005F0AB1">
        <w:rPr>
          <w:rFonts w:cs="Arial"/>
          <w:sz w:val="22"/>
          <w:szCs w:val="22"/>
        </w:rPr>
        <w:t>$</w:t>
      </w:r>
      <w:r w:rsidR="006A0957">
        <w:rPr>
          <w:rFonts w:cs="Arial"/>
          <w:sz w:val="22"/>
          <w:szCs w:val="22"/>
        </w:rPr>
        <w:t>92,877</w:t>
      </w:r>
      <w:r w:rsidR="001F3CB0" w:rsidRPr="005F0AB1">
        <w:rPr>
          <w:rFonts w:cs="Arial"/>
          <w:sz w:val="22"/>
          <w:szCs w:val="22"/>
        </w:rPr>
        <w:t>,</w:t>
      </w:r>
      <w:r w:rsidR="0086282D" w:rsidRPr="005F0AB1">
        <w:rPr>
          <w:rFonts w:cs="Arial"/>
          <w:sz w:val="22"/>
          <w:szCs w:val="22"/>
        </w:rPr>
        <w:t>000</w:t>
      </w:r>
      <w:r w:rsidRPr="001C7D48">
        <w:rPr>
          <w:rFonts w:cs="Arial"/>
          <w:sz w:val="22"/>
          <w:szCs w:val="22"/>
        </w:rPr>
        <w:t xml:space="preserve"> (20</w:t>
      </w:r>
      <w:r w:rsidR="005F0AB1">
        <w:rPr>
          <w:rFonts w:cs="Arial"/>
          <w:sz w:val="22"/>
          <w:szCs w:val="22"/>
        </w:rPr>
        <w:t>14</w:t>
      </w:r>
      <w:r w:rsidRPr="001C7D48">
        <w:rPr>
          <w:rFonts w:cs="Arial"/>
          <w:sz w:val="22"/>
          <w:szCs w:val="22"/>
        </w:rPr>
        <w:t xml:space="preserve">: </w:t>
      </w:r>
      <w:r w:rsidR="007D3F2B" w:rsidRPr="001C7D48">
        <w:rPr>
          <w:rFonts w:cs="Arial"/>
          <w:sz w:val="22"/>
          <w:szCs w:val="22"/>
        </w:rPr>
        <w:t>$</w:t>
      </w:r>
      <w:r w:rsidR="005F0AB1" w:rsidRPr="005F0AB1">
        <w:rPr>
          <w:rFonts w:cs="Arial"/>
          <w:sz w:val="22"/>
          <w:szCs w:val="22"/>
        </w:rPr>
        <w:t>87,762,000</w:t>
      </w:r>
      <w:r w:rsidRPr="001C7D48">
        <w:rPr>
          <w:rFonts w:cs="Arial"/>
          <w:sz w:val="22"/>
          <w:szCs w:val="22"/>
        </w:rPr>
        <w:t xml:space="preserve">) </w:t>
      </w:r>
      <w:r w:rsidR="00907719" w:rsidRPr="001C7D48">
        <w:rPr>
          <w:rFonts w:cs="Arial"/>
          <w:sz w:val="22"/>
          <w:szCs w:val="22"/>
        </w:rPr>
        <w:t xml:space="preserve">which was </w:t>
      </w:r>
      <w:r w:rsidRPr="001C7D48">
        <w:rPr>
          <w:rFonts w:cs="Arial"/>
          <w:sz w:val="22"/>
          <w:szCs w:val="22"/>
        </w:rPr>
        <w:t>a</w:t>
      </w:r>
      <w:r w:rsidR="00866305" w:rsidRPr="001C7D48">
        <w:rPr>
          <w:rFonts w:cs="Arial"/>
          <w:sz w:val="22"/>
          <w:szCs w:val="22"/>
        </w:rPr>
        <w:t>n</w:t>
      </w:r>
      <w:r w:rsidR="001F6724" w:rsidRPr="001C7D48">
        <w:rPr>
          <w:rFonts w:cs="Arial"/>
          <w:sz w:val="22"/>
          <w:szCs w:val="22"/>
        </w:rPr>
        <w:t xml:space="preserve"> </w:t>
      </w:r>
      <w:r w:rsidR="00866305" w:rsidRPr="005F0AB1">
        <w:rPr>
          <w:rFonts w:cs="Arial"/>
          <w:sz w:val="22"/>
          <w:szCs w:val="22"/>
        </w:rPr>
        <w:t>in</w:t>
      </w:r>
      <w:r w:rsidRPr="005F0AB1">
        <w:rPr>
          <w:rFonts w:cs="Arial"/>
          <w:sz w:val="22"/>
          <w:szCs w:val="22"/>
        </w:rPr>
        <w:t>crease of $</w:t>
      </w:r>
      <w:r w:rsidR="006A0957">
        <w:rPr>
          <w:rFonts w:cs="Arial"/>
          <w:sz w:val="22"/>
          <w:szCs w:val="22"/>
        </w:rPr>
        <w:t>5,115</w:t>
      </w:r>
      <w:r w:rsidR="007D3F2B" w:rsidRPr="005F0AB1">
        <w:rPr>
          <w:rFonts w:cs="Arial"/>
          <w:sz w:val="22"/>
          <w:szCs w:val="22"/>
        </w:rPr>
        <w:t>,000</w:t>
      </w:r>
      <w:r w:rsidR="00866305" w:rsidRPr="005F0AB1">
        <w:rPr>
          <w:rFonts w:cs="Arial"/>
          <w:sz w:val="22"/>
          <w:szCs w:val="22"/>
        </w:rPr>
        <w:t xml:space="preserve"> or </w:t>
      </w:r>
      <w:r w:rsidR="006A0957">
        <w:rPr>
          <w:rFonts w:cs="Arial"/>
          <w:sz w:val="22"/>
          <w:szCs w:val="22"/>
        </w:rPr>
        <w:t>5.8</w:t>
      </w:r>
      <w:r w:rsidR="00866305" w:rsidRPr="005F0AB1">
        <w:rPr>
          <w:rFonts w:cs="Arial"/>
          <w:sz w:val="22"/>
          <w:szCs w:val="22"/>
        </w:rPr>
        <w:t>%</w:t>
      </w:r>
      <w:r w:rsidRPr="005F0AB1">
        <w:rPr>
          <w:rFonts w:cs="Arial"/>
          <w:sz w:val="22"/>
          <w:szCs w:val="22"/>
        </w:rPr>
        <w:t>.</w:t>
      </w:r>
      <w:r w:rsidR="00866305" w:rsidRPr="001C7D48">
        <w:rPr>
          <w:rFonts w:cs="Arial"/>
          <w:sz w:val="22"/>
          <w:szCs w:val="22"/>
        </w:rPr>
        <w:t xml:space="preserve"> </w:t>
      </w:r>
    </w:p>
    <w:p w14:paraId="5EA7337B" w14:textId="77777777" w:rsidR="00AE4EA9" w:rsidRPr="001C7D48" w:rsidRDefault="00B56320" w:rsidP="002206F9">
      <w:pPr>
        <w:rPr>
          <w:rFonts w:cs="Arial"/>
          <w:sz w:val="22"/>
          <w:szCs w:val="22"/>
        </w:rPr>
      </w:pPr>
      <w:r w:rsidRPr="001C7D48">
        <w:rPr>
          <w:rFonts w:cs="Arial"/>
          <w:sz w:val="22"/>
          <w:szCs w:val="22"/>
        </w:rPr>
        <w:t xml:space="preserve"> </w:t>
      </w:r>
    </w:p>
    <w:p w14:paraId="5EA7337C" w14:textId="77777777" w:rsidR="003D0ED7" w:rsidRPr="007540D9" w:rsidRDefault="004C575F" w:rsidP="002206F9">
      <w:pPr>
        <w:rPr>
          <w:rFonts w:cs="Arial"/>
          <w:sz w:val="22"/>
          <w:szCs w:val="22"/>
        </w:rPr>
      </w:pPr>
      <w:r w:rsidRPr="001C7D48">
        <w:rPr>
          <w:rFonts w:cs="Arial"/>
          <w:sz w:val="22"/>
          <w:szCs w:val="22"/>
        </w:rPr>
        <w:t xml:space="preserve">The </w:t>
      </w:r>
      <w:r w:rsidR="00AD41DF" w:rsidRPr="005F0AB1">
        <w:rPr>
          <w:rFonts w:cs="Arial"/>
          <w:sz w:val="22"/>
          <w:szCs w:val="22"/>
        </w:rPr>
        <w:t>increase in revenue</w:t>
      </w:r>
      <w:r w:rsidR="00B965CC" w:rsidRPr="005F0AB1">
        <w:rPr>
          <w:rFonts w:cs="Arial"/>
          <w:sz w:val="22"/>
          <w:szCs w:val="22"/>
        </w:rPr>
        <w:t xml:space="preserve"> of $</w:t>
      </w:r>
      <w:r w:rsidR="006A0957">
        <w:rPr>
          <w:rFonts w:cs="Arial"/>
          <w:sz w:val="22"/>
          <w:szCs w:val="22"/>
        </w:rPr>
        <w:t>5,115</w:t>
      </w:r>
      <w:r w:rsidR="00B965CC" w:rsidRPr="005F0AB1">
        <w:rPr>
          <w:rFonts w:cs="Arial"/>
          <w:sz w:val="22"/>
          <w:szCs w:val="22"/>
        </w:rPr>
        <w:t>,000</w:t>
      </w:r>
      <w:r w:rsidR="00AD41DF" w:rsidRPr="001C7D48">
        <w:rPr>
          <w:rFonts w:cs="Arial"/>
          <w:sz w:val="22"/>
          <w:szCs w:val="22"/>
        </w:rPr>
        <w:t xml:space="preserve"> has </w:t>
      </w:r>
      <w:r w:rsidR="00B56320" w:rsidRPr="001C7D48">
        <w:rPr>
          <w:rFonts w:cs="Arial"/>
          <w:sz w:val="22"/>
          <w:szCs w:val="22"/>
        </w:rPr>
        <w:t xml:space="preserve">been </w:t>
      </w:r>
      <w:r w:rsidR="00A75CCD" w:rsidRPr="001C7D48">
        <w:rPr>
          <w:rFonts w:cs="Arial"/>
          <w:sz w:val="22"/>
          <w:szCs w:val="22"/>
        </w:rPr>
        <w:t xml:space="preserve">achieved </w:t>
      </w:r>
      <w:r w:rsidR="00E801D6" w:rsidRPr="001C7D48">
        <w:rPr>
          <w:rFonts w:cs="Arial"/>
          <w:sz w:val="22"/>
          <w:szCs w:val="22"/>
        </w:rPr>
        <w:t xml:space="preserve">from </w:t>
      </w:r>
      <w:r w:rsidR="00332614" w:rsidRPr="001C7D48">
        <w:rPr>
          <w:rFonts w:cs="Arial"/>
          <w:sz w:val="22"/>
          <w:szCs w:val="22"/>
        </w:rPr>
        <w:t>increase</w:t>
      </w:r>
      <w:r w:rsidR="00E801D6" w:rsidRPr="001C7D48">
        <w:rPr>
          <w:rFonts w:cs="Arial"/>
          <w:sz w:val="22"/>
          <w:szCs w:val="22"/>
        </w:rPr>
        <w:t>s</w:t>
      </w:r>
      <w:r w:rsidR="00332614" w:rsidRPr="001C7D48">
        <w:rPr>
          <w:rFonts w:cs="Arial"/>
          <w:sz w:val="22"/>
          <w:szCs w:val="22"/>
        </w:rPr>
        <w:t xml:space="preserve"> in revenue</w:t>
      </w:r>
      <w:r w:rsidR="00B965CC" w:rsidRPr="001C7D48">
        <w:rPr>
          <w:rFonts w:cs="Arial"/>
          <w:sz w:val="22"/>
          <w:szCs w:val="22"/>
        </w:rPr>
        <w:t xml:space="preserve"> </w:t>
      </w:r>
      <w:r w:rsidR="00CE29FF" w:rsidRPr="001C7D48">
        <w:rPr>
          <w:rFonts w:cs="Arial"/>
          <w:sz w:val="22"/>
          <w:szCs w:val="22"/>
        </w:rPr>
        <w:t>f</w:t>
      </w:r>
      <w:r w:rsidR="00332614" w:rsidRPr="001C7D48">
        <w:rPr>
          <w:rFonts w:cs="Arial"/>
          <w:sz w:val="22"/>
          <w:szCs w:val="22"/>
        </w:rPr>
        <w:t>rom bequests by $</w:t>
      </w:r>
      <w:r w:rsidR="002A77C2" w:rsidRPr="002A77C2">
        <w:rPr>
          <w:rFonts w:cs="Arial"/>
          <w:sz w:val="22"/>
          <w:szCs w:val="22"/>
        </w:rPr>
        <w:t>344</w:t>
      </w:r>
      <w:r w:rsidR="00D409FA" w:rsidRPr="002A77C2">
        <w:rPr>
          <w:rFonts w:cs="Arial"/>
          <w:sz w:val="22"/>
          <w:szCs w:val="22"/>
        </w:rPr>
        <w:t>,000</w:t>
      </w:r>
      <w:r w:rsidR="002A77C2" w:rsidRPr="002A77C2">
        <w:rPr>
          <w:rFonts w:cs="Arial"/>
          <w:sz w:val="22"/>
          <w:szCs w:val="22"/>
        </w:rPr>
        <w:t>,</w:t>
      </w:r>
      <w:r w:rsidR="00ED6782" w:rsidRPr="002A77C2">
        <w:rPr>
          <w:rFonts w:cs="Arial"/>
          <w:sz w:val="22"/>
          <w:szCs w:val="22"/>
        </w:rPr>
        <w:t xml:space="preserve"> </w:t>
      </w:r>
      <w:r w:rsidR="00332614" w:rsidRPr="002A77C2">
        <w:rPr>
          <w:rFonts w:cs="Arial"/>
          <w:sz w:val="22"/>
          <w:szCs w:val="22"/>
        </w:rPr>
        <w:t>increase in grant revenue by $</w:t>
      </w:r>
      <w:r w:rsidR="002A77C2" w:rsidRPr="002A77C2">
        <w:rPr>
          <w:rFonts w:cs="Arial"/>
          <w:sz w:val="22"/>
          <w:szCs w:val="22"/>
        </w:rPr>
        <w:t>3,727</w:t>
      </w:r>
      <w:r w:rsidR="00332614" w:rsidRPr="002A77C2">
        <w:rPr>
          <w:rFonts w:cs="Arial"/>
          <w:sz w:val="22"/>
          <w:szCs w:val="22"/>
        </w:rPr>
        <w:t>,000</w:t>
      </w:r>
      <w:r w:rsidR="00D00A22" w:rsidRPr="002A77C2">
        <w:rPr>
          <w:rFonts w:cs="Arial"/>
          <w:sz w:val="22"/>
          <w:szCs w:val="22"/>
        </w:rPr>
        <w:t>,</w:t>
      </w:r>
      <w:r w:rsidR="002A77C2" w:rsidRPr="002A77C2">
        <w:rPr>
          <w:rFonts w:cs="Arial"/>
          <w:sz w:val="22"/>
          <w:szCs w:val="22"/>
        </w:rPr>
        <w:t xml:space="preserve"> and increase</w:t>
      </w:r>
      <w:r w:rsidR="00B965CC" w:rsidRPr="002A77C2">
        <w:rPr>
          <w:rFonts w:cs="Arial"/>
          <w:sz w:val="22"/>
          <w:szCs w:val="22"/>
        </w:rPr>
        <w:t xml:space="preserve"> </w:t>
      </w:r>
      <w:r w:rsidR="00282391" w:rsidRPr="002A77C2">
        <w:rPr>
          <w:rFonts w:cs="Arial"/>
          <w:sz w:val="22"/>
          <w:szCs w:val="22"/>
        </w:rPr>
        <w:t xml:space="preserve">in </w:t>
      </w:r>
      <w:r w:rsidR="00E801D6" w:rsidRPr="002A77C2">
        <w:rPr>
          <w:rFonts w:cs="Arial"/>
          <w:sz w:val="22"/>
          <w:szCs w:val="22"/>
        </w:rPr>
        <w:t>investment income from dividends</w:t>
      </w:r>
      <w:r w:rsidR="001C7D48" w:rsidRPr="002A77C2">
        <w:rPr>
          <w:rFonts w:cs="Arial"/>
          <w:sz w:val="22"/>
          <w:szCs w:val="22"/>
        </w:rPr>
        <w:t xml:space="preserve"> and interest</w:t>
      </w:r>
      <w:r w:rsidR="00E801D6" w:rsidRPr="002A77C2">
        <w:rPr>
          <w:rFonts w:cs="Arial"/>
          <w:sz w:val="22"/>
          <w:szCs w:val="22"/>
        </w:rPr>
        <w:t xml:space="preserve"> of</w:t>
      </w:r>
      <w:r w:rsidR="00282391" w:rsidRPr="002A77C2">
        <w:rPr>
          <w:rFonts w:cs="Arial"/>
          <w:sz w:val="22"/>
          <w:szCs w:val="22"/>
        </w:rPr>
        <w:t xml:space="preserve"> </w:t>
      </w:r>
      <w:r w:rsidR="00B965CC" w:rsidRPr="002A77C2">
        <w:rPr>
          <w:rFonts w:cs="Arial"/>
          <w:sz w:val="22"/>
          <w:szCs w:val="22"/>
        </w:rPr>
        <w:t>$</w:t>
      </w:r>
      <w:r w:rsidR="006A0957">
        <w:rPr>
          <w:rFonts w:cs="Arial"/>
          <w:sz w:val="22"/>
          <w:szCs w:val="22"/>
        </w:rPr>
        <w:t>791</w:t>
      </w:r>
      <w:r w:rsidR="00B965CC" w:rsidRPr="002A77C2">
        <w:rPr>
          <w:rFonts w:cs="Arial"/>
          <w:sz w:val="22"/>
          <w:szCs w:val="22"/>
        </w:rPr>
        <w:t>,000</w:t>
      </w:r>
      <w:r w:rsidR="007279EC" w:rsidRPr="002A77C2">
        <w:rPr>
          <w:rFonts w:cs="Arial"/>
          <w:sz w:val="22"/>
          <w:szCs w:val="22"/>
        </w:rPr>
        <w:t>.</w:t>
      </w:r>
    </w:p>
    <w:p w14:paraId="5EA7337D" w14:textId="77777777" w:rsidR="00667D73" w:rsidRDefault="00667D73" w:rsidP="00E607BD">
      <w:pPr>
        <w:jc w:val="both"/>
        <w:rPr>
          <w:rFonts w:cs="Arial"/>
          <w:b/>
          <w:sz w:val="22"/>
          <w:szCs w:val="22"/>
        </w:rPr>
      </w:pPr>
    </w:p>
    <w:p w14:paraId="5EA7337E" w14:textId="53198293" w:rsidR="00E607BD" w:rsidRPr="007540D9" w:rsidRDefault="00E607BD" w:rsidP="00431251">
      <w:pPr>
        <w:pStyle w:val="Heading4"/>
        <w:jc w:val="left"/>
      </w:pPr>
      <w:r w:rsidRPr="001C7D48">
        <w:t>6.</w:t>
      </w:r>
      <w:r w:rsidR="00E54009" w:rsidRPr="001C7D48">
        <w:t>3</w:t>
      </w:r>
      <w:r w:rsidRPr="001C7D48">
        <w:t xml:space="preserve"> </w:t>
      </w:r>
      <w:r w:rsidR="00C635DD" w:rsidRPr="001C7D48">
        <w:t>Surplus</w:t>
      </w:r>
      <w:r w:rsidR="008554E7">
        <w:t xml:space="preserve"> </w:t>
      </w:r>
      <w:r w:rsidRPr="001C7D48">
        <w:t>for the year</w:t>
      </w:r>
      <w:r w:rsidR="005C1CCD">
        <w:t xml:space="preserve"> </w:t>
      </w:r>
      <w:r w:rsidR="009D74ED">
        <w:t>($’000)</w:t>
      </w:r>
    </w:p>
    <w:tbl>
      <w:tblPr>
        <w:tblW w:w="9028" w:type="dxa"/>
        <w:tblInd w:w="108" w:type="dxa"/>
        <w:tblLook w:val="04A0" w:firstRow="1" w:lastRow="0" w:firstColumn="1" w:lastColumn="0" w:noHBand="0" w:noVBand="1"/>
      </w:tblPr>
      <w:tblGrid>
        <w:gridCol w:w="6038"/>
        <w:gridCol w:w="1495"/>
        <w:gridCol w:w="1495"/>
      </w:tblGrid>
      <w:tr w:rsidR="00CD76C1" w:rsidRPr="001C7D48" w14:paraId="5EA73382" w14:textId="77777777" w:rsidTr="005C1CCD">
        <w:trPr>
          <w:trHeight w:val="313"/>
          <w:tblHeader/>
        </w:trPr>
        <w:tc>
          <w:tcPr>
            <w:tcW w:w="6038" w:type="dxa"/>
            <w:tcBorders>
              <w:top w:val="nil"/>
              <w:left w:val="nil"/>
              <w:bottom w:val="nil"/>
              <w:right w:val="nil"/>
            </w:tcBorders>
            <w:shd w:val="clear" w:color="auto" w:fill="auto"/>
            <w:vAlign w:val="center"/>
            <w:hideMark/>
          </w:tcPr>
          <w:p w14:paraId="5EA7337F" w14:textId="77777777" w:rsidR="00CD76C1" w:rsidRPr="005F0AB1" w:rsidRDefault="00CD76C1" w:rsidP="001C7D48">
            <w:pPr>
              <w:rPr>
                <w:rFonts w:cs="Arial"/>
                <w:color w:val="000000"/>
                <w:sz w:val="22"/>
                <w:szCs w:val="22"/>
                <w:lang w:eastAsia="en-AU"/>
              </w:rPr>
            </w:pPr>
            <w:bookmarkStart w:id="95" w:name="Table_3"/>
            <w:bookmarkEnd w:id="95"/>
          </w:p>
        </w:tc>
        <w:tc>
          <w:tcPr>
            <w:tcW w:w="1495" w:type="dxa"/>
            <w:tcBorders>
              <w:top w:val="nil"/>
              <w:left w:val="nil"/>
              <w:bottom w:val="nil"/>
              <w:right w:val="nil"/>
            </w:tcBorders>
            <w:shd w:val="clear" w:color="000000" w:fill="BFBFBF" w:themeFill="background1" w:themeFillShade="BF"/>
            <w:vAlign w:val="center"/>
            <w:hideMark/>
          </w:tcPr>
          <w:p w14:paraId="5EA73380" w14:textId="77777777" w:rsidR="00CD76C1" w:rsidRPr="001C7D48" w:rsidRDefault="00CD76C1" w:rsidP="00CD76C1">
            <w:pPr>
              <w:jc w:val="right"/>
              <w:rPr>
                <w:rFonts w:cs="Arial"/>
                <w:b/>
                <w:bCs/>
                <w:color w:val="000000"/>
                <w:sz w:val="22"/>
                <w:szCs w:val="22"/>
                <w:lang w:eastAsia="en-AU"/>
              </w:rPr>
            </w:pPr>
            <w:r w:rsidRPr="001C7D48">
              <w:rPr>
                <w:rFonts w:cs="Arial"/>
                <w:b/>
                <w:bCs/>
                <w:color w:val="000000"/>
                <w:sz w:val="22"/>
                <w:szCs w:val="22"/>
                <w:lang w:eastAsia="en-AU"/>
              </w:rPr>
              <w:t>201</w:t>
            </w:r>
            <w:r>
              <w:rPr>
                <w:rFonts w:cs="Arial"/>
                <w:b/>
                <w:bCs/>
                <w:color w:val="000000"/>
                <w:sz w:val="22"/>
                <w:szCs w:val="22"/>
                <w:lang w:eastAsia="en-AU"/>
              </w:rPr>
              <w:t>5</w:t>
            </w:r>
          </w:p>
        </w:tc>
        <w:tc>
          <w:tcPr>
            <w:tcW w:w="1495" w:type="dxa"/>
            <w:tcBorders>
              <w:top w:val="nil"/>
              <w:left w:val="nil"/>
              <w:bottom w:val="nil"/>
              <w:right w:val="nil"/>
            </w:tcBorders>
            <w:shd w:val="clear" w:color="auto" w:fill="auto"/>
            <w:hideMark/>
          </w:tcPr>
          <w:p w14:paraId="5EA73381" w14:textId="77777777" w:rsidR="00CD76C1" w:rsidRPr="001C7D48" w:rsidRDefault="00CD76C1" w:rsidP="001C7D48">
            <w:pPr>
              <w:jc w:val="right"/>
              <w:rPr>
                <w:rFonts w:cs="Arial"/>
                <w:b/>
                <w:bCs/>
                <w:color w:val="000000"/>
                <w:sz w:val="22"/>
                <w:szCs w:val="22"/>
                <w:lang w:eastAsia="en-AU"/>
              </w:rPr>
            </w:pPr>
            <w:r w:rsidRPr="00A6355E">
              <w:t>2014</w:t>
            </w:r>
          </w:p>
        </w:tc>
      </w:tr>
      <w:tr w:rsidR="00CD76C1" w:rsidRPr="001C7D48" w14:paraId="5EA7338E" w14:textId="77777777" w:rsidTr="00C91AAF">
        <w:trPr>
          <w:trHeight w:val="313"/>
        </w:trPr>
        <w:tc>
          <w:tcPr>
            <w:tcW w:w="6038" w:type="dxa"/>
            <w:tcBorders>
              <w:top w:val="nil"/>
              <w:left w:val="nil"/>
              <w:bottom w:val="nil"/>
              <w:right w:val="nil"/>
            </w:tcBorders>
            <w:shd w:val="clear" w:color="auto" w:fill="auto"/>
            <w:vAlign w:val="center"/>
            <w:hideMark/>
          </w:tcPr>
          <w:p w14:paraId="5EA7338B" w14:textId="77777777" w:rsidR="00CD76C1" w:rsidRPr="005F0AB1" w:rsidRDefault="00CD76C1" w:rsidP="001C7D48">
            <w:pPr>
              <w:rPr>
                <w:rFonts w:cs="Arial"/>
                <w:bCs/>
                <w:color w:val="000000"/>
                <w:sz w:val="22"/>
                <w:szCs w:val="22"/>
                <w:lang w:eastAsia="en-AU"/>
              </w:rPr>
            </w:pPr>
            <w:r w:rsidRPr="005F0AB1">
              <w:rPr>
                <w:rFonts w:cs="Arial"/>
                <w:bCs/>
                <w:color w:val="000000"/>
                <w:sz w:val="22"/>
                <w:szCs w:val="22"/>
                <w:lang w:eastAsia="en-AU"/>
              </w:rPr>
              <w:t>Adjusted (recurring) Operating Surplus</w:t>
            </w:r>
          </w:p>
        </w:tc>
        <w:tc>
          <w:tcPr>
            <w:tcW w:w="1495" w:type="dxa"/>
            <w:tcBorders>
              <w:top w:val="nil"/>
              <w:left w:val="nil"/>
              <w:bottom w:val="nil"/>
              <w:right w:val="nil"/>
            </w:tcBorders>
            <w:shd w:val="clear" w:color="000000" w:fill="BFBFBF" w:themeFill="background1" w:themeFillShade="BF"/>
            <w:vAlign w:val="bottom"/>
          </w:tcPr>
          <w:p w14:paraId="5EA7338C" w14:textId="77777777" w:rsidR="00CD76C1" w:rsidRPr="005F0AB1" w:rsidRDefault="005F0AB1" w:rsidP="00300CCE">
            <w:pPr>
              <w:jc w:val="right"/>
            </w:pPr>
            <w:r w:rsidRPr="005F0AB1">
              <w:t>6,5</w:t>
            </w:r>
            <w:r w:rsidR="00300CCE">
              <w:t>11</w:t>
            </w:r>
          </w:p>
        </w:tc>
        <w:tc>
          <w:tcPr>
            <w:tcW w:w="1495" w:type="dxa"/>
            <w:tcBorders>
              <w:top w:val="nil"/>
              <w:left w:val="nil"/>
              <w:bottom w:val="nil"/>
              <w:right w:val="nil"/>
            </w:tcBorders>
            <w:shd w:val="clear" w:color="auto" w:fill="auto"/>
            <w:hideMark/>
          </w:tcPr>
          <w:p w14:paraId="5EA7338D" w14:textId="77777777" w:rsidR="00CD76C1" w:rsidRPr="001C7D48" w:rsidRDefault="00CD76C1" w:rsidP="001C7D48">
            <w:pPr>
              <w:jc w:val="right"/>
              <w:rPr>
                <w:rFonts w:cs="Arial"/>
                <w:b/>
                <w:bCs/>
                <w:color w:val="000000"/>
                <w:sz w:val="22"/>
                <w:szCs w:val="22"/>
                <w:lang w:eastAsia="en-AU"/>
              </w:rPr>
            </w:pPr>
            <w:r w:rsidRPr="00A6355E">
              <w:t>3,957</w:t>
            </w:r>
          </w:p>
        </w:tc>
      </w:tr>
    </w:tbl>
    <w:p w14:paraId="2718FE90" w14:textId="77777777" w:rsidR="005C1CCD" w:rsidRDefault="005C1CCD"/>
    <w:p w14:paraId="009E36B4" w14:textId="50A54ADE" w:rsidR="005C1CCD" w:rsidRDefault="005C1CCD">
      <w:r w:rsidRPr="005F0AB1">
        <w:rPr>
          <w:rFonts w:cs="Arial"/>
          <w:color w:val="000000"/>
          <w:sz w:val="22"/>
          <w:szCs w:val="22"/>
          <w:lang w:eastAsia="en-AU"/>
        </w:rPr>
        <w:t>Adjust for non-operating and once off costs:</w:t>
      </w:r>
    </w:p>
    <w:tbl>
      <w:tblPr>
        <w:tblW w:w="9028" w:type="dxa"/>
        <w:tblInd w:w="108" w:type="dxa"/>
        <w:tblLook w:val="04A0" w:firstRow="1" w:lastRow="0" w:firstColumn="1" w:lastColumn="0" w:noHBand="0" w:noVBand="1"/>
      </w:tblPr>
      <w:tblGrid>
        <w:gridCol w:w="6038"/>
        <w:gridCol w:w="1495"/>
        <w:gridCol w:w="1495"/>
      </w:tblGrid>
      <w:tr w:rsidR="005C1CCD" w:rsidRPr="001C7D48" w14:paraId="5EA73392" w14:textId="77777777" w:rsidTr="009D74ED">
        <w:trPr>
          <w:trHeight w:val="298"/>
          <w:tblHeader/>
        </w:trPr>
        <w:tc>
          <w:tcPr>
            <w:tcW w:w="6038" w:type="dxa"/>
            <w:tcBorders>
              <w:top w:val="nil"/>
              <w:left w:val="nil"/>
              <w:bottom w:val="nil"/>
              <w:right w:val="nil"/>
            </w:tcBorders>
            <w:shd w:val="clear" w:color="auto" w:fill="auto"/>
            <w:vAlign w:val="bottom"/>
            <w:hideMark/>
          </w:tcPr>
          <w:p w14:paraId="5EA7338F" w14:textId="78556F5D" w:rsidR="005C1CCD" w:rsidRPr="005F0AB1" w:rsidRDefault="005C1CCD" w:rsidP="00C35945">
            <w:pPr>
              <w:rPr>
                <w:rFonts w:cs="Arial"/>
                <w:color w:val="000000"/>
                <w:sz w:val="22"/>
                <w:szCs w:val="22"/>
                <w:lang w:eastAsia="en-AU"/>
              </w:rPr>
            </w:pPr>
            <w:bookmarkStart w:id="96" w:name="Table_4"/>
            <w:bookmarkEnd w:id="96"/>
          </w:p>
        </w:tc>
        <w:tc>
          <w:tcPr>
            <w:tcW w:w="1495" w:type="dxa"/>
            <w:tcBorders>
              <w:top w:val="nil"/>
              <w:left w:val="nil"/>
              <w:bottom w:val="nil"/>
              <w:right w:val="nil"/>
            </w:tcBorders>
            <w:shd w:val="clear" w:color="000000" w:fill="BFBFBF" w:themeFill="background1" w:themeFillShade="BF"/>
          </w:tcPr>
          <w:p w14:paraId="5EA73390" w14:textId="5CA26EED" w:rsidR="005C1CCD" w:rsidRPr="001C7D48" w:rsidRDefault="005C1CCD" w:rsidP="009D74ED">
            <w:pPr>
              <w:jc w:val="right"/>
              <w:rPr>
                <w:rFonts w:cs="Arial"/>
                <w:color w:val="000000"/>
                <w:sz w:val="22"/>
                <w:szCs w:val="22"/>
                <w:lang w:eastAsia="en-AU"/>
              </w:rPr>
            </w:pPr>
            <w:r w:rsidRPr="001C7D48">
              <w:rPr>
                <w:rFonts w:cs="Arial"/>
                <w:b/>
                <w:bCs/>
                <w:color w:val="000000"/>
                <w:sz w:val="22"/>
                <w:szCs w:val="22"/>
                <w:lang w:eastAsia="en-AU"/>
              </w:rPr>
              <w:t>201</w:t>
            </w:r>
            <w:r>
              <w:rPr>
                <w:rFonts w:cs="Arial"/>
                <w:b/>
                <w:bCs/>
                <w:color w:val="000000"/>
                <w:sz w:val="22"/>
                <w:szCs w:val="22"/>
                <w:lang w:eastAsia="en-AU"/>
              </w:rPr>
              <w:t>5</w:t>
            </w:r>
          </w:p>
        </w:tc>
        <w:tc>
          <w:tcPr>
            <w:tcW w:w="1495" w:type="dxa"/>
            <w:tcBorders>
              <w:top w:val="nil"/>
              <w:left w:val="nil"/>
              <w:bottom w:val="nil"/>
              <w:right w:val="nil"/>
            </w:tcBorders>
            <w:shd w:val="clear" w:color="auto" w:fill="auto"/>
            <w:hideMark/>
          </w:tcPr>
          <w:p w14:paraId="5EA73391" w14:textId="66FD99EE" w:rsidR="005C1CCD" w:rsidRPr="001C7D48" w:rsidRDefault="005C1CCD" w:rsidP="001C7D48">
            <w:pPr>
              <w:jc w:val="right"/>
              <w:rPr>
                <w:rFonts w:cs="Arial"/>
                <w:color w:val="000000"/>
                <w:sz w:val="22"/>
                <w:szCs w:val="22"/>
                <w:lang w:eastAsia="en-AU"/>
              </w:rPr>
            </w:pPr>
            <w:r w:rsidRPr="00A6355E">
              <w:t>2014</w:t>
            </w:r>
          </w:p>
        </w:tc>
      </w:tr>
      <w:tr w:rsidR="005C1CCD" w:rsidRPr="001C7D48" w14:paraId="5EA73396" w14:textId="77777777" w:rsidTr="009D74ED">
        <w:trPr>
          <w:trHeight w:val="376"/>
        </w:trPr>
        <w:tc>
          <w:tcPr>
            <w:tcW w:w="6038" w:type="dxa"/>
            <w:tcBorders>
              <w:top w:val="nil"/>
              <w:left w:val="nil"/>
              <w:bottom w:val="nil"/>
              <w:right w:val="nil"/>
            </w:tcBorders>
            <w:shd w:val="clear" w:color="auto" w:fill="auto"/>
            <w:vAlign w:val="bottom"/>
            <w:hideMark/>
          </w:tcPr>
          <w:p w14:paraId="5EA73393" w14:textId="194A31D7" w:rsidR="005C1CCD" w:rsidRPr="005F0AB1" w:rsidRDefault="005C1CCD">
            <w:pPr>
              <w:rPr>
                <w:rFonts w:cs="Arial"/>
                <w:color w:val="000000"/>
                <w:sz w:val="22"/>
                <w:szCs w:val="22"/>
                <w:lang w:eastAsia="en-AU"/>
              </w:rPr>
            </w:pPr>
            <w:r>
              <w:rPr>
                <w:rFonts w:cs="Arial"/>
                <w:color w:val="000000"/>
                <w:sz w:val="22"/>
                <w:szCs w:val="22"/>
                <w:lang w:eastAsia="en-AU"/>
              </w:rPr>
              <w:t>Net g</w:t>
            </w:r>
            <w:r w:rsidRPr="005F0AB1">
              <w:rPr>
                <w:rFonts w:cs="Arial"/>
                <w:color w:val="000000"/>
                <w:sz w:val="22"/>
                <w:szCs w:val="22"/>
                <w:lang w:eastAsia="en-AU"/>
              </w:rPr>
              <w:t xml:space="preserve">ain on </w:t>
            </w:r>
            <w:r>
              <w:rPr>
                <w:rFonts w:cs="Arial"/>
                <w:color w:val="000000"/>
                <w:sz w:val="22"/>
                <w:szCs w:val="22"/>
                <w:lang w:eastAsia="en-AU"/>
              </w:rPr>
              <w:t>disposal of assets</w:t>
            </w:r>
          </w:p>
        </w:tc>
        <w:tc>
          <w:tcPr>
            <w:tcW w:w="1495" w:type="dxa"/>
            <w:tcBorders>
              <w:top w:val="nil"/>
              <w:left w:val="nil"/>
              <w:bottom w:val="nil"/>
              <w:right w:val="nil"/>
            </w:tcBorders>
            <w:shd w:val="clear" w:color="000000" w:fill="BFBFBF" w:themeFill="background1" w:themeFillShade="BF"/>
          </w:tcPr>
          <w:p w14:paraId="5EA73394" w14:textId="6B0D00FC" w:rsidR="005C1CCD" w:rsidRPr="005F0AB1" w:rsidRDefault="005C1CCD" w:rsidP="009D74ED">
            <w:pPr>
              <w:jc w:val="right"/>
            </w:pPr>
            <w:r>
              <w:t>6,234</w:t>
            </w:r>
          </w:p>
        </w:tc>
        <w:tc>
          <w:tcPr>
            <w:tcW w:w="1495" w:type="dxa"/>
            <w:tcBorders>
              <w:top w:val="nil"/>
              <w:left w:val="nil"/>
              <w:bottom w:val="nil"/>
              <w:right w:val="nil"/>
            </w:tcBorders>
            <w:shd w:val="clear" w:color="auto" w:fill="auto"/>
            <w:hideMark/>
          </w:tcPr>
          <w:p w14:paraId="5EA73395" w14:textId="06F2D0D7" w:rsidR="005C1CCD" w:rsidRPr="001C7D48" w:rsidRDefault="005C1CCD">
            <w:pPr>
              <w:jc w:val="right"/>
              <w:rPr>
                <w:rFonts w:cs="Arial"/>
                <w:color w:val="000000"/>
                <w:sz w:val="22"/>
                <w:szCs w:val="22"/>
                <w:lang w:eastAsia="en-AU"/>
              </w:rPr>
            </w:pPr>
            <w:r w:rsidRPr="00A6355E">
              <w:t>5,</w:t>
            </w:r>
            <w:r>
              <w:t>580</w:t>
            </w:r>
          </w:p>
        </w:tc>
      </w:tr>
      <w:tr w:rsidR="005C1CCD" w:rsidRPr="001C7D48" w14:paraId="5EA7339A" w14:textId="77777777" w:rsidTr="003D2269">
        <w:trPr>
          <w:trHeight w:val="376"/>
        </w:trPr>
        <w:tc>
          <w:tcPr>
            <w:tcW w:w="6038" w:type="dxa"/>
            <w:tcBorders>
              <w:top w:val="nil"/>
              <w:left w:val="nil"/>
              <w:bottom w:val="nil"/>
              <w:right w:val="nil"/>
            </w:tcBorders>
            <w:shd w:val="clear" w:color="auto" w:fill="auto"/>
            <w:vAlign w:val="bottom"/>
            <w:hideMark/>
          </w:tcPr>
          <w:p w14:paraId="5EA73397" w14:textId="77777777" w:rsidR="005C1CCD" w:rsidRPr="005F0AB1" w:rsidRDefault="005C1CCD" w:rsidP="001C7D48">
            <w:pPr>
              <w:rPr>
                <w:rFonts w:cs="Arial"/>
                <w:color w:val="000000"/>
                <w:sz w:val="22"/>
                <w:szCs w:val="22"/>
                <w:lang w:eastAsia="en-AU"/>
              </w:rPr>
            </w:pPr>
            <w:r w:rsidRPr="005F0AB1">
              <w:rPr>
                <w:rFonts w:cs="Arial"/>
                <w:color w:val="000000"/>
                <w:sz w:val="22"/>
                <w:szCs w:val="22"/>
                <w:lang w:eastAsia="en-AU"/>
              </w:rPr>
              <w:t>Impairment losses</w:t>
            </w:r>
          </w:p>
        </w:tc>
        <w:tc>
          <w:tcPr>
            <w:tcW w:w="1495" w:type="dxa"/>
            <w:tcBorders>
              <w:top w:val="nil"/>
              <w:left w:val="nil"/>
              <w:bottom w:val="nil"/>
              <w:right w:val="nil"/>
            </w:tcBorders>
            <w:shd w:val="clear" w:color="000000" w:fill="BFBFBF" w:themeFill="background1" w:themeFillShade="BF"/>
          </w:tcPr>
          <w:p w14:paraId="5EA73398" w14:textId="77777777" w:rsidR="005C1CCD" w:rsidRPr="005F0AB1" w:rsidRDefault="005C1CCD" w:rsidP="00320F69">
            <w:pPr>
              <w:jc w:val="right"/>
            </w:pPr>
            <w:r w:rsidRPr="005F0AB1">
              <w:t>(</w:t>
            </w:r>
            <w:r>
              <w:t>697</w:t>
            </w:r>
            <w:r w:rsidRPr="005F0AB1">
              <w:t>)</w:t>
            </w:r>
          </w:p>
        </w:tc>
        <w:tc>
          <w:tcPr>
            <w:tcW w:w="1495" w:type="dxa"/>
            <w:tcBorders>
              <w:top w:val="nil"/>
              <w:left w:val="nil"/>
              <w:bottom w:val="nil"/>
              <w:right w:val="nil"/>
            </w:tcBorders>
            <w:shd w:val="clear" w:color="auto" w:fill="auto"/>
            <w:hideMark/>
          </w:tcPr>
          <w:p w14:paraId="5EA73399" w14:textId="77777777" w:rsidR="005C1CCD" w:rsidRPr="001C7D48" w:rsidRDefault="005C1CCD" w:rsidP="001C7D48">
            <w:pPr>
              <w:jc w:val="right"/>
              <w:rPr>
                <w:rFonts w:cs="Arial"/>
                <w:color w:val="000000"/>
                <w:sz w:val="22"/>
                <w:szCs w:val="22"/>
                <w:lang w:eastAsia="en-AU"/>
              </w:rPr>
            </w:pPr>
            <w:r w:rsidRPr="00A6355E">
              <w:t>(219)</w:t>
            </w:r>
          </w:p>
        </w:tc>
      </w:tr>
      <w:tr w:rsidR="005C1CCD" w:rsidRPr="001C7D48" w14:paraId="5EA733A2" w14:textId="77777777" w:rsidTr="003D2269">
        <w:trPr>
          <w:trHeight w:val="376"/>
        </w:trPr>
        <w:tc>
          <w:tcPr>
            <w:tcW w:w="6038" w:type="dxa"/>
            <w:tcBorders>
              <w:top w:val="nil"/>
              <w:left w:val="nil"/>
              <w:bottom w:val="nil"/>
              <w:right w:val="nil"/>
            </w:tcBorders>
            <w:shd w:val="clear" w:color="auto" w:fill="auto"/>
            <w:vAlign w:val="bottom"/>
            <w:hideMark/>
          </w:tcPr>
          <w:p w14:paraId="5EA7339F" w14:textId="77777777" w:rsidR="005C1CCD" w:rsidRPr="005F0AB1" w:rsidRDefault="005C1CCD" w:rsidP="001C7D48">
            <w:pPr>
              <w:rPr>
                <w:rFonts w:cs="Arial"/>
                <w:color w:val="000000"/>
                <w:sz w:val="22"/>
                <w:szCs w:val="22"/>
                <w:lang w:eastAsia="en-AU"/>
              </w:rPr>
            </w:pPr>
            <w:r w:rsidRPr="005F0AB1">
              <w:rPr>
                <w:rFonts w:cs="Arial"/>
                <w:color w:val="000000"/>
                <w:sz w:val="22"/>
                <w:szCs w:val="22"/>
                <w:lang w:eastAsia="en-AU"/>
              </w:rPr>
              <w:t>Restructuring costs</w:t>
            </w:r>
          </w:p>
        </w:tc>
        <w:tc>
          <w:tcPr>
            <w:tcW w:w="1495" w:type="dxa"/>
            <w:tcBorders>
              <w:top w:val="nil"/>
              <w:left w:val="nil"/>
              <w:bottom w:val="single" w:sz="8" w:space="0" w:color="auto"/>
              <w:right w:val="nil"/>
            </w:tcBorders>
            <w:shd w:val="clear" w:color="000000" w:fill="BFBFBF" w:themeFill="background1" w:themeFillShade="BF"/>
          </w:tcPr>
          <w:p w14:paraId="5EA733A0" w14:textId="77777777" w:rsidR="005C1CCD" w:rsidRPr="005F0AB1" w:rsidRDefault="005C1CCD" w:rsidP="003D2269">
            <w:pPr>
              <w:jc w:val="right"/>
            </w:pPr>
            <w:r w:rsidRPr="005F0AB1">
              <w:t>(1,789)</w:t>
            </w:r>
          </w:p>
        </w:tc>
        <w:tc>
          <w:tcPr>
            <w:tcW w:w="1495" w:type="dxa"/>
            <w:tcBorders>
              <w:top w:val="nil"/>
              <w:left w:val="nil"/>
              <w:bottom w:val="single" w:sz="8" w:space="0" w:color="auto"/>
              <w:right w:val="nil"/>
            </w:tcBorders>
            <w:shd w:val="clear" w:color="auto" w:fill="auto"/>
            <w:hideMark/>
          </w:tcPr>
          <w:p w14:paraId="5EA733A1" w14:textId="77777777" w:rsidR="005C1CCD" w:rsidRPr="001C7D48" w:rsidRDefault="005C1CCD" w:rsidP="001C7D48">
            <w:pPr>
              <w:jc w:val="right"/>
              <w:rPr>
                <w:rFonts w:cs="Arial"/>
                <w:color w:val="000000"/>
                <w:sz w:val="22"/>
                <w:szCs w:val="22"/>
                <w:lang w:eastAsia="en-AU"/>
              </w:rPr>
            </w:pPr>
            <w:r w:rsidRPr="00A6355E">
              <w:t>(1,805)</w:t>
            </w:r>
          </w:p>
        </w:tc>
      </w:tr>
      <w:tr w:rsidR="005C1CCD" w:rsidRPr="001C7D48" w14:paraId="5EA733A6" w14:textId="77777777" w:rsidTr="003D2269">
        <w:trPr>
          <w:trHeight w:val="329"/>
        </w:trPr>
        <w:tc>
          <w:tcPr>
            <w:tcW w:w="6038" w:type="dxa"/>
            <w:tcBorders>
              <w:top w:val="nil"/>
              <w:left w:val="nil"/>
              <w:bottom w:val="nil"/>
              <w:right w:val="nil"/>
            </w:tcBorders>
            <w:shd w:val="clear" w:color="auto" w:fill="auto"/>
            <w:vAlign w:val="bottom"/>
            <w:hideMark/>
          </w:tcPr>
          <w:p w14:paraId="5EA733A3" w14:textId="77777777" w:rsidR="005C1CCD" w:rsidRPr="005F0AB1" w:rsidRDefault="005C1CCD" w:rsidP="00233BC6">
            <w:pPr>
              <w:rPr>
                <w:rFonts w:cs="Arial"/>
                <w:bCs/>
                <w:color w:val="000000"/>
                <w:sz w:val="22"/>
                <w:szCs w:val="22"/>
                <w:lang w:eastAsia="en-AU"/>
              </w:rPr>
            </w:pPr>
            <w:r w:rsidRPr="005F0AB1">
              <w:rPr>
                <w:rFonts w:cs="Arial"/>
                <w:bCs/>
                <w:color w:val="000000"/>
                <w:sz w:val="22"/>
                <w:szCs w:val="22"/>
                <w:lang w:eastAsia="en-AU"/>
              </w:rPr>
              <w:t>Reported Surplus for the year</w:t>
            </w:r>
          </w:p>
        </w:tc>
        <w:tc>
          <w:tcPr>
            <w:tcW w:w="1495" w:type="dxa"/>
            <w:tcBorders>
              <w:top w:val="nil"/>
              <w:left w:val="nil"/>
              <w:bottom w:val="single" w:sz="12" w:space="0" w:color="auto"/>
              <w:right w:val="nil"/>
            </w:tcBorders>
            <w:shd w:val="clear" w:color="000000" w:fill="BFBFBF" w:themeFill="background1" w:themeFillShade="BF"/>
          </w:tcPr>
          <w:p w14:paraId="5EA733A4" w14:textId="77777777" w:rsidR="005C1CCD" w:rsidRPr="003D2269" w:rsidRDefault="005C1CCD" w:rsidP="003D2269">
            <w:pPr>
              <w:jc w:val="right"/>
              <w:rPr>
                <w:b/>
              </w:rPr>
            </w:pPr>
            <w:r>
              <w:rPr>
                <w:b/>
              </w:rPr>
              <w:t>10,259</w:t>
            </w:r>
          </w:p>
        </w:tc>
        <w:tc>
          <w:tcPr>
            <w:tcW w:w="1495" w:type="dxa"/>
            <w:tcBorders>
              <w:top w:val="nil"/>
              <w:left w:val="nil"/>
              <w:bottom w:val="single" w:sz="12" w:space="0" w:color="auto"/>
              <w:right w:val="nil"/>
            </w:tcBorders>
            <w:shd w:val="clear" w:color="auto" w:fill="auto"/>
            <w:hideMark/>
          </w:tcPr>
          <w:p w14:paraId="5EA733A5" w14:textId="77777777" w:rsidR="005C1CCD" w:rsidRPr="001C7D48" w:rsidRDefault="005C1CCD" w:rsidP="001C7D48">
            <w:pPr>
              <w:jc w:val="right"/>
              <w:rPr>
                <w:rFonts w:cs="Arial"/>
                <w:b/>
                <w:bCs/>
                <w:color w:val="000000"/>
                <w:sz w:val="22"/>
                <w:szCs w:val="22"/>
                <w:lang w:eastAsia="en-AU"/>
              </w:rPr>
            </w:pPr>
            <w:r w:rsidRPr="00A6355E">
              <w:t>7,513</w:t>
            </w:r>
          </w:p>
        </w:tc>
      </w:tr>
    </w:tbl>
    <w:p w14:paraId="5EA733A7" w14:textId="77777777" w:rsidR="009A3406" w:rsidRPr="007540D9" w:rsidRDefault="009A3406" w:rsidP="00CE29FF">
      <w:pPr>
        <w:jc w:val="both"/>
        <w:rPr>
          <w:rFonts w:cs="Arial"/>
          <w:sz w:val="14"/>
          <w:szCs w:val="22"/>
        </w:rPr>
      </w:pPr>
    </w:p>
    <w:p w14:paraId="5EA733A8" w14:textId="77777777" w:rsidR="00CE29FF" w:rsidRPr="007540D9" w:rsidRDefault="00CE29FF" w:rsidP="002206F9">
      <w:pPr>
        <w:rPr>
          <w:rFonts w:cs="Arial"/>
          <w:sz w:val="22"/>
          <w:szCs w:val="22"/>
        </w:rPr>
      </w:pPr>
      <w:r w:rsidRPr="00EE5A6D">
        <w:rPr>
          <w:rFonts w:cs="Arial"/>
          <w:sz w:val="22"/>
          <w:szCs w:val="22"/>
        </w:rPr>
        <w:t xml:space="preserve">The reported </w:t>
      </w:r>
      <w:r w:rsidR="00D10D7C" w:rsidRPr="00EE5A6D">
        <w:rPr>
          <w:rFonts w:cs="Arial"/>
          <w:sz w:val="22"/>
          <w:szCs w:val="22"/>
        </w:rPr>
        <w:t xml:space="preserve">surplus </w:t>
      </w:r>
      <w:r w:rsidRPr="00EE5A6D">
        <w:rPr>
          <w:rFonts w:cs="Arial"/>
          <w:sz w:val="22"/>
          <w:szCs w:val="22"/>
        </w:rPr>
        <w:t xml:space="preserve">for the year was </w:t>
      </w:r>
      <w:r w:rsidRPr="005F0AB1">
        <w:rPr>
          <w:rFonts w:cs="Arial"/>
          <w:sz w:val="22"/>
          <w:szCs w:val="22"/>
        </w:rPr>
        <w:t>$</w:t>
      </w:r>
      <w:r w:rsidR="00320F69">
        <w:rPr>
          <w:rFonts w:cs="Arial"/>
          <w:sz w:val="22"/>
          <w:szCs w:val="22"/>
        </w:rPr>
        <w:t>10,259</w:t>
      </w:r>
      <w:r w:rsidRPr="005F0AB1">
        <w:rPr>
          <w:rFonts w:cs="Arial"/>
          <w:sz w:val="22"/>
          <w:szCs w:val="22"/>
        </w:rPr>
        <w:t>,000</w:t>
      </w:r>
      <w:r w:rsidRPr="00EE5A6D">
        <w:rPr>
          <w:rFonts w:cs="Arial"/>
          <w:sz w:val="22"/>
          <w:szCs w:val="22"/>
        </w:rPr>
        <w:t xml:space="preserve"> (201</w:t>
      </w:r>
      <w:r w:rsidR="00B2767F">
        <w:rPr>
          <w:rFonts w:cs="Arial"/>
          <w:sz w:val="22"/>
          <w:szCs w:val="22"/>
        </w:rPr>
        <w:t>4</w:t>
      </w:r>
      <w:r w:rsidRPr="00EE5A6D">
        <w:rPr>
          <w:rFonts w:cs="Arial"/>
          <w:sz w:val="22"/>
          <w:szCs w:val="22"/>
        </w:rPr>
        <w:t xml:space="preserve">: </w:t>
      </w:r>
      <w:r w:rsidR="008554E7">
        <w:rPr>
          <w:rFonts w:cs="Arial"/>
          <w:sz w:val="22"/>
          <w:szCs w:val="22"/>
        </w:rPr>
        <w:t>surplus</w:t>
      </w:r>
      <w:r w:rsidR="00D10D7C" w:rsidRPr="00EE5A6D">
        <w:rPr>
          <w:rFonts w:cs="Arial"/>
          <w:sz w:val="22"/>
          <w:szCs w:val="22"/>
        </w:rPr>
        <w:t xml:space="preserve"> </w:t>
      </w:r>
      <w:r w:rsidRPr="00EE5A6D">
        <w:rPr>
          <w:rFonts w:cs="Arial"/>
          <w:sz w:val="22"/>
          <w:szCs w:val="22"/>
        </w:rPr>
        <w:t>of $</w:t>
      </w:r>
      <w:r w:rsidR="00B2767F">
        <w:rPr>
          <w:rFonts w:cs="Arial"/>
          <w:sz w:val="22"/>
          <w:szCs w:val="22"/>
        </w:rPr>
        <w:t>7,513</w:t>
      </w:r>
      <w:r w:rsidRPr="00EE5A6D">
        <w:rPr>
          <w:rFonts w:cs="Arial"/>
          <w:sz w:val="22"/>
          <w:szCs w:val="22"/>
        </w:rPr>
        <w:t xml:space="preserve">,000).  After adjusting for non-recurring items Vision Australia Limited reported an underlying operating </w:t>
      </w:r>
      <w:r w:rsidR="00D10D7C" w:rsidRPr="00EE5A6D">
        <w:rPr>
          <w:rFonts w:cs="Arial"/>
          <w:sz w:val="22"/>
          <w:szCs w:val="22"/>
        </w:rPr>
        <w:t xml:space="preserve">surplus </w:t>
      </w:r>
      <w:r w:rsidRPr="00EE5A6D">
        <w:rPr>
          <w:rFonts w:cs="Arial"/>
          <w:sz w:val="22"/>
          <w:szCs w:val="22"/>
        </w:rPr>
        <w:t xml:space="preserve">of </w:t>
      </w:r>
      <w:r w:rsidRPr="005F0AB1">
        <w:rPr>
          <w:rFonts w:cs="Arial"/>
          <w:sz w:val="22"/>
          <w:szCs w:val="22"/>
        </w:rPr>
        <w:t>$</w:t>
      </w:r>
      <w:r w:rsidR="005F0AB1" w:rsidRPr="005F0AB1">
        <w:rPr>
          <w:rFonts w:cs="Arial"/>
          <w:sz w:val="22"/>
          <w:szCs w:val="22"/>
        </w:rPr>
        <w:t>6,5</w:t>
      </w:r>
      <w:r w:rsidR="00320F69">
        <w:rPr>
          <w:rFonts w:cs="Arial"/>
          <w:sz w:val="22"/>
          <w:szCs w:val="22"/>
        </w:rPr>
        <w:t>11</w:t>
      </w:r>
      <w:r w:rsidRPr="005F0AB1">
        <w:rPr>
          <w:rFonts w:cs="Arial"/>
          <w:sz w:val="22"/>
          <w:szCs w:val="22"/>
        </w:rPr>
        <w:t>,000</w:t>
      </w:r>
      <w:r w:rsidRPr="00EE5A6D">
        <w:rPr>
          <w:rFonts w:cs="Arial"/>
          <w:sz w:val="22"/>
          <w:szCs w:val="22"/>
        </w:rPr>
        <w:t xml:space="preserve"> (</w:t>
      </w:r>
      <w:r w:rsidR="00D10D7C" w:rsidRPr="00EE5A6D">
        <w:rPr>
          <w:rFonts w:cs="Arial"/>
          <w:sz w:val="22"/>
          <w:szCs w:val="22"/>
        </w:rPr>
        <w:t>2</w:t>
      </w:r>
      <w:r w:rsidR="00B2767F">
        <w:rPr>
          <w:rFonts w:cs="Arial"/>
          <w:sz w:val="22"/>
          <w:szCs w:val="22"/>
        </w:rPr>
        <w:t>014</w:t>
      </w:r>
      <w:r w:rsidRPr="00EE5A6D">
        <w:rPr>
          <w:rFonts w:cs="Arial"/>
          <w:sz w:val="22"/>
          <w:szCs w:val="22"/>
        </w:rPr>
        <w:t xml:space="preserve">: </w:t>
      </w:r>
      <w:r w:rsidR="008554E7">
        <w:rPr>
          <w:rFonts w:cs="Arial"/>
          <w:sz w:val="22"/>
          <w:szCs w:val="22"/>
        </w:rPr>
        <w:t>surplus</w:t>
      </w:r>
      <w:r w:rsidRPr="00EE5A6D">
        <w:rPr>
          <w:rFonts w:cs="Arial"/>
          <w:sz w:val="22"/>
          <w:szCs w:val="22"/>
        </w:rPr>
        <w:t xml:space="preserve"> $</w:t>
      </w:r>
      <w:r w:rsidR="00B2767F">
        <w:rPr>
          <w:rFonts w:cs="Arial"/>
          <w:sz w:val="22"/>
          <w:szCs w:val="22"/>
        </w:rPr>
        <w:t>3,957,000</w:t>
      </w:r>
      <w:r w:rsidRPr="00EE5A6D">
        <w:rPr>
          <w:rFonts w:cs="Arial"/>
          <w:sz w:val="22"/>
          <w:szCs w:val="22"/>
        </w:rPr>
        <w:t xml:space="preserve">), </w:t>
      </w:r>
      <w:r w:rsidR="00506501" w:rsidRPr="00EE5A6D">
        <w:rPr>
          <w:rFonts w:cs="Arial"/>
          <w:sz w:val="22"/>
          <w:szCs w:val="22"/>
        </w:rPr>
        <w:t>an</w:t>
      </w:r>
      <w:r w:rsidRPr="00EE5A6D">
        <w:rPr>
          <w:rFonts w:cs="Arial"/>
          <w:sz w:val="22"/>
          <w:szCs w:val="22"/>
        </w:rPr>
        <w:t xml:space="preserve"> </w:t>
      </w:r>
      <w:r w:rsidR="00D10D7C" w:rsidRPr="00EE5A6D">
        <w:rPr>
          <w:rFonts w:cs="Arial"/>
          <w:sz w:val="22"/>
          <w:szCs w:val="22"/>
        </w:rPr>
        <w:t>in</w:t>
      </w:r>
      <w:r w:rsidRPr="00EE5A6D">
        <w:rPr>
          <w:rFonts w:cs="Arial"/>
          <w:sz w:val="22"/>
          <w:szCs w:val="22"/>
        </w:rPr>
        <w:t xml:space="preserve">crease in the operating </w:t>
      </w:r>
      <w:r w:rsidR="00D10D7C" w:rsidRPr="00EE5A6D">
        <w:rPr>
          <w:rFonts w:cs="Arial"/>
          <w:sz w:val="22"/>
          <w:szCs w:val="22"/>
        </w:rPr>
        <w:t xml:space="preserve">results </w:t>
      </w:r>
      <w:r w:rsidRPr="00EE5A6D">
        <w:rPr>
          <w:rFonts w:cs="Arial"/>
          <w:sz w:val="22"/>
          <w:szCs w:val="22"/>
        </w:rPr>
        <w:t xml:space="preserve">of </w:t>
      </w:r>
      <w:r w:rsidRPr="003D2269">
        <w:rPr>
          <w:rFonts w:cs="Arial"/>
          <w:sz w:val="22"/>
          <w:szCs w:val="22"/>
        </w:rPr>
        <w:t>$</w:t>
      </w:r>
      <w:r w:rsidR="003D2269" w:rsidRPr="003D2269">
        <w:rPr>
          <w:rFonts w:cs="Arial"/>
          <w:sz w:val="22"/>
          <w:szCs w:val="22"/>
        </w:rPr>
        <w:t>2,</w:t>
      </w:r>
      <w:r w:rsidR="00320F69">
        <w:rPr>
          <w:rFonts w:cs="Arial"/>
          <w:sz w:val="22"/>
          <w:szCs w:val="22"/>
        </w:rPr>
        <w:t>554</w:t>
      </w:r>
      <w:r w:rsidRPr="003D2269">
        <w:rPr>
          <w:rFonts w:cs="Arial"/>
          <w:sz w:val="22"/>
          <w:szCs w:val="22"/>
        </w:rPr>
        <w:t>,000</w:t>
      </w:r>
      <w:r w:rsidRPr="00EE5A6D">
        <w:rPr>
          <w:rFonts w:cs="Arial"/>
          <w:sz w:val="22"/>
          <w:szCs w:val="22"/>
        </w:rPr>
        <w:t xml:space="preserve"> aris</w:t>
      </w:r>
      <w:r w:rsidR="00CF2F29" w:rsidRPr="00EE5A6D">
        <w:rPr>
          <w:rFonts w:cs="Arial"/>
          <w:sz w:val="22"/>
          <w:szCs w:val="22"/>
        </w:rPr>
        <w:t>ing</w:t>
      </w:r>
      <w:r w:rsidRPr="00EE5A6D">
        <w:rPr>
          <w:rFonts w:cs="Arial"/>
          <w:sz w:val="22"/>
          <w:szCs w:val="22"/>
        </w:rPr>
        <w:t xml:space="preserve"> primarily from </w:t>
      </w:r>
      <w:r w:rsidR="00D10D7C" w:rsidRPr="00EE5A6D">
        <w:rPr>
          <w:rFonts w:cs="Arial"/>
          <w:sz w:val="22"/>
          <w:szCs w:val="22"/>
        </w:rPr>
        <w:t xml:space="preserve">higher </w:t>
      </w:r>
      <w:r w:rsidRPr="00EE5A6D">
        <w:rPr>
          <w:rFonts w:cs="Arial"/>
          <w:sz w:val="22"/>
          <w:szCs w:val="22"/>
        </w:rPr>
        <w:t xml:space="preserve">Revenue (6.2 above) and </w:t>
      </w:r>
      <w:r w:rsidR="00E801D6">
        <w:rPr>
          <w:rFonts w:cs="Arial"/>
          <w:sz w:val="22"/>
          <w:szCs w:val="22"/>
        </w:rPr>
        <w:t>the containment of costs</w:t>
      </w:r>
      <w:r w:rsidRPr="00EE5A6D">
        <w:rPr>
          <w:rFonts w:cs="Arial"/>
          <w:sz w:val="22"/>
          <w:szCs w:val="22"/>
        </w:rPr>
        <w:t>.</w:t>
      </w:r>
      <w:r w:rsidRPr="007540D9">
        <w:rPr>
          <w:rFonts w:cs="Arial"/>
          <w:sz w:val="22"/>
          <w:szCs w:val="22"/>
        </w:rPr>
        <w:t xml:space="preserve">  </w:t>
      </w:r>
    </w:p>
    <w:p w14:paraId="5EA733A9" w14:textId="77777777" w:rsidR="004A685D" w:rsidRDefault="004A685D" w:rsidP="002206F9">
      <w:pPr>
        <w:rPr>
          <w:rFonts w:cs="Arial"/>
          <w:sz w:val="22"/>
          <w:szCs w:val="22"/>
        </w:rPr>
      </w:pPr>
    </w:p>
    <w:p w14:paraId="5EA733AA" w14:textId="77777777" w:rsidR="004A685D" w:rsidRPr="00EE5A6D" w:rsidRDefault="001C7D48" w:rsidP="002206F9">
      <w:pPr>
        <w:rPr>
          <w:rFonts w:cs="Arial"/>
          <w:sz w:val="22"/>
          <w:szCs w:val="22"/>
        </w:rPr>
      </w:pPr>
      <w:r w:rsidRPr="003D2269">
        <w:rPr>
          <w:rFonts w:cs="Arial"/>
          <w:sz w:val="22"/>
          <w:szCs w:val="22"/>
        </w:rPr>
        <w:t>The $</w:t>
      </w:r>
      <w:r w:rsidR="00320F69">
        <w:rPr>
          <w:rFonts w:cs="Arial"/>
          <w:sz w:val="22"/>
          <w:szCs w:val="22"/>
        </w:rPr>
        <w:t>6,163</w:t>
      </w:r>
      <w:r w:rsidR="004A685D" w:rsidRPr="003D2269">
        <w:rPr>
          <w:rFonts w:cs="Arial"/>
          <w:sz w:val="22"/>
          <w:szCs w:val="22"/>
        </w:rPr>
        <w:t>,000 gain on sale of investments (201</w:t>
      </w:r>
      <w:r w:rsidR="00274898" w:rsidRPr="003D2269">
        <w:rPr>
          <w:rFonts w:cs="Arial"/>
          <w:sz w:val="22"/>
          <w:szCs w:val="22"/>
        </w:rPr>
        <w:t>4</w:t>
      </w:r>
      <w:r w:rsidRPr="003D2269">
        <w:rPr>
          <w:rFonts w:cs="Arial"/>
          <w:sz w:val="22"/>
          <w:szCs w:val="22"/>
        </w:rPr>
        <w:t>: $</w:t>
      </w:r>
      <w:r w:rsidR="00274898" w:rsidRPr="003D2269">
        <w:rPr>
          <w:rFonts w:cs="Arial"/>
          <w:sz w:val="22"/>
          <w:szCs w:val="22"/>
        </w:rPr>
        <w:t>5,677,000</w:t>
      </w:r>
      <w:r w:rsidR="006A0957">
        <w:rPr>
          <w:rFonts w:cs="Arial"/>
          <w:sz w:val="22"/>
          <w:szCs w:val="22"/>
        </w:rPr>
        <w:t xml:space="preserve">) includes release of </w:t>
      </w:r>
      <w:r w:rsidR="006A0957" w:rsidRPr="003D2269">
        <w:rPr>
          <w:rFonts w:cs="Arial"/>
          <w:sz w:val="22"/>
          <w:szCs w:val="22"/>
        </w:rPr>
        <w:t>impairment charges</w:t>
      </w:r>
      <w:r w:rsidR="004A685D" w:rsidRPr="003D2269">
        <w:rPr>
          <w:rFonts w:cs="Arial"/>
          <w:sz w:val="22"/>
          <w:szCs w:val="22"/>
        </w:rPr>
        <w:t xml:space="preserve"> </w:t>
      </w:r>
      <w:r w:rsidRPr="003D2269">
        <w:rPr>
          <w:rFonts w:cs="Arial"/>
          <w:sz w:val="22"/>
          <w:szCs w:val="22"/>
        </w:rPr>
        <w:t>$</w:t>
      </w:r>
      <w:r w:rsidR="003D2269" w:rsidRPr="003D2269">
        <w:rPr>
          <w:rFonts w:cs="Arial"/>
          <w:sz w:val="22"/>
          <w:szCs w:val="22"/>
        </w:rPr>
        <w:t>935</w:t>
      </w:r>
      <w:r w:rsidRPr="003D2269">
        <w:rPr>
          <w:rFonts w:cs="Arial"/>
          <w:sz w:val="22"/>
          <w:szCs w:val="22"/>
        </w:rPr>
        <w:t>,000</w:t>
      </w:r>
      <w:r>
        <w:rPr>
          <w:rFonts w:cs="Arial"/>
          <w:sz w:val="22"/>
          <w:szCs w:val="22"/>
        </w:rPr>
        <w:t xml:space="preserve"> (201</w:t>
      </w:r>
      <w:r w:rsidR="00274898">
        <w:rPr>
          <w:rFonts w:cs="Arial"/>
          <w:sz w:val="22"/>
          <w:szCs w:val="22"/>
        </w:rPr>
        <w:t>4</w:t>
      </w:r>
      <w:r>
        <w:rPr>
          <w:rFonts w:cs="Arial"/>
          <w:sz w:val="22"/>
          <w:szCs w:val="22"/>
        </w:rPr>
        <w:t>: $</w:t>
      </w:r>
      <w:r w:rsidR="00274898">
        <w:rPr>
          <w:rFonts w:cs="Arial"/>
          <w:sz w:val="22"/>
          <w:szCs w:val="22"/>
        </w:rPr>
        <w:t>1,394,000</w:t>
      </w:r>
      <w:r w:rsidR="004A685D" w:rsidRPr="00EE5A6D">
        <w:rPr>
          <w:rFonts w:cs="Arial"/>
          <w:sz w:val="22"/>
          <w:szCs w:val="22"/>
        </w:rPr>
        <w:t>) taken up in previous periods against those investments.</w:t>
      </w:r>
    </w:p>
    <w:p w14:paraId="260B668C" w14:textId="524DAC99" w:rsidR="00A07FE0" w:rsidRDefault="00A07FE0">
      <w:pPr>
        <w:rPr>
          <w:rFonts w:cs="Arial"/>
          <w:b/>
          <w:sz w:val="22"/>
          <w:szCs w:val="22"/>
        </w:rPr>
      </w:pPr>
    </w:p>
    <w:p w14:paraId="7809D599" w14:textId="77777777" w:rsidR="00BF3629" w:rsidRDefault="00BF3629">
      <w:pPr>
        <w:rPr>
          <w:rFonts w:cs="Arial"/>
          <w:b/>
          <w:sz w:val="22"/>
          <w:szCs w:val="22"/>
        </w:rPr>
      </w:pPr>
      <w:r>
        <w:rPr>
          <w:rFonts w:cs="Arial"/>
          <w:b/>
          <w:sz w:val="22"/>
          <w:szCs w:val="22"/>
        </w:rPr>
        <w:br w:type="page"/>
      </w:r>
    </w:p>
    <w:p w14:paraId="12CCB523" w14:textId="6432483A" w:rsidR="00BF3629" w:rsidRDefault="00BF3629">
      <w:pPr>
        <w:rPr>
          <w:rFonts w:cs="Arial"/>
          <w:b/>
          <w:sz w:val="22"/>
          <w:szCs w:val="22"/>
        </w:rPr>
      </w:pPr>
    </w:p>
    <w:p w14:paraId="5EA733AC" w14:textId="5352AEDE" w:rsidR="00E607BD" w:rsidRPr="00EE5A6D" w:rsidRDefault="00E607BD" w:rsidP="00431251">
      <w:pPr>
        <w:pStyle w:val="Heading4"/>
        <w:jc w:val="left"/>
      </w:pPr>
      <w:r w:rsidRPr="00041BDB">
        <w:t>6.</w:t>
      </w:r>
      <w:r w:rsidR="00BA1CA4" w:rsidRPr="00041BDB">
        <w:t>4</w:t>
      </w:r>
      <w:r w:rsidRPr="00041BDB">
        <w:t xml:space="preserve"> Impairments</w:t>
      </w:r>
    </w:p>
    <w:p w14:paraId="5EA733AD" w14:textId="77777777" w:rsidR="00CA0598" w:rsidRPr="00EE5A6D" w:rsidRDefault="00CA0598" w:rsidP="002206F9">
      <w:pPr>
        <w:rPr>
          <w:rFonts w:cs="Arial"/>
          <w:sz w:val="22"/>
          <w:szCs w:val="22"/>
        </w:rPr>
      </w:pPr>
    </w:p>
    <w:p w14:paraId="5EA733AE" w14:textId="0B868F24" w:rsidR="00D54E8A" w:rsidRPr="00EE5A6D" w:rsidRDefault="00E607BD" w:rsidP="002206F9">
      <w:pPr>
        <w:rPr>
          <w:rFonts w:cs="Arial"/>
          <w:sz w:val="22"/>
          <w:szCs w:val="22"/>
        </w:rPr>
      </w:pPr>
      <w:r w:rsidRPr="00EE5A6D">
        <w:rPr>
          <w:rFonts w:cs="Arial"/>
          <w:sz w:val="22"/>
          <w:szCs w:val="22"/>
        </w:rPr>
        <w:t xml:space="preserve">In </w:t>
      </w:r>
      <w:r w:rsidR="00041BDB">
        <w:rPr>
          <w:rFonts w:cs="Arial"/>
          <w:sz w:val="22"/>
          <w:szCs w:val="22"/>
        </w:rPr>
        <w:t>201</w:t>
      </w:r>
      <w:r w:rsidR="00274898">
        <w:rPr>
          <w:rFonts w:cs="Arial"/>
          <w:sz w:val="22"/>
          <w:szCs w:val="22"/>
        </w:rPr>
        <w:t>5</w:t>
      </w:r>
      <w:r w:rsidR="00294E52" w:rsidRPr="00EE5A6D">
        <w:rPr>
          <w:rFonts w:cs="Arial"/>
          <w:sz w:val="22"/>
          <w:szCs w:val="22"/>
        </w:rPr>
        <w:t>,</w:t>
      </w:r>
      <w:r w:rsidR="00CA0598" w:rsidRPr="00EE5A6D">
        <w:rPr>
          <w:rFonts w:cs="Arial"/>
          <w:sz w:val="22"/>
          <w:szCs w:val="22"/>
        </w:rPr>
        <w:t xml:space="preserve"> a </w:t>
      </w:r>
      <w:r w:rsidR="00CA0598" w:rsidRPr="002A77C2">
        <w:rPr>
          <w:rFonts w:cs="Arial"/>
          <w:sz w:val="22"/>
          <w:szCs w:val="22"/>
        </w:rPr>
        <w:t>total of $</w:t>
      </w:r>
      <w:r w:rsidR="00DC062E">
        <w:rPr>
          <w:rFonts w:cs="Arial"/>
          <w:sz w:val="22"/>
          <w:szCs w:val="22"/>
        </w:rPr>
        <w:t>697</w:t>
      </w:r>
      <w:r w:rsidR="00D54E8A" w:rsidRPr="002A77C2">
        <w:rPr>
          <w:rFonts w:cs="Arial"/>
          <w:sz w:val="22"/>
          <w:szCs w:val="22"/>
        </w:rPr>
        <w:t>,000</w:t>
      </w:r>
      <w:r w:rsidR="00CA0598" w:rsidRPr="002A77C2">
        <w:rPr>
          <w:rFonts w:cs="Arial"/>
          <w:sz w:val="22"/>
          <w:szCs w:val="22"/>
        </w:rPr>
        <w:t xml:space="preserve"> </w:t>
      </w:r>
      <w:r w:rsidR="00E000D5" w:rsidRPr="002A77C2">
        <w:rPr>
          <w:rFonts w:cs="Arial"/>
          <w:sz w:val="22"/>
          <w:szCs w:val="22"/>
        </w:rPr>
        <w:t>(201</w:t>
      </w:r>
      <w:r w:rsidR="00274898" w:rsidRPr="002A77C2">
        <w:rPr>
          <w:rFonts w:cs="Arial"/>
          <w:sz w:val="22"/>
          <w:szCs w:val="22"/>
        </w:rPr>
        <w:t>4</w:t>
      </w:r>
      <w:r w:rsidR="00E000D5" w:rsidRPr="00EE5A6D">
        <w:rPr>
          <w:rFonts w:cs="Arial"/>
          <w:sz w:val="22"/>
          <w:szCs w:val="22"/>
        </w:rPr>
        <w:t>: $</w:t>
      </w:r>
      <w:r w:rsidR="00274898">
        <w:rPr>
          <w:rFonts w:cs="Arial"/>
          <w:sz w:val="22"/>
          <w:szCs w:val="22"/>
        </w:rPr>
        <w:t>219</w:t>
      </w:r>
      <w:r w:rsidR="00D54E8A" w:rsidRPr="00EE5A6D">
        <w:rPr>
          <w:rFonts w:cs="Arial"/>
          <w:sz w:val="22"/>
          <w:szCs w:val="22"/>
        </w:rPr>
        <w:t>,000</w:t>
      </w:r>
      <w:r w:rsidR="00E000D5" w:rsidRPr="00EE5A6D">
        <w:rPr>
          <w:rFonts w:cs="Arial"/>
          <w:sz w:val="22"/>
          <w:szCs w:val="22"/>
        </w:rPr>
        <w:t xml:space="preserve">) </w:t>
      </w:r>
      <w:r w:rsidR="00CA0598" w:rsidRPr="00EE5A6D">
        <w:rPr>
          <w:rFonts w:cs="Arial"/>
          <w:sz w:val="22"/>
          <w:szCs w:val="22"/>
        </w:rPr>
        <w:t xml:space="preserve">of impairment losses </w:t>
      </w:r>
      <w:r w:rsidR="00C50FE6">
        <w:rPr>
          <w:rFonts w:cs="Arial"/>
          <w:sz w:val="22"/>
          <w:szCs w:val="22"/>
        </w:rPr>
        <w:t xml:space="preserve">on assets </w:t>
      </w:r>
      <w:r w:rsidR="00CA0598" w:rsidRPr="00EE5A6D">
        <w:rPr>
          <w:rFonts w:cs="Arial"/>
          <w:sz w:val="22"/>
          <w:szCs w:val="22"/>
        </w:rPr>
        <w:t>w</w:t>
      </w:r>
      <w:r w:rsidR="00E000D5" w:rsidRPr="00EE5A6D">
        <w:rPr>
          <w:rFonts w:cs="Arial"/>
          <w:sz w:val="22"/>
          <w:szCs w:val="22"/>
        </w:rPr>
        <w:t>ere</w:t>
      </w:r>
      <w:r w:rsidR="00CA0598" w:rsidRPr="00EE5A6D">
        <w:rPr>
          <w:rFonts w:cs="Arial"/>
          <w:sz w:val="22"/>
          <w:szCs w:val="22"/>
        </w:rPr>
        <w:t xml:space="preserve"> charged to the </w:t>
      </w:r>
      <w:r w:rsidR="001F3CD4" w:rsidRPr="00EE5A6D">
        <w:rPr>
          <w:rFonts w:cs="Arial"/>
          <w:sz w:val="22"/>
          <w:szCs w:val="22"/>
        </w:rPr>
        <w:t>Consolidated Statement of Profit or Loss and Other Comprehensive Income</w:t>
      </w:r>
      <w:r w:rsidR="00D54E8A" w:rsidRPr="00EE5A6D">
        <w:rPr>
          <w:rFonts w:cs="Arial"/>
          <w:sz w:val="22"/>
          <w:szCs w:val="22"/>
        </w:rPr>
        <w:t xml:space="preserve"> as stated below</w:t>
      </w:r>
      <w:r w:rsidR="009D74ED">
        <w:rPr>
          <w:rFonts w:cs="Arial"/>
          <w:sz w:val="22"/>
          <w:szCs w:val="22"/>
        </w:rPr>
        <w:t xml:space="preserve"> </w:t>
      </w:r>
      <w:r w:rsidR="009D74ED">
        <w:t>($’000)</w:t>
      </w:r>
      <w:r w:rsidR="00D54E8A" w:rsidRPr="00EE5A6D">
        <w:rPr>
          <w:rFonts w:cs="Arial"/>
          <w:sz w:val="22"/>
          <w:szCs w:val="22"/>
        </w:rPr>
        <w:t>:</w:t>
      </w:r>
    </w:p>
    <w:p w14:paraId="5EA733AF" w14:textId="77777777" w:rsidR="00D54E8A" w:rsidRDefault="00D54E8A" w:rsidP="00E607BD">
      <w:pPr>
        <w:jc w:val="both"/>
        <w:rPr>
          <w:rFonts w:ascii="Times New Roman" w:hAnsi="Times New Roman"/>
          <w:sz w:val="20"/>
          <w:szCs w:val="20"/>
          <w:lang w:eastAsia="en-AU"/>
        </w:rPr>
      </w:pPr>
    </w:p>
    <w:tbl>
      <w:tblPr>
        <w:tblW w:w="9074" w:type="dxa"/>
        <w:tblInd w:w="108" w:type="dxa"/>
        <w:tblLook w:val="04A0" w:firstRow="1" w:lastRow="0" w:firstColumn="1" w:lastColumn="0" w:noHBand="0" w:noVBand="1"/>
      </w:tblPr>
      <w:tblGrid>
        <w:gridCol w:w="6068"/>
        <w:gridCol w:w="1503"/>
        <w:gridCol w:w="1503"/>
      </w:tblGrid>
      <w:tr w:rsidR="00CD76C1" w:rsidRPr="00FD6CA3" w14:paraId="5EA733B3" w14:textId="77777777" w:rsidTr="00C91AAF">
        <w:trPr>
          <w:trHeight w:val="309"/>
        </w:trPr>
        <w:tc>
          <w:tcPr>
            <w:tcW w:w="6068" w:type="dxa"/>
            <w:tcBorders>
              <w:top w:val="nil"/>
              <w:left w:val="nil"/>
              <w:bottom w:val="nil"/>
              <w:right w:val="nil"/>
            </w:tcBorders>
            <w:shd w:val="clear" w:color="auto" w:fill="auto"/>
            <w:vAlign w:val="center"/>
            <w:hideMark/>
          </w:tcPr>
          <w:p w14:paraId="5EA733B0" w14:textId="77777777" w:rsidR="00CD76C1" w:rsidRPr="00FD6CA3" w:rsidRDefault="00CD76C1" w:rsidP="00041BDB">
            <w:pPr>
              <w:rPr>
                <w:rFonts w:cs="Arial"/>
                <w:color w:val="000000"/>
                <w:sz w:val="22"/>
                <w:szCs w:val="22"/>
                <w:lang w:eastAsia="en-AU"/>
              </w:rPr>
            </w:pPr>
          </w:p>
        </w:tc>
        <w:tc>
          <w:tcPr>
            <w:tcW w:w="1503" w:type="dxa"/>
            <w:tcBorders>
              <w:top w:val="nil"/>
              <w:left w:val="nil"/>
              <w:bottom w:val="nil"/>
              <w:right w:val="nil"/>
            </w:tcBorders>
            <w:shd w:val="clear" w:color="000000" w:fill="BFBFBF" w:themeFill="background1" w:themeFillShade="BF"/>
            <w:vAlign w:val="center"/>
            <w:hideMark/>
          </w:tcPr>
          <w:p w14:paraId="5EA733B1" w14:textId="77777777" w:rsidR="00CD76C1" w:rsidRPr="00FD6CA3" w:rsidRDefault="00CD76C1" w:rsidP="00CD76C1">
            <w:pPr>
              <w:jc w:val="right"/>
              <w:rPr>
                <w:rFonts w:cs="Arial"/>
                <w:b/>
                <w:bCs/>
                <w:color w:val="000000"/>
                <w:sz w:val="22"/>
                <w:szCs w:val="22"/>
                <w:lang w:eastAsia="en-AU"/>
              </w:rPr>
            </w:pPr>
            <w:r w:rsidRPr="00FD6CA3">
              <w:rPr>
                <w:rFonts w:cs="Arial"/>
                <w:b/>
                <w:bCs/>
                <w:color w:val="000000"/>
                <w:sz w:val="22"/>
                <w:szCs w:val="22"/>
                <w:lang w:eastAsia="en-AU"/>
              </w:rPr>
              <w:t>2015</w:t>
            </w:r>
          </w:p>
        </w:tc>
        <w:tc>
          <w:tcPr>
            <w:tcW w:w="1503" w:type="dxa"/>
            <w:tcBorders>
              <w:top w:val="nil"/>
              <w:left w:val="nil"/>
              <w:bottom w:val="nil"/>
              <w:right w:val="nil"/>
            </w:tcBorders>
            <w:shd w:val="clear" w:color="auto" w:fill="auto"/>
            <w:hideMark/>
          </w:tcPr>
          <w:p w14:paraId="5EA733B2" w14:textId="77777777" w:rsidR="00CD76C1" w:rsidRPr="00FD6CA3" w:rsidRDefault="00CD76C1" w:rsidP="00041BDB">
            <w:pPr>
              <w:jc w:val="right"/>
              <w:rPr>
                <w:rFonts w:cs="Arial"/>
                <w:b/>
                <w:bCs/>
                <w:color w:val="000000"/>
                <w:sz w:val="22"/>
                <w:szCs w:val="22"/>
                <w:lang w:eastAsia="en-AU"/>
              </w:rPr>
            </w:pPr>
            <w:r w:rsidRPr="00230978">
              <w:rPr>
                <w:sz w:val="22"/>
              </w:rPr>
              <w:t>2014</w:t>
            </w:r>
          </w:p>
        </w:tc>
      </w:tr>
      <w:tr w:rsidR="00CD76C1" w:rsidRPr="00FD6CA3" w14:paraId="5EA733BF" w14:textId="77777777" w:rsidTr="00C91AAF">
        <w:trPr>
          <w:trHeight w:val="294"/>
        </w:trPr>
        <w:tc>
          <w:tcPr>
            <w:tcW w:w="6068" w:type="dxa"/>
            <w:tcBorders>
              <w:top w:val="nil"/>
              <w:left w:val="nil"/>
              <w:bottom w:val="nil"/>
              <w:right w:val="nil"/>
            </w:tcBorders>
            <w:shd w:val="clear" w:color="auto" w:fill="auto"/>
            <w:vAlign w:val="bottom"/>
            <w:hideMark/>
          </w:tcPr>
          <w:p w14:paraId="5EA733BC" w14:textId="77777777" w:rsidR="00CD76C1" w:rsidRPr="00FD6CA3" w:rsidRDefault="00CD76C1" w:rsidP="00041BDB">
            <w:pPr>
              <w:rPr>
                <w:rFonts w:cs="Arial"/>
                <w:color w:val="000000"/>
                <w:sz w:val="22"/>
                <w:szCs w:val="22"/>
                <w:lang w:eastAsia="en-AU"/>
              </w:rPr>
            </w:pPr>
            <w:r w:rsidRPr="00FD6CA3">
              <w:rPr>
                <w:rFonts w:cs="Arial"/>
                <w:color w:val="000000"/>
                <w:sz w:val="22"/>
                <w:szCs w:val="22"/>
                <w:lang w:eastAsia="en-AU"/>
              </w:rPr>
              <w:t>Impairment for reduction in market value of investments</w:t>
            </w:r>
          </w:p>
        </w:tc>
        <w:tc>
          <w:tcPr>
            <w:tcW w:w="1503" w:type="dxa"/>
            <w:tcBorders>
              <w:top w:val="nil"/>
              <w:left w:val="nil"/>
              <w:bottom w:val="nil"/>
              <w:right w:val="nil"/>
            </w:tcBorders>
            <w:shd w:val="clear" w:color="000000" w:fill="BFBFBF" w:themeFill="background1" w:themeFillShade="BF"/>
            <w:vAlign w:val="bottom"/>
          </w:tcPr>
          <w:p w14:paraId="5EA733BD" w14:textId="77777777" w:rsidR="00CD76C1" w:rsidRPr="00FD6CA3" w:rsidRDefault="002A77C2" w:rsidP="00320F69">
            <w:pPr>
              <w:jc w:val="right"/>
              <w:rPr>
                <w:rFonts w:cs="Arial"/>
                <w:color w:val="000000"/>
                <w:sz w:val="22"/>
                <w:szCs w:val="22"/>
                <w:lang w:eastAsia="en-AU"/>
              </w:rPr>
            </w:pPr>
            <w:r w:rsidRPr="00FD6CA3">
              <w:rPr>
                <w:rFonts w:cs="Arial"/>
                <w:color w:val="000000"/>
                <w:sz w:val="22"/>
                <w:szCs w:val="22"/>
                <w:lang w:eastAsia="en-AU"/>
              </w:rPr>
              <w:t>(</w:t>
            </w:r>
            <w:r w:rsidR="00320F69" w:rsidRPr="00FD6CA3">
              <w:rPr>
                <w:rFonts w:cs="Arial"/>
                <w:color w:val="000000"/>
                <w:sz w:val="22"/>
                <w:szCs w:val="22"/>
                <w:lang w:eastAsia="en-AU"/>
              </w:rPr>
              <w:t>244</w:t>
            </w:r>
            <w:r w:rsidRPr="00FD6CA3">
              <w:rPr>
                <w:rFonts w:cs="Arial"/>
                <w:color w:val="000000"/>
                <w:sz w:val="22"/>
                <w:szCs w:val="22"/>
                <w:lang w:eastAsia="en-AU"/>
              </w:rPr>
              <w:t>)</w:t>
            </w:r>
          </w:p>
        </w:tc>
        <w:tc>
          <w:tcPr>
            <w:tcW w:w="1503" w:type="dxa"/>
            <w:tcBorders>
              <w:top w:val="nil"/>
              <w:left w:val="nil"/>
              <w:bottom w:val="nil"/>
              <w:right w:val="nil"/>
            </w:tcBorders>
            <w:shd w:val="clear" w:color="auto" w:fill="auto"/>
            <w:hideMark/>
          </w:tcPr>
          <w:p w14:paraId="5EA733BE" w14:textId="77777777" w:rsidR="00CD76C1" w:rsidRPr="00FD6CA3" w:rsidRDefault="00CD76C1" w:rsidP="00041BDB">
            <w:pPr>
              <w:jc w:val="right"/>
              <w:rPr>
                <w:rFonts w:cs="Arial"/>
                <w:color w:val="000000"/>
                <w:sz w:val="22"/>
                <w:szCs w:val="22"/>
                <w:lang w:eastAsia="en-AU"/>
              </w:rPr>
            </w:pPr>
            <w:r w:rsidRPr="00230978">
              <w:rPr>
                <w:sz w:val="22"/>
              </w:rPr>
              <w:t>(445)</w:t>
            </w:r>
          </w:p>
        </w:tc>
      </w:tr>
      <w:tr w:rsidR="00CD76C1" w:rsidRPr="00FD6CA3" w14:paraId="5EA733C3" w14:textId="77777777" w:rsidTr="00C91AAF">
        <w:trPr>
          <w:trHeight w:val="294"/>
        </w:trPr>
        <w:tc>
          <w:tcPr>
            <w:tcW w:w="6068" w:type="dxa"/>
            <w:tcBorders>
              <w:top w:val="nil"/>
              <w:left w:val="nil"/>
              <w:bottom w:val="nil"/>
              <w:right w:val="nil"/>
            </w:tcBorders>
            <w:shd w:val="clear" w:color="auto" w:fill="auto"/>
            <w:vAlign w:val="bottom"/>
            <w:hideMark/>
          </w:tcPr>
          <w:p w14:paraId="5EA733C0" w14:textId="77777777" w:rsidR="00CD76C1" w:rsidRPr="00FD6CA3" w:rsidRDefault="00CD76C1" w:rsidP="00041BDB">
            <w:pPr>
              <w:rPr>
                <w:rFonts w:cs="Arial"/>
                <w:color w:val="000000"/>
                <w:sz w:val="22"/>
                <w:szCs w:val="22"/>
                <w:lang w:eastAsia="en-AU"/>
              </w:rPr>
            </w:pPr>
            <w:r w:rsidRPr="00FD6CA3">
              <w:rPr>
                <w:rFonts w:cs="Arial"/>
                <w:color w:val="000000"/>
                <w:sz w:val="22"/>
                <w:szCs w:val="22"/>
                <w:lang w:eastAsia="en-AU"/>
              </w:rPr>
              <w:t>Reversal of impairment</w:t>
            </w:r>
          </w:p>
        </w:tc>
        <w:tc>
          <w:tcPr>
            <w:tcW w:w="1503" w:type="dxa"/>
            <w:tcBorders>
              <w:top w:val="nil"/>
              <w:left w:val="nil"/>
              <w:bottom w:val="nil"/>
              <w:right w:val="nil"/>
            </w:tcBorders>
            <w:shd w:val="clear" w:color="000000" w:fill="BFBFBF" w:themeFill="background1" w:themeFillShade="BF"/>
            <w:vAlign w:val="bottom"/>
          </w:tcPr>
          <w:p w14:paraId="5EA733C1" w14:textId="77777777" w:rsidR="00CD76C1" w:rsidRPr="00FD6CA3" w:rsidRDefault="002A77C2" w:rsidP="00041BDB">
            <w:pPr>
              <w:jc w:val="right"/>
              <w:rPr>
                <w:rFonts w:cs="Arial"/>
                <w:color w:val="000000"/>
                <w:sz w:val="22"/>
                <w:szCs w:val="22"/>
                <w:lang w:eastAsia="en-AU"/>
              </w:rPr>
            </w:pPr>
            <w:r w:rsidRPr="00FD6CA3">
              <w:rPr>
                <w:rFonts w:cs="Arial"/>
                <w:color w:val="000000"/>
                <w:sz w:val="22"/>
                <w:szCs w:val="22"/>
                <w:lang w:eastAsia="en-AU"/>
              </w:rPr>
              <w:t>342</w:t>
            </w:r>
          </w:p>
        </w:tc>
        <w:tc>
          <w:tcPr>
            <w:tcW w:w="1503" w:type="dxa"/>
            <w:tcBorders>
              <w:top w:val="nil"/>
              <w:left w:val="nil"/>
              <w:bottom w:val="nil"/>
              <w:right w:val="nil"/>
            </w:tcBorders>
            <w:shd w:val="clear" w:color="auto" w:fill="auto"/>
            <w:hideMark/>
          </w:tcPr>
          <w:p w14:paraId="5EA733C2" w14:textId="77777777" w:rsidR="00CD76C1" w:rsidRPr="00FD6CA3" w:rsidRDefault="00CD76C1" w:rsidP="00041BDB">
            <w:pPr>
              <w:jc w:val="right"/>
              <w:rPr>
                <w:rFonts w:cs="Arial"/>
                <w:color w:val="000000"/>
                <w:sz w:val="22"/>
                <w:szCs w:val="22"/>
                <w:lang w:eastAsia="en-AU"/>
              </w:rPr>
            </w:pPr>
            <w:r w:rsidRPr="00230978">
              <w:rPr>
                <w:sz w:val="22"/>
              </w:rPr>
              <w:t>407</w:t>
            </w:r>
          </w:p>
        </w:tc>
      </w:tr>
      <w:tr w:rsidR="00FD6CA3" w:rsidRPr="00FD6CA3" w14:paraId="5EA733C9" w14:textId="77777777" w:rsidTr="00230978">
        <w:trPr>
          <w:trHeight w:val="294"/>
        </w:trPr>
        <w:tc>
          <w:tcPr>
            <w:tcW w:w="6068" w:type="dxa"/>
            <w:tcBorders>
              <w:top w:val="nil"/>
              <w:left w:val="nil"/>
              <w:bottom w:val="nil"/>
              <w:right w:val="nil"/>
            </w:tcBorders>
            <w:shd w:val="clear" w:color="auto" w:fill="auto"/>
            <w:vAlign w:val="bottom"/>
          </w:tcPr>
          <w:p w14:paraId="5EA733C4" w14:textId="77777777" w:rsidR="00FD6CA3" w:rsidRPr="00FD6CA3" w:rsidRDefault="00FD6CA3" w:rsidP="00041BDB">
            <w:pPr>
              <w:rPr>
                <w:rFonts w:cs="Arial"/>
                <w:color w:val="000000"/>
                <w:sz w:val="22"/>
                <w:szCs w:val="22"/>
                <w:lang w:eastAsia="en-AU"/>
              </w:rPr>
            </w:pPr>
            <w:r w:rsidRPr="00FD6CA3">
              <w:rPr>
                <w:rFonts w:cs="Arial"/>
                <w:color w:val="000000"/>
                <w:sz w:val="22"/>
                <w:szCs w:val="22"/>
                <w:lang w:eastAsia="en-AU"/>
              </w:rPr>
              <w:t>Impairment for reduction in market value of property, plant and equipment</w:t>
            </w:r>
          </w:p>
        </w:tc>
        <w:tc>
          <w:tcPr>
            <w:tcW w:w="1503" w:type="dxa"/>
            <w:tcBorders>
              <w:top w:val="nil"/>
              <w:left w:val="nil"/>
              <w:bottom w:val="nil"/>
              <w:right w:val="nil"/>
            </w:tcBorders>
            <w:shd w:val="clear" w:color="000000" w:fill="BFBFBF" w:themeFill="background1" w:themeFillShade="BF"/>
            <w:vAlign w:val="center"/>
          </w:tcPr>
          <w:p w14:paraId="5EA733C5" w14:textId="77777777" w:rsidR="00FD6CA3" w:rsidRDefault="00FD6CA3" w:rsidP="00041BDB">
            <w:pPr>
              <w:jc w:val="right"/>
              <w:rPr>
                <w:rFonts w:cs="Arial"/>
                <w:color w:val="000000"/>
                <w:sz w:val="22"/>
                <w:szCs w:val="22"/>
                <w:lang w:eastAsia="en-AU"/>
              </w:rPr>
            </w:pPr>
          </w:p>
          <w:p w14:paraId="5EA733C6" w14:textId="77777777" w:rsidR="00FD6CA3" w:rsidRPr="00FD6CA3" w:rsidRDefault="00FD6CA3" w:rsidP="00041BDB">
            <w:pPr>
              <w:jc w:val="right"/>
              <w:rPr>
                <w:rFonts w:cs="Arial"/>
                <w:color w:val="000000"/>
                <w:sz w:val="22"/>
                <w:szCs w:val="22"/>
                <w:lang w:eastAsia="en-AU"/>
              </w:rPr>
            </w:pPr>
            <w:r w:rsidRPr="00FD6CA3">
              <w:rPr>
                <w:rFonts w:cs="Arial"/>
                <w:color w:val="000000"/>
                <w:sz w:val="22"/>
                <w:szCs w:val="22"/>
                <w:lang w:eastAsia="en-AU"/>
              </w:rPr>
              <w:t>(373)</w:t>
            </w:r>
          </w:p>
        </w:tc>
        <w:tc>
          <w:tcPr>
            <w:tcW w:w="1503" w:type="dxa"/>
            <w:tcBorders>
              <w:top w:val="nil"/>
              <w:left w:val="nil"/>
              <w:bottom w:val="nil"/>
              <w:right w:val="nil"/>
            </w:tcBorders>
            <w:shd w:val="clear" w:color="auto" w:fill="auto"/>
          </w:tcPr>
          <w:p w14:paraId="5EA733C7" w14:textId="77777777" w:rsidR="00FD6CA3" w:rsidRDefault="00FD6CA3" w:rsidP="00041BDB">
            <w:pPr>
              <w:jc w:val="right"/>
              <w:rPr>
                <w:sz w:val="22"/>
                <w:szCs w:val="22"/>
              </w:rPr>
            </w:pPr>
          </w:p>
          <w:p w14:paraId="5EA733C8" w14:textId="77777777" w:rsidR="00FD6CA3" w:rsidRPr="00230978" w:rsidRDefault="00FD6CA3" w:rsidP="00041BDB">
            <w:pPr>
              <w:jc w:val="right"/>
              <w:rPr>
                <w:sz w:val="22"/>
              </w:rPr>
            </w:pPr>
            <w:r w:rsidRPr="00230978">
              <w:rPr>
                <w:sz w:val="22"/>
              </w:rPr>
              <w:t>(125)</w:t>
            </w:r>
          </w:p>
        </w:tc>
      </w:tr>
      <w:tr w:rsidR="00FD6CA3" w:rsidRPr="00FD6CA3" w14:paraId="5EA733D3" w14:textId="77777777" w:rsidTr="00C91AAF">
        <w:trPr>
          <w:trHeight w:val="356"/>
        </w:trPr>
        <w:tc>
          <w:tcPr>
            <w:tcW w:w="6068" w:type="dxa"/>
            <w:tcBorders>
              <w:top w:val="nil"/>
              <w:left w:val="nil"/>
              <w:bottom w:val="nil"/>
              <w:right w:val="nil"/>
            </w:tcBorders>
            <w:shd w:val="clear" w:color="auto" w:fill="auto"/>
            <w:vAlign w:val="bottom"/>
            <w:hideMark/>
          </w:tcPr>
          <w:p w14:paraId="5EA733CE" w14:textId="77777777" w:rsidR="00FD6CA3" w:rsidRPr="00FD6CA3" w:rsidRDefault="00FD6CA3" w:rsidP="00041BDB">
            <w:pPr>
              <w:rPr>
                <w:rFonts w:cs="Arial"/>
                <w:color w:val="000000"/>
                <w:sz w:val="22"/>
                <w:szCs w:val="22"/>
                <w:lang w:eastAsia="en-AU"/>
              </w:rPr>
            </w:pPr>
            <w:r w:rsidRPr="00FD6CA3">
              <w:rPr>
                <w:rFonts w:cs="Arial"/>
                <w:color w:val="000000"/>
                <w:sz w:val="22"/>
                <w:szCs w:val="22"/>
                <w:lang w:eastAsia="en-AU"/>
              </w:rPr>
              <w:t>Impairment for reduction in market value for property held for sale</w:t>
            </w:r>
          </w:p>
        </w:tc>
        <w:tc>
          <w:tcPr>
            <w:tcW w:w="1503" w:type="dxa"/>
            <w:tcBorders>
              <w:top w:val="nil"/>
              <w:left w:val="nil"/>
              <w:bottom w:val="nil"/>
              <w:right w:val="nil"/>
            </w:tcBorders>
            <w:shd w:val="clear" w:color="000000" w:fill="BFBFBF" w:themeFill="background1" w:themeFillShade="BF"/>
            <w:vAlign w:val="center"/>
          </w:tcPr>
          <w:p w14:paraId="5EA733CF" w14:textId="77777777" w:rsidR="00FD6CA3" w:rsidRDefault="00FD6CA3" w:rsidP="003611C2">
            <w:pPr>
              <w:jc w:val="right"/>
              <w:rPr>
                <w:rFonts w:cs="Arial"/>
                <w:color w:val="000000"/>
                <w:sz w:val="22"/>
                <w:szCs w:val="22"/>
                <w:lang w:eastAsia="en-AU"/>
              </w:rPr>
            </w:pPr>
          </w:p>
          <w:p w14:paraId="5EA733D0" w14:textId="77777777" w:rsidR="00FD6CA3" w:rsidRPr="00FD6CA3" w:rsidRDefault="00FD6CA3" w:rsidP="003611C2">
            <w:pPr>
              <w:jc w:val="right"/>
              <w:rPr>
                <w:rFonts w:cs="Arial"/>
                <w:color w:val="000000"/>
                <w:sz w:val="22"/>
                <w:szCs w:val="22"/>
                <w:lang w:eastAsia="en-AU"/>
              </w:rPr>
            </w:pPr>
            <w:r w:rsidRPr="00FD6CA3">
              <w:rPr>
                <w:rFonts w:cs="Arial"/>
                <w:color w:val="000000"/>
                <w:sz w:val="22"/>
                <w:szCs w:val="22"/>
                <w:lang w:eastAsia="en-AU"/>
              </w:rPr>
              <w:t>(422)</w:t>
            </w:r>
          </w:p>
        </w:tc>
        <w:tc>
          <w:tcPr>
            <w:tcW w:w="1503" w:type="dxa"/>
            <w:tcBorders>
              <w:top w:val="nil"/>
              <w:left w:val="nil"/>
              <w:bottom w:val="single" w:sz="8" w:space="0" w:color="auto"/>
              <w:right w:val="nil"/>
            </w:tcBorders>
            <w:shd w:val="clear" w:color="auto" w:fill="auto"/>
            <w:hideMark/>
          </w:tcPr>
          <w:p w14:paraId="5EA733D1" w14:textId="77777777" w:rsidR="00FD6CA3" w:rsidRDefault="00FD6CA3" w:rsidP="003611C2">
            <w:pPr>
              <w:jc w:val="right"/>
              <w:rPr>
                <w:sz w:val="22"/>
                <w:szCs w:val="22"/>
              </w:rPr>
            </w:pPr>
          </w:p>
          <w:p w14:paraId="5EA733D2" w14:textId="77777777" w:rsidR="00FD6CA3" w:rsidRPr="00FD6CA3" w:rsidRDefault="00FD6CA3" w:rsidP="003611C2">
            <w:pPr>
              <w:jc w:val="right"/>
              <w:rPr>
                <w:rFonts w:cs="Arial"/>
                <w:color w:val="000000"/>
                <w:sz w:val="22"/>
                <w:szCs w:val="22"/>
                <w:lang w:eastAsia="en-AU"/>
              </w:rPr>
            </w:pPr>
            <w:r w:rsidRPr="00230978">
              <w:rPr>
                <w:sz w:val="22"/>
              </w:rPr>
              <w:t>(56)</w:t>
            </w:r>
          </w:p>
        </w:tc>
      </w:tr>
      <w:tr w:rsidR="00FD6CA3" w:rsidRPr="00FD6CA3" w14:paraId="5EA733D7" w14:textId="77777777" w:rsidTr="00C91AAF">
        <w:trPr>
          <w:trHeight w:val="325"/>
        </w:trPr>
        <w:tc>
          <w:tcPr>
            <w:tcW w:w="6068" w:type="dxa"/>
            <w:tcBorders>
              <w:top w:val="nil"/>
              <w:left w:val="nil"/>
              <w:bottom w:val="nil"/>
              <w:right w:val="nil"/>
            </w:tcBorders>
            <w:shd w:val="clear" w:color="auto" w:fill="auto"/>
            <w:vAlign w:val="center"/>
            <w:hideMark/>
          </w:tcPr>
          <w:p w14:paraId="5EA733D4" w14:textId="77777777" w:rsidR="00FD6CA3" w:rsidRPr="00FD6CA3" w:rsidRDefault="00FD6CA3" w:rsidP="008554E7">
            <w:pPr>
              <w:rPr>
                <w:rFonts w:cs="Arial"/>
                <w:b/>
                <w:bCs/>
                <w:color w:val="000000"/>
                <w:sz w:val="22"/>
                <w:szCs w:val="22"/>
                <w:lang w:eastAsia="en-AU"/>
              </w:rPr>
            </w:pPr>
            <w:r w:rsidRPr="00FD6CA3">
              <w:rPr>
                <w:rFonts w:cs="Arial"/>
                <w:b/>
                <w:bCs/>
                <w:color w:val="000000"/>
                <w:sz w:val="22"/>
                <w:szCs w:val="22"/>
                <w:lang w:eastAsia="en-AU"/>
              </w:rPr>
              <w:t>Total impairment losses</w:t>
            </w:r>
          </w:p>
        </w:tc>
        <w:tc>
          <w:tcPr>
            <w:tcW w:w="1503" w:type="dxa"/>
            <w:tcBorders>
              <w:top w:val="single" w:sz="8" w:space="0" w:color="auto"/>
              <w:left w:val="nil"/>
              <w:bottom w:val="single" w:sz="12" w:space="0" w:color="auto"/>
              <w:right w:val="nil"/>
            </w:tcBorders>
            <w:shd w:val="clear" w:color="000000" w:fill="BFBFBF" w:themeFill="background1" w:themeFillShade="BF"/>
            <w:vAlign w:val="bottom"/>
          </w:tcPr>
          <w:p w14:paraId="5EA733D5" w14:textId="77777777" w:rsidR="00FD6CA3" w:rsidRPr="00FD6CA3" w:rsidRDefault="00FD6CA3" w:rsidP="00320F69">
            <w:pPr>
              <w:jc w:val="right"/>
              <w:rPr>
                <w:rFonts w:cs="Arial"/>
                <w:b/>
                <w:bCs/>
                <w:color w:val="000000"/>
                <w:sz w:val="22"/>
                <w:szCs w:val="22"/>
                <w:lang w:eastAsia="en-AU"/>
              </w:rPr>
            </w:pPr>
            <w:r w:rsidRPr="00FD6CA3">
              <w:rPr>
                <w:rFonts w:cs="Arial"/>
                <w:b/>
                <w:bCs/>
                <w:color w:val="000000"/>
                <w:sz w:val="22"/>
                <w:szCs w:val="22"/>
                <w:lang w:eastAsia="en-AU"/>
              </w:rPr>
              <w:t>(697)</w:t>
            </w:r>
          </w:p>
        </w:tc>
        <w:tc>
          <w:tcPr>
            <w:tcW w:w="1503" w:type="dxa"/>
            <w:tcBorders>
              <w:top w:val="nil"/>
              <w:left w:val="nil"/>
              <w:bottom w:val="single" w:sz="12" w:space="0" w:color="auto"/>
              <w:right w:val="nil"/>
            </w:tcBorders>
            <w:shd w:val="clear" w:color="auto" w:fill="auto"/>
            <w:hideMark/>
          </w:tcPr>
          <w:p w14:paraId="5EA733D6" w14:textId="77777777" w:rsidR="00FD6CA3" w:rsidRPr="00FD6CA3" w:rsidRDefault="00FD6CA3" w:rsidP="00041BDB">
            <w:pPr>
              <w:jc w:val="right"/>
              <w:rPr>
                <w:rFonts w:cs="Arial"/>
                <w:b/>
                <w:bCs/>
                <w:color w:val="000000"/>
                <w:sz w:val="22"/>
                <w:szCs w:val="22"/>
                <w:lang w:eastAsia="en-AU"/>
              </w:rPr>
            </w:pPr>
            <w:r w:rsidRPr="00230978">
              <w:rPr>
                <w:sz w:val="22"/>
              </w:rPr>
              <w:t>(219)</w:t>
            </w:r>
          </w:p>
        </w:tc>
      </w:tr>
    </w:tbl>
    <w:p w14:paraId="5EA733D8" w14:textId="77777777" w:rsidR="001F3CD4" w:rsidRDefault="001F3CD4" w:rsidP="00E607BD">
      <w:pPr>
        <w:jc w:val="both"/>
        <w:rPr>
          <w:rFonts w:cs="Arial"/>
          <w:sz w:val="22"/>
          <w:szCs w:val="22"/>
          <w:highlight w:val="yellow"/>
        </w:rPr>
      </w:pPr>
    </w:p>
    <w:p w14:paraId="08460AE9" w14:textId="7BB6EC23" w:rsidR="00A07FE0" w:rsidRDefault="00866305" w:rsidP="006A0957">
      <w:pPr>
        <w:jc w:val="both"/>
        <w:rPr>
          <w:rFonts w:cs="Arial"/>
          <w:sz w:val="22"/>
          <w:szCs w:val="22"/>
        </w:rPr>
      </w:pPr>
      <w:r w:rsidRPr="00EE5A6D">
        <w:rPr>
          <w:rFonts w:cs="Arial"/>
          <w:sz w:val="22"/>
          <w:szCs w:val="22"/>
        </w:rPr>
        <w:t>An impairment charge is recognised as the investments affected had a market value of either less than 80% of cost or had experienced a prol</w:t>
      </w:r>
      <w:r w:rsidR="00431251">
        <w:rPr>
          <w:rFonts w:cs="Arial"/>
          <w:sz w:val="22"/>
          <w:szCs w:val="22"/>
        </w:rPr>
        <w:t>onged reduction in their value.</w:t>
      </w:r>
    </w:p>
    <w:p w14:paraId="65329021" w14:textId="77777777" w:rsidR="00A07FE0" w:rsidRDefault="00A07FE0" w:rsidP="006A0957">
      <w:pPr>
        <w:jc w:val="both"/>
        <w:rPr>
          <w:rFonts w:cs="Arial"/>
          <w:sz w:val="22"/>
          <w:szCs w:val="22"/>
        </w:rPr>
      </w:pPr>
    </w:p>
    <w:p w14:paraId="5EA733DA" w14:textId="77777777" w:rsidR="00EB1EC9" w:rsidRPr="00431251" w:rsidRDefault="00EB1EC9" w:rsidP="00431251">
      <w:pPr>
        <w:pStyle w:val="Heading3"/>
        <w:jc w:val="left"/>
        <w:rPr>
          <w:color w:val="auto"/>
          <w:sz w:val="22"/>
          <w:szCs w:val="22"/>
        </w:rPr>
      </w:pPr>
      <w:bookmarkStart w:id="97" w:name="_Toc430613019"/>
      <w:bookmarkStart w:id="98" w:name="_Toc430613325"/>
      <w:bookmarkStart w:id="99" w:name="_Toc430613696"/>
      <w:r w:rsidRPr="00431251">
        <w:rPr>
          <w:color w:val="auto"/>
          <w:sz w:val="22"/>
          <w:szCs w:val="22"/>
        </w:rPr>
        <w:t>7</w:t>
      </w:r>
      <w:r w:rsidR="00FF30BF" w:rsidRPr="00431251">
        <w:rPr>
          <w:color w:val="auto"/>
          <w:sz w:val="22"/>
          <w:szCs w:val="22"/>
        </w:rPr>
        <w:t>.</w:t>
      </w:r>
      <w:r w:rsidRPr="00431251">
        <w:rPr>
          <w:color w:val="auto"/>
          <w:sz w:val="22"/>
          <w:szCs w:val="22"/>
        </w:rPr>
        <w:t xml:space="preserve"> Matters subsequent to the end of the financial year</w:t>
      </w:r>
      <w:bookmarkEnd w:id="97"/>
      <w:bookmarkEnd w:id="98"/>
      <w:bookmarkEnd w:id="99"/>
    </w:p>
    <w:p w14:paraId="5EA733DB" w14:textId="77777777" w:rsidR="00EB1EC9" w:rsidRPr="007E12F5" w:rsidRDefault="00EB1EC9" w:rsidP="00517227">
      <w:pPr>
        <w:jc w:val="both"/>
        <w:rPr>
          <w:rFonts w:cs="Arial"/>
          <w:sz w:val="22"/>
          <w:szCs w:val="22"/>
        </w:rPr>
      </w:pPr>
    </w:p>
    <w:p w14:paraId="4C748D63" w14:textId="05560B5B" w:rsidR="0044691F" w:rsidRPr="0044691F" w:rsidRDefault="0044691F" w:rsidP="0044691F">
      <w:pPr>
        <w:rPr>
          <w:rFonts w:cs="Arial"/>
          <w:sz w:val="22"/>
          <w:szCs w:val="22"/>
        </w:rPr>
      </w:pPr>
      <w:r w:rsidRPr="001D1C74">
        <w:rPr>
          <w:rFonts w:cs="Arial"/>
          <w:sz w:val="22"/>
          <w:szCs w:val="22"/>
        </w:rPr>
        <w:t>There has not been any matter or circumstance occurring subsequent to the end of the financial year that has significantly affected, or may significantly affect, the operations of the consolidated entity, the results of those operations, or the state of affairs of the consolidated entity in future financial years.</w:t>
      </w:r>
    </w:p>
    <w:p w14:paraId="5EA733DD" w14:textId="77777777" w:rsidR="003611C2" w:rsidRDefault="003611C2" w:rsidP="002206F9">
      <w:pPr>
        <w:rPr>
          <w:rFonts w:cs="Arial"/>
          <w:sz w:val="22"/>
          <w:szCs w:val="22"/>
        </w:rPr>
      </w:pPr>
    </w:p>
    <w:p w14:paraId="5EA733DE" w14:textId="3532F13E" w:rsidR="00EB1EC9" w:rsidRPr="00431251" w:rsidRDefault="00EB1EC9" w:rsidP="00431251">
      <w:pPr>
        <w:pStyle w:val="Heading3"/>
        <w:jc w:val="left"/>
        <w:rPr>
          <w:color w:val="auto"/>
          <w:sz w:val="22"/>
          <w:szCs w:val="22"/>
        </w:rPr>
      </w:pPr>
      <w:bookmarkStart w:id="100" w:name="_Toc430613020"/>
      <w:bookmarkStart w:id="101" w:name="_Toc430613326"/>
      <w:bookmarkStart w:id="102" w:name="_Toc430613697"/>
      <w:r w:rsidRPr="00431251">
        <w:rPr>
          <w:color w:val="auto"/>
          <w:sz w:val="22"/>
          <w:szCs w:val="22"/>
        </w:rPr>
        <w:t>8</w:t>
      </w:r>
      <w:r w:rsidR="00FF30BF" w:rsidRPr="00431251">
        <w:rPr>
          <w:color w:val="auto"/>
          <w:sz w:val="22"/>
          <w:szCs w:val="22"/>
        </w:rPr>
        <w:t>.</w:t>
      </w:r>
      <w:r w:rsidR="0054179F" w:rsidRPr="00431251">
        <w:rPr>
          <w:color w:val="auto"/>
          <w:sz w:val="22"/>
          <w:szCs w:val="22"/>
        </w:rPr>
        <w:t xml:space="preserve"> Future d</w:t>
      </w:r>
      <w:r w:rsidRPr="00431251">
        <w:rPr>
          <w:color w:val="auto"/>
          <w:sz w:val="22"/>
          <w:szCs w:val="22"/>
        </w:rPr>
        <w:t>evelopments</w:t>
      </w:r>
      <w:bookmarkEnd w:id="100"/>
      <w:bookmarkEnd w:id="101"/>
      <w:bookmarkEnd w:id="102"/>
      <w:r w:rsidRPr="00431251">
        <w:rPr>
          <w:color w:val="auto"/>
          <w:sz w:val="22"/>
          <w:szCs w:val="22"/>
        </w:rPr>
        <w:t xml:space="preserve"> </w:t>
      </w:r>
    </w:p>
    <w:p w14:paraId="5EA733DF" w14:textId="77777777" w:rsidR="00EB1EC9" w:rsidRPr="00EE79E3" w:rsidRDefault="00EB1EC9" w:rsidP="002206F9">
      <w:pPr>
        <w:rPr>
          <w:rFonts w:cs="Arial"/>
          <w:b/>
          <w:sz w:val="22"/>
          <w:szCs w:val="22"/>
        </w:rPr>
      </w:pPr>
    </w:p>
    <w:p w14:paraId="5EA733E0" w14:textId="77777777" w:rsidR="00EB1EC9" w:rsidRDefault="00EB1EC9" w:rsidP="002206F9">
      <w:pPr>
        <w:rPr>
          <w:rFonts w:cs="Arial"/>
          <w:sz w:val="22"/>
          <w:szCs w:val="22"/>
        </w:rPr>
      </w:pPr>
      <w:r w:rsidRPr="00EE79E3">
        <w:rPr>
          <w:rFonts w:cs="Arial"/>
          <w:sz w:val="22"/>
          <w:szCs w:val="22"/>
        </w:rPr>
        <w:t xml:space="preserve">In the opinion of the Directors, there are no likely changes in the operations of the </w:t>
      </w:r>
      <w:r w:rsidR="00FA2EE2" w:rsidRPr="00EE79E3">
        <w:rPr>
          <w:rFonts w:cs="Arial"/>
          <w:sz w:val="22"/>
          <w:szCs w:val="22"/>
        </w:rPr>
        <w:t>company</w:t>
      </w:r>
      <w:r w:rsidRPr="00EE79E3">
        <w:rPr>
          <w:rFonts w:cs="Arial"/>
          <w:sz w:val="22"/>
          <w:szCs w:val="22"/>
        </w:rPr>
        <w:t xml:space="preserve"> which will adversely affect the results of the </w:t>
      </w:r>
      <w:r w:rsidR="00517227" w:rsidRPr="00EE79E3">
        <w:rPr>
          <w:rFonts w:cs="Arial"/>
          <w:sz w:val="22"/>
          <w:szCs w:val="22"/>
        </w:rPr>
        <w:t>company</w:t>
      </w:r>
      <w:r w:rsidRPr="00EE79E3">
        <w:rPr>
          <w:rFonts w:cs="Arial"/>
          <w:sz w:val="22"/>
          <w:szCs w:val="22"/>
        </w:rPr>
        <w:t xml:space="preserve"> in subsequent financial years.</w:t>
      </w:r>
    </w:p>
    <w:p w14:paraId="5EA733E1" w14:textId="77777777" w:rsidR="00641697" w:rsidRPr="00EE79E3" w:rsidRDefault="00641697" w:rsidP="002206F9">
      <w:pPr>
        <w:rPr>
          <w:rFonts w:cs="Arial"/>
          <w:sz w:val="22"/>
          <w:szCs w:val="22"/>
        </w:rPr>
      </w:pPr>
    </w:p>
    <w:p w14:paraId="5EA733E2" w14:textId="77777777" w:rsidR="00EB1EC9" w:rsidRPr="00431251" w:rsidRDefault="00EB1EC9" w:rsidP="00431251">
      <w:pPr>
        <w:pStyle w:val="Heading3"/>
        <w:jc w:val="left"/>
        <w:rPr>
          <w:color w:val="auto"/>
          <w:sz w:val="22"/>
          <w:szCs w:val="22"/>
        </w:rPr>
      </w:pPr>
      <w:bookmarkStart w:id="103" w:name="_Toc430613021"/>
      <w:bookmarkStart w:id="104" w:name="_Toc430613327"/>
      <w:bookmarkStart w:id="105" w:name="_Toc430613698"/>
      <w:r w:rsidRPr="00431251">
        <w:rPr>
          <w:color w:val="auto"/>
          <w:sz w:val="22"/>
          <w:szCs w:val="22"/>
        </w:rPr>
        <w:t>9</w:t>
      </w:r>
      <w:r w:rsidR="00FF30BF" w:rsidRPr="00431251">
        <w:rPr>
          <w:color w:val="auto"/>
          <w:sz w:val="22"/>
          <w:szCs w:val="22"/>
        </w:rPr>
        <w:t>.</w:t>
      </w:r>
      <w:r w:rsidRPr="00431251">
        <w:rPr>
          <w:color w:val="auto"/>
          <w:sz w:val="22"/>
          <w:szCs w:val="22"/>
        </w:rPr>
        <w:t xml:space="preserve"> Significant changes in the state of affairs</w:t>
      </w:r>
      <w:bookmarkEnd w:id="103"/>
      <w:bookmarkEnd w:id="104"/>
      <w:bookmarkEnd w:id="105"/>
    </w:p>
    <w:p w14:paraId="5EA733E3" w14:textId="77777777" w:rsidR="00EB1EC9" w:rsidRPr="00EE79E3" w:rsidRDefault="00EB1EC9" w:rsidP="002206F9">
      <w:pPr>
        <w:rPr>
          <w:rFonts w:cs="Arial"/>
          <w:sz w:val="22"/>
          <w:szCs w:val="22"/>
        </w:rPr>
      </w:pPr>
    </w:p>
    <w:p w14:paraId="5EA733E4" w14:textId="77777777" w:rsidR="00EB1EC9" w:rsidRPr="00EE79E3" w:rsidRDefault="00EB1EC9" w:rsidP="002206F9">
      <w:pPr>
        <w:rPr>
          <w:rFonts w:cs="Arial"/>
          <w:sz w:val="22"/>
          <w:szCs w:val="22"/>
        </w:rPr>
      </w:pPr>
      <w:r w:rsidRPr="00EE79E3">
        <w:rPr>
          <w:rFonts w:cs="Arial"/>
          <w:sz w:val="22"/>
          <w:szCs w:val="22"/>
        </w:rPr>
        <w:t xml:space="preserve">During the year there was no significant change in the state of affairs of the </w:t>
      </w:r>
      <w:r w:rsidR="00FA2EE2" w:rsidRPr="00EE79E3">
        <w:rPr>
          <w:rFonts w:cs="Arial"/>
          <w:sz w:val="22"/>
          <w:szCs w:val="22"/>
        </w:rPr>
        <w:t>company</w:t>
      </w:r>
      <w:r w:rsidRPr="00EE79E3">
        <w:rPr>
          <w:rFonts w:cs="Arial"/>
          <w:sz w:val="22"/>
          <w:szCs w:val="22"/>
        </w:rPr>
        <w:t xml:space="preserve"> other than that referred to in the financial statements or notes thereto.</w:t>
      </w:r>
    </w:p>
    <w:p w14:paraId="5EA733E5" w14:textId="77777777" w:rsidR="00EB1EC9" w:rsidRPr="00EE79E3" w:rsidRDefault="00EB1EC9" w:rsidP="002206F9">
      <w:pPr>
        <w:rPr>
          <w:rFonts w:cs="Arial"/>
          <w:b/>
          <w:sz w:val="22"/>
          <w:szCs w:val="22"/>
        </w:rPr>
      </w:pPr>
    </w:p>
    <w:p w14:paraId="5EA733E6" w14:textId="77777777" w:rsidR="00695E01" w:rsidRPr="00431251" w:rsidRDefault="00695E01" w:rsidP="00431251">
      <w:pPr>
        <w:pStyle w:val="Heading3"/>
        <w:jc w:val="left"/>
        <w:rPr>
          <w:color w:val="auto"/>
          <w:sz w:val="22"/>
          <w:szCs w:val="22"/>
        </w:rPr>
      </w:pPr>
      <w:bookmarkStart w:id="106" w:name="_Toc430613022"/>
      <w:bookmarkStart w:id="107" w:name="_Toc430613328"/>
      <w:bookmarkStart w:id="108" w:name="_Toc430613699"/>
      <w:r w:rsidRPr="00431251">
        <w:rPr>
          <w:color w:val="auto"/>
          <w:sz w:val="22"/>
          <w:szCs w:val="22"/>
        </w:rPr>
        <w:t>10.  Members’ guarantee</w:t>
      </w:r>
      <w:bookmarkEnd w:id="106"/>
      <w:bookmarkEnd w:id="107"/>
      <w:bookmarkEnd w:id="108"/>
    </w:p>
    <w:p w14:paraId="5EA733E7" w14:textId="77777777" w:rsidR="00695E01" w:rsidRPr="00EE79E3" w:rsidRDefault="00695E01" w:rsidP="002206F9">
      <w:pPr>
        <w:pStyle w:val="TextPara"/>
        <w:autoSpaceDE/>
        <w:autoSpaceDN/>
        <w:adjustRightInd/>
        <w:rPr>
          <w:rFonts w:cs="Arial"/>
          <w:b/>
          <w:bCs/>
          <w:sz w:val="22"/>
          <w:szCs w:val="22"/>
        </w:rPr>
      </w:pPr>
    </w:p>
    <w:p w14:paraId="5EA733E8" w14:textId="77777777" w:rsidR="00342B48" w:rsidRPr="00EE79E3" w:rsidRDefault="00342B48" w:rsidP="00887462">
      <w:pPr>
        <w:rPr>
          <w:rFonts w:cs="Arial"/>
          <w:sz w:val="22"/>
          <w:szCs w:val="22"/>
        </w:rPr>
      </w:pPr>
      <w:r w:rsidRPr="00EE79E3">
        <w:rPr>
          <w:rFonts w:cs="Arial"/>
          <w:sz w:val="22"/>
          <w:szCs w:val="22"/>
        </w:rPr>
        <w:t>Vision Australia Limited is a company limited by guarantee and does not have share capital.  The contribution of each member to its debts and liabilities in the event of a winding up is restricted to an amount not exceeding $25.</w:t>
      </w:r>
    </w:p>
    <w:p w14:paraId="5EA733E9" w14:textId="77777777" w:rsidR="00342B48" w:rsidRPr="00EE79E3" w:rsidRDefault="00342B48" w:rsidP="002206F9">
      <w:pPr>
        <w:rPr>
          <w:rFonts w:cs="Arial"/>
          <w:sz w:val="22"/>
          <w:szCs w:val="22"/>
        </w:rPr>
      </w:pPr>
    </w:p>
    <w:p w14:paraId="5EA733EA" w14:textId="77777777" w:rsidR="00342B48" w:rsidRPr="00EE79E3" w:rsidRDefault="00DF28D7" w:rsidP="002206F9">
      <w:pPr>
        <w:rPr>
          <w:rFonts w:cs="Arial"/>
          <w:sz w:val="22"/>
          <w:szCs w:val="22"/>
        </w:rPr>
      </w:pPr>
      <w:r w:rsidRPr="00DF28D7">
        <w:rPr>
          <w:rFonts w:cs="Arial"/>
          <w:sz w:val="22"/>
          <w:szCs w:val="22"/>
        </w:rPr>
        <w:t>There were 476</w:t>
      </w:r>
      <w:r w:rsidR="00342B48" w:rsidRPr="00DF28D7">
        <w:rPr>
          <w:rFonts w:cs="Arial"/>
          <w:sz w:val="22"/>
          <w:szCs w:val="22"/>
        </w:rPr>
        <w:t xml:space="preserve"> members at 30 June 201</w:t>
      </w:r>
      <w:r w:rsidR="00274898" w:rsidRPr="00DF28D7">
        <w:rPr>
          <w:rFonts w:cs="Arial"/>
          <w:sz w:val="22"/>
          <w:szCs w:val="22"/>
        </w:rPr>
        <w:t>5</w:t>
      </w:r>
      <w:r w:rsidR="00342B48" w:rsidRPr="00DF28D7">
        <w:rPr>
          <w:rFonts w:cs="Arial"/>
          <w:sz w:val="22"/>
          <w:szCs w:val="22"/>
        </w:rPr>
        <w:t xml:space="preserve"> (201</w:t>
      </w:r>
      <w:r w:rsidR="00274898" w:rsidRPr="00DF28D7">
        <w:rPr>
          <w:rFonts w:cs="Arial"/>
          <w:sz w:val="22"/>
          <w:szCs w:val="22"/>
        </w:rPr>
        <w:t>4</w:t>
      </w:r>
      <w:r w:rsidR="00342B48" w:rsidRPr="00DF28D7">
        <w:rPr>
          <w:rFonts w:cs="Arial"/>
          <w:sz w:val="22"/>
          <w:szCs w:val="22"/>
        </w:rPr>
        <w:t xml:space="preserve">: </w:t>
      </w:r>
      <w:r w:rsidR="00274898" w:rsidRPr="00DF28D7">
        <w:rPr>
          <w:rFonts w:cs="Arial"/>
          <w:sz w:val="22"/>
          <w:szCs w:val="22"/>
        </w:rPr>
        <w:t>49</w:t>
      </w:r>
      <w:r w:rsidR="00342B48" w:rsidRPr="00DF28D7">
        <w:rPr>
          <w:rFonts w:cs="Arial"/>
          <w:sz w:val="22"/>
          <w:szCs w:val="22"/>
        </w:rPr>
        <w:t>7).</w:t>
      </w:r>
    </w:p>
    <w:p w14:paraId="5EA733EB" w14:textId="77777777" w:rsidR="00695E01" w:rsidRPr="00EE79E3" w:rsidRDefault="00695E01" w:rsidP="002206F9">
      <w:pPr>
        <w:rPr>
          <w:rFonts w:cs="Arial"/>
          <w:b/>
          <w:sz w:val="22"/>
          <w:szCs w:val="22"/>
        </w:rPr>
      </w:pPr>
    </w:p>
    <w:p w14:paraId="5EA733EC" w14:textId="77777777" w:rsidR="00EB1EC9" w:rsidRPr="00431251" w:rsidRDefault="00695E01" w:rsidP="00431251">
      <w:pPr>
        <w:pStyle w:val="Heading3"/>
        <w:jc w:val="left"/>
        <w:rPr>
          <w:color w:val="auto"/>
          <w:sz w:val="22"/>
          <w:szCs w:val="22"/>
        </w:rPr>
      </w:pPr>
      <w:bookmarkStart w:id="109" w:name="_Toc430613023"/>
      <w:bookmarkStart w:id="110" w:name="_Toc430613329"/>
      <w:bookmarkStart w:id="111" w:name="_Toc430613700"/>
      <w:r w:rsidRPr="00431251">
        <w:rPr>
          <w:color w:val="auto"/>
          <w:sz w:val="22"/>
          <w:szCs w:val="22"/>
        </w:rPr>
        <w:t>11</w:t>
      </w:r>
      <w:r w:rsidR="00FF30BF" w:rsidRPr="00431251">
        <w:rPr>
          <w:color w:val="auto"/>
          <w:sz w:val="22"/>
          <w:szCs w:val="22"/>
        </w:rPr>
        <w:t>.</w:t>
      </w:r>
      <w:r w:rsidR="00EB1EC9" w:rsidRPr="00431251">
        <w:rPr>
          <w:color w:val="auto"/>
          <w:sz w:val="22"/>
          <w:szCs w:val="22"/>
        </w:rPr>
        <w:t xml:space="preserve"> Indemnification of officers and auditors</w:t>
      </w:r>
      <w:bookmarkEnd w:id="109"/>
      <w:bookmarkEnd w:id="110"/>
      <w:bookmarkEnd w:id="111"/>
    </w:p>
    <w:p w14:paraId="5EA733ED" w14:textId="77777777" w:rsidR="00EB1EC9" w:rsidRPr="00EE79E3" w:rsidRDefault="00EB1EC9" w:rsidP="002206F9">
      <w:pPr>
        <w:rPr>
          <w:rFonts w:cs="Arial"/>
          <w:b/>
          <w:sz w:val="22"/>
          <w:szCs w:val="22"/>
        </w:rPr>
      </w:pPr>
    </w:p>
    <w:p w14:paraId="5EA733EE" w14:textId="77777777" w:rsidR="00EB1EC9" w:rsidRPr="00EE79E3" w:rsidRDefault="00EB1EC9" w:rsidP="002206F9">
      <w:pPr>
        <w:rPr>
          <w:rFonts w:cs="Arial"/>
          <w:sz w:val="22"/>
          <w:szCs w:val="22"/>
        </w:rPr>
      </w:pPr>
      <w:r w:rsidRPr="00EE79E3">
        <w:rPr>
          <w:rFonts w:cs="Arial"/>
          <w:sz w:val="22"/>
          <w:szCs w:val="22"/>
        </w:rPr>
        <w:t>Vision Australia</w:t>
      </w:r>
      <w:r w:rsidR="00A124A1" w:rsidRPr="00EE79E3">
        <w:rPr>
          <w:rFonts w:cs="Arial"/>
          <w:sz w:val="22"/>
          <w:szCs w:val="22"/>
        </w:rPr>
        <w:t xml:space="preserve"> Limited</w:t>
      </w:r>
      <w:r w:rsidRPr="00EE79E3">
        <w:rPr>
          <w:rFonts w:cs="Arial"/>
          <w:sz w:val="22"/>
          <w:szCs w:val="22"/>
        </w:rPr>
        <w:t xml:space="preserve"> paid insurance premiums during the financial year, insuring directors and officers (and any persons who are officers in the future) against certain liabilities incurred in that capacity. Vision Australia</w:t>
      </w:r>
      <w:r w:rsidR="00A124A1" w:rsidRPr="00EE79E3">
        <w:rPr>
          <w:rFonts w:cs="Arial"/>
          <w:sz w:val="22"/>
          <w:szCs w:val="22"/>
        </w:rPr>
        <w:t xml:space="preserve"> Limited</w:t>
      </w:r>
      <w:r w:rsidRPr="00EE79E3">
        <w:rPr>
          <w:rFonts w:cs="Arial"/>
          <w:sz w:val="22"/>
          <w:szCs w:val="22"/>
        </w:rPr>
        <w:t xml:space="preserve"> has not otherwise, during or since the end of the financial year, indemnified or agreed to indemnify any officer of the company against any liabilities incurred in that capacity.</w:t>
      </w:r>
    </w:p>
    <w:p w14:paraId="5EA733EF" w14:textId="77777777" w:rsidR="00EB1EC9" w:rsidRPr="00EE79E3" w:rsidRDefault="00EB1EC9" w:rsidP="002206F9">
      <w:pPr>
        <w:rPr>
          <w:rFonts w:cs="Arial"/>
          <w:sz w:val="22"/>
          <w:szCs w:val="22"/>
        </w:rPr>
      </w:pPr>
    </w:p>
    <w:p w14:paraId="5EA733F0" w14:textId="77777777" w:rsidR="00EB1EC9" w:rsidRPr="00EE79E3" w:rsidRDefault="00EB1EC9" w:rsidP="002206F9">
      <w:pPr>
        <w:rPr>
          <w:rFonts w:cs="Arial"/>
          <w:sz w:val="22"/>
          <w:szCs w:val="22"/>
        </w:rPr>
      </w:pPr>
      <w:r w:rsidRPr="00EE79E3">
        <w:rPr>
          <w:rFonts w:cs="Arial"/>
          <w:sz w:val="22"/>
          <w:szCs w:val="22"/>
        </w:rPr>
        <w:t>No indemnities have been given or insurance premium paid, during or since the end of the financial year, for any person who is or has been an auditor of Vision Australia</w:t>
      </w:r>
      <w:r w:rsidR="00A124A1" w:rsidRPr="00EE79E3">
        <w:rPr>
          <w:rFonts w:cs="Arial"/>
          <w:sz w:val="22"/>
          <w:szCs w:val="22"/>
        </w:rPr>
        <w:t xml:space="preserve"> Limited</w:t>
      </w:r>
      <w:r w:rsidRPr="00EE79E3">
        <w:rPr>
          <w:rFonts w:cs="Arial"/>
          <w:sz w:val="22"/>
          <w:szCs w:val="22"/>
        </w:rPr>
        <w:t>.</w:t>
      </w:r>
    </w:p>
    <w:p w14:paraId="5EA733F1" w14:textId="77777777" w:rsidR="00695E01" w:rsidRPr="00EE79E3" w:rsidRDefault="00695E01" w:rsidP="002206F9">
      <w:pPr>
        <w:rPr>
          <w:rFonts w:cs="Arial"/>
          <w:b/>
          <w:sz w:val="22"/>
          <w:szCs w:val="22"/>
          <w:highlight w:val="yellow"/>
        </w:rPr>
      </w:pPr>
    </w:p>
    <w:p w14:paraId="5EA733F2" w14:textId="77777777" w:rsidR="002A28DC" w:rsidRPr="00431251" w:rsidRDefault="002A28DC" w:rsidP="00431251">
      <w:pPr>
        <w:pStyle w:val="Heading3"/>
        <w:jc w:val="left"/>
        <w:rPr>
          <w:color w:val="auto"/>
          <w:sz w:val="22"/>
          <w:szCs w:val="22"/>
        </w:rPr>
      </w:pPr>
      <w:bookmarkStart w:id="112" w:name="_Toc430613024"/>
      <w:bookmarkStart w:id="113" w:name="_Toc430613330"/>
      <w:bookmarkStart w:id="114" w:name="_Toc430613701"/>
      <w:r w:rsidRPr="00431251">
        <w:rPr>
          <w:color w:val="auto"/>
          <w:sz w:val="22"/>
          <w:szCs w:val="22"/>
        </w:rPr>
        <w:lastRenderedPageBreak/>
        <w:t>12. Proceedings on behalf of the company</w:t>
      </w:r>
      <w:bookmarkEnd w:id="112"/>
      <w:bookmarkEnd w:id="113"/>
      <w:bookmarkEnd w:id="114"/>
    </w:p>
    <w:p w14:paraId="5EA733F3" w14:textId="77777777" w:rsidR="002A28DC" w:rsidRDefault="002A28DC" w:rsidP="002206F9">
      <w:pPr>
        <w:rPr>
          <w:rFonts w:cs="Arial"/>
          <w:sz w:val="22"/>
          <w:szCs w:val="22"/>
        </w:rPr>
      </w:pPr>
    </w:p>
    <w:p w14:paraId="5EA733F4" w14:textId="77777777" w:rsidR="002A28DC" w:rsidRDefault="002A28DC" w:rsidP="002206F9">
      <w:pPr>
        <w:rPr>
          <w:rFonts w:cs="Arial"/>
          <w:sz w:val="22"/>
          <w:szCs w:val="22"/>
        </w:rPr>
      </w:pPr>
      <w:r>
        <w:rPr>
          <w:rFonts w:cs="Arial"/>
          <w:sz w:val="22"/>
          <w:szCs w:val="22"/>
        </w:rPr>
        <w:t>There were no proceedings on behalf of the company during the financial year.</w:t>
      </w:r>
    </w:p>
    <w:p w14:paraId="5EA733F5" w14:textId="77777777" w:rsidR="002A28DC" w:rsidRPr="00A709EF" w:rsidRDefault="002A28DC" w:rsidP="002206F9">
      <w:pPr>
        <w:rPr>
          <w:rFonts w:cs="Arial"/>
          <w:sz w:val="22"/>
          <w:szCs w:val="22"/>
        </w:rPr>
      </w:pPr>
    </w:p>
    <w:p w14:paraId="5EA733F6" w14:textId="77777777" w:rsidR="00EB1EC9" w:rsidRPr="00431251" w:rsidRDefault="00695E01" w:rsidP="00431251">
      <w:pPr>
        <w:pStyle w:val="Heading3"/>
        <w:jc w:val="left"/>
        <w:rPr>
          <w:color w:val="auto"/>
          <w:sz w:val="22"/>
          <w:szCs w:val="22"/>
        </w:rPr>
      </w:pPr>
      <w:bookmarkStart w:id="115" w:name="_Toc430613025"/>
      <w:bookmarkStart w:id="116" w:name="_Toc430613331"/>
      <w:bookmarkStart w:id="117" w:name="_Toc430613702"/>
      <w:r w:rsidRPr="00431251">
        <w:rPr>
          <w:color w:val="auto"/>
          <w:sz w:val="22"/>
          <w:szCs w:val="22"/>
        </w:rPr>
        <w:t>1</w:t>
      </w:r>
      <w:r w:rsidR="002A28DC" w:rsidRPr="00431251">
        <w:rPr>
          <w:color w:val="auto"/>
          <w:sz w:val="22"/>
          <w:szCs w:val="22"/>
        </w:rPr>
        <w:t>3</w:t>
      </w:r>
      <w:r w:rsidR="00FF30BF" w:rsidRPr="00431251">
        <w:rPr>
          <w:color w:val="auto"/>
          <w:sz w:val="22"/>
          <w:szCs w:val="22"/>
        </w:rPr>
        <w:t>.</w:t>
      </w:r>
      <w:r w:rsidR="00EB1EC9" w:rsidRPr="00431251">
        <w:rPr>
          <w:color w:val="auto"/>
          <w:sz w:val="22"/>
          <w:szCs w:val="22"/>
        </w:rPr>
        <w:t xml:space="preserve"> Auditor’s independence declaration</w:t>
      </w:r>
      <w:bookmarkEnd w:id="115"/>
      <w:bookmarkEnd w:id="116"/>
      <w:bookmarkEnd w:id="117"/>
    </w:p>
    <w:p w14:paraId="5EA733F7" w14:textId="77777777" w:rsidR="00EB1EC9" w:rsidRPr="00EE5A6D" w:rsidRDefault="00EB1EC9" w:rsidP="002206F9">
      <w:pPr>
        <w:rPr>
          <w:rFonts w:cs="Arial"/>
          <w:sz w:val="22"/>
          <w:szCs w:val="22"/>
        </w:rPr>
      </w:pPr>
    </w:p>
    <w:p w14:paraId="5EA733F8" w14:textId="77777777" w:rsidR="00EB1EC9" w:rsidRPr="00EE5A6D" w:rsidRDefault="00EB1EC9" w:rsidP="002206F9">
      <w:pPr>
        <w:rPr>
          <w:rFonts w:cs="Arial"/>
          <w:sz w:val="22"/>
          <w:szCs w:val="22"/>
        </w:rPr>
      </w:pPr>
      <w:r w:rsidRPr="00EE5A6D">
        <w:rPr>
          <w:rFonts w:cs="Arial"/>
          <w:sz w:val="22"/>
          <w:szCs w:val="22"/>
        </w:rPr>
        <w:t>The auditor’s independence declaration is included after the directors’ declaration in the financial report.</w:t>
      </w:r>
    </w:p>
    <w:p w14:paraId="5EA733F9" w14:textId="77777777" w:rsidR="00EB1EC9" w:rsidRPr="00A94A4A" w:rsidRDefault="00EB1EC9" w:rsidP="00517227">
      <w:pPr>
        <w:jc w:val="both"/>
        <w:rPr>
          <w:rFonts w:cs="Arial"/>
          <w:sz w:val="22"/>
          <w:szCs w:val="22"/>
          <w:highlight w:val="yellow"/>
        </w:rPr>
      </w:pPr>
    </w:p>
    <w:p w14:paraId="5EA733FA" w14:textId="1AF71F94" w:rsidR="00EB1EC9" w:rsidRPr="00431251" w:rsidRDefault="00A07FE0" w:rsidP="00431251">
      <w:pPr>
        <w:pStyle w:val="Heading3"/>
        <w:jc w:val="left"/>
        <w:rPr>
          <w:color w:val="auto"/>
          <w:sz w:val="22"/>
          <w:szCs w:val="22"/>
        </w:rPr>
      </w:pPr>
      <w:bookmarkStart w:id="118" w:name="_Toc430613026"/>
      <w:bookmarkStart w:id="119" w:name="_Toc430613332"/>
      <w:bookmarkStart w:id="120" w:name="_Toc430613703"/>
      <w:r w:rsidRPr="00431251">
        <w:rPr>
          <w:color w:val="auto"/>
          <w:sz w:val="22"/>
          <w:szCs w:val="22"/>
        </w:rPr>
        <w:t>1</w:t>
      </w:r>
      <w:r w:rsidR="002A28DC" w:rsidRPr="00431251">
        <w:rPr>
          <w:color w:val="auto"/>
          <w:sz w:val="22"/>
          <w:szCs w:val="22"/>
        </w:rPr>
        <w:t>4</w:t>
      </w:r>
      <w:r w:rsidR="00FF30BF" w:rsidRPr="00431251">
        <w:rPr>
          <w:color w:val="auto"/>
          <w:sz w:val="22"/>
          <w:szCs w:val="22"/>
        </w:rPr>
        <w:t>.</w:t>
      </w:r>
      <w:r w:rsidR="00EB1EC9" w:rsidRPr="00431251">
        <w:rPr>
          <w:color w:val="auto"/>
          <w:sz w:val="22"/>
          <w:szCs w:val="22"/>
        </w:rPr>
        <w:t xml:space="preserve"> Rounding off of amounts</w:t>
      </w:r>
      <w:bookmarkEnd w:id="118"/>
      <w:bookmarkEnd w:id="119"/>
      <w:bookmarkEnd w:id="120"/>
    </w:p>
    <w:p w14:paraId="5EA733FB" w14:textId="77777777" w:rsidR="00EB1EC9" w:rsidRPr="00EE5A6D" w:rsidRDefault="00EB1EC9" w:rsidP="00517227">
      <w:pPr>
        <w:jc w:val="both"/>
        <w:rPr>
          <w:rFonts w:cs="Arial"/>
          <w:sz w:val="22"/>
          <w:szCs w:val="22"/>
        </w:rPr>
      </w:pPr>
    </w:p>
    <w:p w14:paraId="5EA733FC" w14:textId="77777777" w:rsidR="00EB1EC9" w:rsidRPr="00EE5A6D" w:rsidRDefault="00EB1EC9" w:rsidP="002206F9">
      <w:pPr>
        <w:rPr>
          <w:rFonts w:cs="Arial"/>
          <w:sz w:val="22"/>
          <w:szCs w:val="22"/>
        </w:rPr>
      </w:pPr>
      <w:r w:rsidRPr="00EE5A6D">
        <w:rPr>
          <w:rFonts w:cs="Arial"/>
          <w:sz w:val="22"/>
          <w:szCs w:val="22"/>
        </w:rPr>
        <w:t>Vision Australia</w:t>
      </w:r>
      <w:r w:rsidR="00A124A1" w:rsidRPr="00EE5A6D">
        <w:rPr>
          <w:rFonts w:cs="Arial"/>
          <w:sz w:val="22"/>
          <w:szCs w:val="22"/>
        </w:rPr>
        <w:t xml:space="preserve"> Limited</w:t>
      </w:r>
      <w:r w:rsidRPr="00EE5A6D">
        <w:rPr>
          <w:rFonts w:cs="Arial"/>
          <w:sz w:val="22"/>
          <w:szCs w:val="22"/>
        </w:rPr>
        <w:t xml:space="preserve"> is a company of the kind referred to in ASIC Class Order 98/0100, dated 10 July 1998, and in accordance with that Class Order amounts in the directors’ report and the financial report are rounded off to the nearest thousand dollars, unless otherwise indicated.</w:t>
      </w:r>
    </w:p>
    <w:p w14:paraId="5EA733FD" w14:textId="77777777" w:rsidR="00EB1EC9" w:rsidRPr="00EE5A6D" w:rsidRDefault="00EB1EC9" w:rsidP="002206F9">
      <w:pPr>
        <w:rPr>
          <w:rFonts w:cs="Arial"/>
          <w:sz w:val="22"/>
          <w:szCs w:val="22"/>
        </w:rPr>
      </w:pPr>
    </w:p>
    <w:p w14:paraId="5EA733FE" w14:textId="77777777" w:rsidR="00EB1EC9" w:rsidRDefault="00EB1EC9" w:rsidP="002C2EEA">
      <w:pPr>
        <w:jc w:val="both"/>
        <w:rPr>
          <w:sz w:val="20"/>
          <w:szCs w:val="20"/>
        </w:rPr>
      </w:pPr>
      <w:proofErr w:type="gramStart"/>
      <w:r w:rsidRPr="00EE5A6D">
        <w:rPr>
          <w:rFonts w:cs="Arial"/>
          <w:sz w:val="22"/>
          <w:szCs w:val="22"/>
        </w:rPr>
        <w:t>Signed in accordance with a resolution of the directors</w:t>
      </w:r>
      <w:r w:rsidR="00A8365E">
        <w:rPr>
          <w:rFonts w:cs="Arial"/>
          <w:sz w:val="22"/>
          <w:szCs w:val="22"/>
        </w:rPr>
        <w:t>.</w:t>
      </w:r>
      <w:proofErr w:type="gramEnd"/>
      <w:r w:rsidRPr="00EE5A6D">
        <w:rPr>
          <w:rFonts w:cs="Arial"/>
          <w:sz w:val="22"/>
          <w:szCs w:val="22"/>
        </w:rPr>
        <w:t xml:space="preserve"> </w:t>
      </w:r>
    </w:p>
    <w:p w14:paraId="5EA733FF" w14:textId="77777777" w:rsidR="0031604D" w:rsidRPr="00EE5A6D" w:rsidRDefault="0031604D" w:rsidP="00517227">
      <w:pPr>
        <w:jc w:val="both"/>
        <w:rPr>
          <w:rFonts w:cs="Arial"/>
          <w:sz w:val="22"/>
          <w:szCs w:val="22"/>
        </w:rPr>
      </w:pPr>
    </w:p>
    <w:p w14:paraId="5EA73400" w14:textId="77777777" w:rsidR="00EB1EC9" w:rsidRDefault="00EB1EC9" w:rsidP="00517227">
      <w:pPr>
        <w:jc w:val="both"/>
        <w:rPr>
          <w:rFonts w:cs="Arial"/>
          <w:sz w:val="22"/>
          <w:szCs w:val="22"/>
        </w:rPr>
      </w:pPr>
      <w:r w:rsidRPr="00EE5A6D">
        <w:rPr>
          <w:rFonts w:cs="Arial"/>
          <w:sz w:val="22"/>
          <w:szCs w:val="22"/>
        </w:rPr>
        <w:t>On behalf of the directors:</w:t>
      </w:r>
    </w:p>
    <w:p w14:paraId="2FAB9CA6" w14:textId="77777777" w:rsidR="00FA7C6C" w:rsidRDefault="00FA7C6C" w:rsidP="00517227">
      <w:pPr>
        <w:jc w:val="both"/>
        <w:rPr>
          <w:rFonts w:cs="Arial"/>
          <w:sz w:val="22"/>
          <w:szCs w:val="22"/>
        </w:rPr>
      </w:pPr>
    </w:p>
    <w:p w14:paraId="65A55B0D" w14:textId="3D71110F" w:rsidR="00FA7C6C" w:rsidRPr="007540D9" w:rsidRDefault="00FA7C6C" w:rsidP="00517227">
      <w:pPr>
        <w:jc w:val="both"/>
        <w:rPr>
          <w:rFonts w:cs="Arial"/>
          <w:sz w:val="22"/>
          <w:szCs w:val="22"/>
        </w:rPr>
      </w:pPr>
      <w:r w:rsidRPr="008C274E">
        <w:rPr>
          <w:rFonts w:cs="Arial"/>
          <w:sz w:val="22"/>
          <w:szCs w:val="22"/>
          <w:lang w:val="nl-NL"/>
        </w:rPr>
        <w:t>Kevin Murfitt</w:t>
      </w:r>
    </w:p>
    <w:p w14:paraId="5EA73401" w14:textId="3F4D314A" w:rsidR="00EB1EC9" w:rsidRPr="007540D9" w:rsidRDefault="00FA7C6C" w:rsidP="00517227">
      <w:pPr>
        <w:jc w:val="both"/>
        <w:rPr>
          <w:rFonts w:cs="Arial"/>
          <w:sz w:val="22"/>
          <w:szCs w:val="22"/>
        </w:rPr>
      </w:pPr>
      <w:r w:rsidRPr="008C274E">
        <w:rPr>
          <w:rFonts w:cs="Arial"/>
          <w:sz w:val="22"/>
          <w:szCs w:val="22"/>
          <w:lang w:val="nl-NL"/>
        </w:rPr>
        <w:t>Director</w:t>
      </w:r>
    </w:p>
    <w:p w14:paraId="5EA73402" w14:textId="678FE89F" w:rsidR="00EB1EC9" w:rsidRPr="007540D9" w:rsidRDefault="00FA7C6C" w:rsidP="00517227">
      <w:pPr>
        <w:jc w:val="both"/>
        <w:rPr>
          <w:rFonts w:cs="Arial"/>
          <w:sz w:val="22"/>
          <w:szCs w:val="22"/>
        </w:rPr>
      </w:pPr>
      <w:r>
        <w:rPr>
          <w:rFonts w:cs="Arial"/>
          <w:sz w:val="22"/>
          <w:szCs w:val="22"/>
        </w:rPr>
        <w:t>19</w:t>
      </w:r>
      <w:r w:rsidRPr="008C274E">
        <w:rPr>
          <w:rFonts w:cs="Arial"/>
          <w:sz w:val="22"/>
          <w:szCs w:val="22"/>
        </w:rPr>
        <w:t xml:space="preserve"> August 201</w:t>
      </w:r>
      <w:r>
        <w:rPr>
          <w:rFonts w:cs="Arial"/>
          <w:sz w:val="22"/>
          <w:szCs w:val="22"/>
        </w:rPr>
        <w:t>5</w:t>
      </w:r>
    </w:p>
    <w:p w14:paraId="5EA73403" w14:textId="77777777" w:rsidR="00F2526C" w:rsidRPr="007540D9" w:rsidRDefault="00F2526C" w:rsidP="00517227">
      <w:pPr>
        <w:jc w:val="both"/>
        <w:rPr>
          <w:rFonts w:cs="Arial"/>
          <w:sz w:val="22"/>
          <w:szCs w:val="22"/>
        </w:rPr>
      </w:pPr>
    </w:p>
    <w:p w14:paraId="5EA73404" w14:textId="7D6890C4" w:rsidR="00F2526C" w:rsidRPr="007540D9" w:rsidRDefault="00FA7C6C" w:rsidP="00517227">
      <w:pPr>
        <w:jc w:val="both"/>
        <w:rPr>
          <w:rFonts w:cs="Arial"/>
          <w:sz w:val="22"/>
          <w:szCs w:val="22"/>
        </w:rPr>
      </w:pPr>
      <w:r w:rsidRPr="008C274E">
        <w:rPr>
          <w:rFonts w:cs="Arial"/>
          <w:sz w:val="22"/>
          <w:szCs w:val="22"/>
          <w:lang w:val="nl-NL"/>
        </w:rPr>
        <w:t>Andrew Moffat</w:t>
      </w:r>
    </w:p>
    <w:p w14:paraId="5EA73405" w14:textId="39A62A92" w:rsidR="00EB1EC9" w:rsidRPr="007540D9" w:rsidRDefault="00FA7C6C" w:rsidP="00517227">
      <w:pPr>
        <w:jc w:val="both"/>
        <w:rPr>
          <w:rFonts w:cs="Arial"/>
          <w:sz w:val="22"/>
          <w:szCs w:val="22"/>
        </w:rPr>
      </w:pPr>
      <w:r w:rsidRPr="008C274E">
        <w:rPr>
          <w:rFonts w:cs="Arial"/>
          <w:sz w:val="22"/>
          <w:szCs w:val="22"/>
          <w:lang w:val="nl-NL"/>
        </w:rPr>
        <w:t>Director</w:t>
      </w:r>
    </w:p>
    <w:p w14:paraId="5EA73412" w14:textId="5CD3EF90" w:rsidR="006E093E" w:rsidRDefault="00FA7C6C" w:rsidP="00FA7C6C">
      <w:pPr>
        <w:jc w:val="both"/>
        <w:rPr>
          <w:rFonts w:cs="Arial"/>
          <w:sz w:val="22"/>
          <w:szCs w:val="22"/>
        </w:rPr>
      </w:pPr>
      <w:r>
        <w:rPr>
          <w:rFonts w:cs="Arial"/>
          <w:sz w:val="22"/>
          <w:szCs w:val="22"/>
        </w:rPr>
        <w:t>19</w:t>
      </w:r>
      <w:r w:rsidRPr="008C274E">
        <w:rPr>
          <w:rFonts w:cs="Arial"/>
          <w:sz w:val="22"/>
          <w:szCs w:val="22"/>
        </w:rPr>
        <w:t xml:space="preserve"> August 201</w:t>
      </w:r>
      <w:r>
        <w:rPr>
          <w:rFonts w:cs="Arial"/>
          <w:sz w:val="22"/>
          <w:szCs w:val="22"/>
        </w:rPr>
        <w:t>5</w:t>
      </w:r>
    </w:p>
    <w:p w14:paraId="5BE9624D" w14:textId="77777777" w:rsidR="00FA7C6C" w:rsidRDefault="00FA7C6C" w:rsidP="00FA7C6C">
      <w:pPr>
        <w:jc w:val="both"/>
        <w:rPr>
          <w:rFonts w:cs="Arial"/>
          <w:sz w:val="22"/>
          <w:szCs w:val="22"/>
        </w:rPr>
      </w:pPr>
    </w:p>
    <w:p w14:paraId="6B1874C1" w14:textId="77777777" w:rsidR="00FA7C6C" w:rsidRDefault="00FA7C6C">
      <w:pPr>
        <w:rPr>
          <w:lang w:eastAsia="en-AU"/>
        </w:rPr>
      </w:pPr>
      <w:r>
        <w:rPr>
          <w:lang w:eastAsia="en-AU"/>
        </w:rPr>
        <w:br w:type="page"/>
      </w:r>
    </w:p>
    <w:p w14:paraId="29518F37" w14:textId="38F005BA" w:rsidR="00FA7C6C" w:rsidRDefault="00FA7C6C" w:rsidP="00FA7C6C">
      <w:pPr>
        <w:pStyle w:val="Heading1"/>
        <w:rPr>
          <w:lang w:eastAsia="en-AU"/>
        </w:rPr>
      </w:pPr>
      <w:bookmarkStart w:id="121" w:name="_Toc430613704"/>
      <w:r w:rsidRPr="00FA2B43">
        <w:rPr>
          <w:lang w:eastAsia="en-AU"/>
        </w:rPr>
        <w:lastRenderedPageBreak/>
        <w:t>Consolidated Statement of Profit or Loss and Other Comprehensive Income for the year ended 30 June 201</w:t>
      </w:r>
      <w:r>
        <w:rPr>
          <w:lang w:eastAsia="en-AU"/>
        </w:rPr>
        <w:t>5</w:t>
      </w:r>
      <w:bookmarkEnd w:id="121"/>
    </w:p>
    <w:p w14:paraId="442E1692" w14:textId="77777777" w:rsidR="009D74ED" w:rsidRDefault="009D74ED" w:rsidP="009D74ED">
      <w:pPr>
        <w:rPr>
          <w:lang w:eastAsia="en-AU"/>
        </w:rPr>
      </w:pPr>
    </w:p>
    <w:p w14:paraId="3724A53F" w14:textId="0DA375C0" w:rsidR="009D74ED" w:rsidRPr="009D74ED" w:rsidRDefault="009D74ED" w:rsidP="009D74ED">
      <w:pPr>
        <w:rPr>
          <w:lang w:eastAsia="en-AU"/>
        </w:rPr>
      </w:pPr>
      <w:r>
        <w:rPr>
          <w:lang w:eastAsia="en-AU"/>
        </w:rPr>
        <w:t>Note: All following tables are $’000</w:t>
      </w:r>
    </w:p>
    <w:tbl>
      <w:tblPr>
        <w:tblW w:w="8597" w:type="dxa"/>
        <w:tblInd w:w="108" w:type="dxa"/>
        <w:tblLook w:val="04A0" w:firstRow="1" w:lastRow="0" w:firstColumn="1" w:lastColumn="0" w:noHBand="0" w:noVBand="1"/>
      </w:tblPr>
      <w:tblGrid>
        <w:gridCol w:w="4329"/>
        <w:gridCol w:w="944"/>
        <w:gridCol w:w="1867"/>
        <w:gridCol w:w="1457"/>
      </w:tblGrid>
      <w:tr w:rsidR="009D74ED" w:rsidRPr="00FA2B43" w14:paraId="5EA73422" w14:textId="77777777" w:rsidTr="009D74ED">
        <w:trPr>
          <w:trHeight w:val="287"/>
          <w:tblHeader/>
        </w:trPr>
        <w:tc>
          <w:tcPr>
            <w:tcW w:w="4329" w:type="dxa"/>
            <w:tcBorders>
              <w:top w:val="nil"/>
              <w:left w:val="nil"/>
              <w:bottom w:val="nil"/>
            </w:tcBorders>
            <w:shd w:val="clear" w:color="auto" w:fill="auto"/>
            <w:vAlign w:val="center"/>
            <w:hideMark/>
          </w:tcPr>
          <w:p w14:paraId="5EA7341D" w14:textId="77777777" w:rsidR="009D74ED" w:rsidRPr="00FA2B43" w:rsidRDefault="009D74ED" w:rsidP="00FA2B43">
            <w:pPr>
              <w:rPr>
                <w:rFonts w:cs="Arial"/>
                <w:color w:val="000000"/>
                <w:sz w:val="22"/>
                <w:szCs w:val="22"/>
                <w:lang w:eastAsia="en-AU"/>
              </w:rPr>
            </w:pPr>
            <w:bookmarkStart w:id="122" w:name="Table_5"/>
            <w:bookmarkEnd w:id="122"/>
          </w:p>
        </w:tc>
        <w:tc>
          <w:tcPr>
            <w:tcW w:w="944" w:type="dxa"/>
            <w:tcBorders>
              <w:top w:val="single" w:sz="4" w:space="0" w:color="auto"/>
              <w:bottom w:val="single" w:sz="4" w:space="0" w:color="auto"/>
              <w:right w:val="nil"/>
            </w:tcBorders>
            <w:shd w:val="clear" w:color="auto" w:fill="auto"/>
            <w:vAlign w:val="center"/>
            <w:hideMark/>
          </w:tcPr>
          <w:p w14:paraId="5EA7341E" w14:textId="53C79AAF" w:rsidR="009D74ED" w:rsidRPr="00FA2B43" w:rsidRDefault="009D74ED" w:rsidP="00FA2B43">
            <w:pPr>
              <w:jc w:val="center"/>
              <w:rPr>
                <w:rFonts w:cs="Arial"/>
                <w:color w:val="000000"/>
                <w:sz w:val="22"/>
                <w:szCs w:val="22"/>
                <w:lang w:eastAsia="en-AU"/>
              </w:rPr>
            </w:pPr>
            <w:r>
              <w:rPr>
                <w:rFonts w:cs="Arial"/>
                <w:color w:val="000000"/>
                <w:sz w:val="22"/>
                <w:szCs w:val="22"/>
                <w:lang w:eastAsia="en-AU"/>
              </w:rPr>
              <w:t>NOTE</w:t>
            </w:r>
          </w:p>
        </w:tc>
        <w:tc>
          <w:tcPr>
            <w:tcW w:w="1867" w:type="dxa"/>
            <w:tcBorders>
              <w:top w:val="single" w:sz="4" w:space="0" w:color="auto"/>
              <w:left w:val="nil"/>
              <w:bottom w:val="single" w:sz="4" w:space="0" w:color="auto"/>
              <w:right w:val="nil"/>
            </w:tcBorders>
            <w:shd w:val="clear" w:color="000000" w:fill="BFBFBF" w:themeFill="background1" w:themeFillShade="BF"/>
            <w:vAlign w:val="center"/>
            <w:hideMark/>
          </w:tcPr>
          <w:p w14:paraId="5EA73420" w14:textId="77777777" w:rsidR="009D74ED" w:rsidRPr="006C0CC6" w:rsidRDefault="009D74ED" w:rsidP="006C0CC6">
            <w:pPr>
              <w:jc w:val="right"/>
              <w:rPr>
                <w:rFonts w:cs="Arial"/>
                <w:b/>
                <w:color w:val="000000"/>
                <w:sz w:val="22"/>
                <w:szCs w:val="22"/>
                <w:lang w:eastAsia="en-AU"/>
              </w:rPr>
            </w:pPr>
            <w:r w:rsidRPr="006C0CC6">
              <w:rPr>
                <w:rFonts w:cs="Arial"/>
                <w:b/>
                <w:color w:val="000000"/>
                <w:sz w:val="22"/>
                <w:szCs w:val="22"/>
                <w:lang w:eastAsia="en-AU"/>
              </w:rPr>
              <w:t>2015</w:t>
            </w:r>
          </w:p>
        </w:tc>
        <w:tc>
          <w:tcPr>
            <w:tcW w:w="1457" w:type="dxa"/>
            <w:tcBorders>
              <w:top w:val="single" w:sz="4" w:space="0" w:color="auto"/>
              <w:left w:val="nil"/>
              <w:bottom w:val="single" w:sz="4" w:space="0" w:color="auto"/>
            </w:tcBorders>
            <w:shd w:val="clear" w:color="auto" w:fill="auto"/>
            <w:vAlign w:val="center"/>
            <w:hideMark/>
          </w:tcPr>
          <w:p w14:paraId="5EA73421" w14:textId="77777777" w:rsidR="009D74ED" w:rsidRPr="00FA2B43" w:rsidRDefault="009D74ED" w:rsidP="006C0CC6">
            <w:pPr>
              <w:jc w:val="right"/>
              <w:rPr>
                <w:rFonts w:cs="Arial"/>
                <w:color w:val="000000"/>
                <w:sz w:val="22"/>
                <w:szCs w:val="22"/>
                <w:lang w:eastAsia="en-AU"/>
              </w:rPr>
            </w:pPr>
            <w:r w:rsidRPr="00FA2B43">
              <w:rPr>
                <w:rFonts w:cs="Arial"/>
                <w:color w:val="000000"/>
                <w:sz w:val="22"/>
                <w:szCs w:val="22"/>
                <w:lang w:eastAsia="en-AU"/>
              </w:rPr>
              <w:t>201</w:t>
            </w:r>
            <w:r>
              <w:rPr>
                <w:rFonts w:cs="Arial"/>
                <w:color w:val="000000"/>
                <w:sz w:val="22"/>
                <w:szCs w:val="22"/>
                <w:lang w:eastAsia="en-AU"/>
              </w:rPr>
              <w:t>4</w:t>
            </w:r>
          </w:p>
        </w:tc>
      </w:tr>
      <w:tr w:rsidR="009D74ED" w:rsidRPr="00FA2B43" w14:paraId="5EA7342E" w14:textId="77777777" w:rsidTr="009D74ED">
        <w:trPr>
          <w:trHeight w:val="287"/>
        </w:trPr>
        <w:tc>
          <w:tcPr>
            <w:tcW w:w="4329" w:type="dxa"/>
            <w:tcBorders>
              <w:top w:val="nil"/>
              <w:left w:val="nil"/>
              <w:bottom w:val="nil"/>
              <w:right w:val="nil"/>
            </w:tcBorders>
            <w:shd w:val="clear" w:color="auto" w:fill="auto"/>
            <w:vAlign w:val="bottom"/>
            <w:hideMark/>
          </w:tcPr>
          <w:p w14:paraId="5EA73429"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Revenue</w:t>
            </w:r>
          </w:p>
        </w:tc>
        <w:tc>
          <w:tcPr>
            <w:tcW w:w="944" w:type="dxa"/>
            <w:tcBorders>
              <w:top w:val="single" w:sz="4" w:space="0" w:color="auto"/>
              <w:left w:val="nil"/>
              <w:bottom w:val="nil"/>
              <w:right w:val="nil"/>
            </w:tcBorders>
            <w:shd w:val="clear" w:color="auto" w:fill="auto"/>
            <w:vAlign w:val="center"/>
            <w:hideMark/>
          </w:tcPr>
          <w:p w14:paraId="5EA7342A" w14:textId="77777777" w:rsidR="009D74ED" w:rsidRPr="00FA2B43" w:rsidRDefault="009D74ED" w:rsidP="00FA2B43">
            <w:pPr>
              <w:jc w:val="center"/>
              <w:rPr>
                <w:rFonts w:cs="Arial"/>
                <w:color w:val="000000"/>
                <w:sz w:val="22"/>
                <w:szCs w:val="22"/>
                <w:lang w:eastAsia="en-AU"/>
              </w:rPr>
            </w:pPr>
            <w:r w:rsidRPr="00FA2B43">
              <w:rPr>
                <w:rFonts w:cs="Arial"/>
                <w:color w:val="000000"/>
                <w:sz w:val="22"/>
                <w:szCs w:val="22"/>
                <w:lang w:eastAsia="en-AU"/>
              </w:rPr>
              <w:t>5</w:t>
            </w:r>
          </w:p>
        </w:tc>
        <w:tc>
          <w:tcPr>
            <w:tcW w:w="1867" w:type="dxa"/>
            <w:tcBorders>
              <w:top w:val="single" w:sz="4" w:space="0" w:color="auto"/>
              <w:left w:val="nil"/>
              <w:bottom w:val="nil"/>
              <w:right w:val="nil"/>
            </w:tcBorders>
            <w:shd w:val="clear" w:color="000000" w:fill="BFBFBF" w:themeFill="background1" w:themeFillShade="BF"/>
            <w:vAlign w:val="bottom"/>
          </w:tcPr>
          <w:p w14:paraId="5EA7342C" w14:textId="77777777" w:rsidR="009D74ED" w:rsidRPr="00FA2B43" w:rsidRDefault="009D74ED" w:rsidP="00EF66A7">
            <w:pPr>
              <w:jc w:val="right"/>
              <w:rPr>
                <w:rFonts w:cs="Arial"/>
                <w:color w:val="000000"/>
                <w:sz w:val="22"/>
                <w:szCs w:val="22"/>
                <w:lang w:eastAsia="en-AU"/>
              </w:rPr>
            </w:pPr>
            <w:r>
              <w:rPr>
                <w:rFonts w:cs="Arial"/>
                <w:color w:val="000000"/>
                <w:sz w:val="22"/>
                <w:szCs w:val="22"/>
                <w:lang w:eastAsia="en-AU"/>
              </w:rPr>
              <w:t>92,877</w:t>
            </w:r>
          </w:p>
        </w:tc>
        <w:tc>
          <w:tcPr>
            <w:tcW w:w="1457" w:type="dxa"/>
            <w:tcBorders>
              <w:top w:val="single" w:sz="4" w:space="0" w:color="auto"/>
              <w:left w:val="nil"/>
              <w:bottom w:val="nil"/>
              <w:right w:val="nil"/>
            </w:tcBorders>
            <w:shd w:val="clear" w:color="auto" w:fill="auto"/>
            <w:vAlign w:val="bottom"/>
            <w:hideMark/>
          </w:tcPr>
          <w:p w14:paraId="5EA7342D" w14:textId="77777777" w:rsidR="009D74ED" w:rsidRPr="00274898" w:rsidRDefault="009D74ED" w:rsidP="00274898">
            <w:pPr>
              <w:jc w:val="right"/>
              <w:rPr>
                <w:rFonts w:cs="Arial"/>
                <w:color w:val="000000"/>
                <w:sz w:val="22"/>
                <w:szCs w:val="22"/>
                <w:lang w:eastAsia="en-AU"/>
              </w:rPr>
            </w:pPr>
            <w:r w:rsidRPr="00274898">
              <w:rPr>
                <w:sz w:val="22"/>
                <w:szCs w:val="22"/>
              </w:rPr>
              <w:t>87,762</w:t>
            </w:r>
          </w:p>
        </w:tc>
      </w:tr>
      <w:tr w:rsidR="009D74ED" w:rsidRPr="00FA2B43" w14:paraId="5EA73434" w14:textId="77777777" w:rsidTr="009D74ED">
        <w:trPr>
          <w:trHeight w:val="287"/>
        </w:trPr>
        <w:tc>
          <w:tcPr>
            <w:tcW w:w="4329" w:type="dxa"/>
            <w:tcBorders>
              <w:top w:val="nil"/>
              <w:left w:val="nil"/>
              <w:bottom w:val="nil"/>
              <w:right w:val="nil"/>
            </w:tcBorders>
            <w:shd w:val="clear" w:color="auto" w:fill="auto"/>
            <w:vAlign w:val="bottom"/>
            <w:hideMark/>
          </w:tcPr>
          <w:p w14:paraId="5EA7342F"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Raw materials and consumables used</w:t>
            </w:r>
          </w:p>
        </w:tc>
        <w:tc>
          <w:tcPr>
            <w:tcW w:w="944" w:type="dxa"/>
            <w:tcBorders>
              <w:top w:val="nil"/>
              <w:left w:val="nil"/>
              <w:bottom w:val="nil"/>
              <w:right w:val="nil"/>
            </w:tcBorders>
            <w:shd w:val="clear" w:color="auto" w:fill="auto"/>
            <w:vAlign w:val="center"/>
            <w:hideMark/>
          </w:tcPr>
          <w:p w14:paraId="5EA73430" w14:textId="24E3F68D" w:rsidR="009D74ED" w:rsidRPr="00FA2B43" w:rsidRDefault="009D74ED" w:rsidP="00FA2B43">
            <w:pPr>
              <w:jc w:val="center"/>
              <w:rPr>
                <w:rFonts w:cs="Arial"/>
                <w:color w:val="000000"/>
                <w:sz w:val="22"/>
                <w:szCs w:val="22"/>
                <w:lang w:eastAsia="en-AU"/>
              </w:rPr>
            </w:pPr>
            <w:r>
              <w:rPr>
                <w:rFonts w:cs="Arial"/>
                <w:color w:val="000000"/>
                <w:sz w:val="22"/>
                <w:szCs w:val="22"/>
                <w:lang w:eastAsia="en-AU"/>
              </w:rPr>
              <w:t>None</w:t>
            </w:r>
          </w:p>
        </w:tc>
        <w:tc>
          <w:tcPr>
            <w:tcW w:w="1867" w:type="dxa"/>
            <w:tcBorders>
              <w:top w:val="nil"/>
              <w:left w:val="nil"/>
              <w:bottom w:val="nil"/>
              <w:right w:val="nil"/>
            </w:tcBorders>
            <w:shd w:val="clear" w:color="000000" w:fill="BFBFBF" w:themeFill="background1" w:themeFillShade="BF"/>
            <w:vAlign w:val="bottom"/>
          </w:tcPr>
          <w:p w14:paraId="5EA73432" w14:textId="77777777" w:rsidR="009D74ED" w:rsidRPr="00FA2B43" w:rsidRDefault="009D74ED" w:rsidP="00FA2B43">
            <w:pPr>
              <w:jc w:val="right"/>
              <w:rPr>
                <w:rFonts w:cs="Arial"/>
                <w:color w:val="000000"/>
                <w:sz w:val="22"/>
                <w:szCs w:val="22"/>
                <w:lang w:eastAsia="en-AU"/>
              </w:rPr>
            </w:pPr>
            <w:r>
              <w:rPr>
                <w:rFonts w:cs="Arial"/>
                <w:color w:val="000000"/>
                <w:sz w:val="22"/>
                <w:szCs w:val="22"/>
                <w:lang w:eastAsia="en-AU"/>
              </w:rPr>
              <w:t>(5,648)</w:t>
            </w:r>
          </w:p>
        </w:tc>
        <w:tc>
          <w:tcPr>
            <w:tcW w:w="1457" w:type="dxa"/>
            <w:tcBorders>
              <w:top w:val="nil"/>
              <w:left w:val="nil"/>
              <w:bottom w:val="nil"/>
              <w:right w:val="nil"/>
            </w:tcBorders>
            <w:shd w:val="clear" w:color="auto" w:fill="auto"/>
            <w:vAlign w:val="bottom"/>
            <w:hideMark/>
          </w:tcPr>
          <w:p w14:paraId="5EA73433" w14:textId="77777777" w:rsidR="009D74ED" w:rsidRPr="00274898" w:rsidRDefault="009D74ED" w:rsidP="00274898">
            <w:pPr>
              <w:jc w:val="right"/>
              <w:rPr>
                <w:rFonts w:cs="Arial"/>
                <w:color w:val="000000"/>
                <w:sz w:val="22"/>
                <w:szCs w:val="22"/>
                <w:lang w:eastAsia="en-AU"/>
              </w:rPr>
            </w:pPr>
            <w:r w:rsidRPr="00274898">
              <w:rPr>
                <w:sz w:val="22"/>
                <w:szCs w:val="22"/>
              </w:rPr>
              <w:t>(3,020)</w:t>
            </w:r>
          </w:p>
        </w:tc>
      </w:tr>
      <w:tr w:rsidR="009D74ED" w:rsidRPr="00FA2B43" w14:paraId="5EA7343A" w14:textId="77777777" w:rsidTr="009D74ED">
        <w:trPr>
          <w:trHeight w:val="287"/>
        </w:trPr>
        <w:tc>
          <w:tcPr>
            <w:tcW w:w="4329" w:type="dxa"/>
            <w:tcBorders>
              <w:top w:val="nil"/>
              <w:left w:val="nil"/>
              <w:bottom w:val="nil"/>
              <w:right w:val="nil"/>
            </w:tcBorders>
            <w:shd w:val="clear" w:color="auto" w:fill="auto"/>
            <w:vAlign w:val="bottom"/>
            <w:hideMark/>
          </w:tcPr>
          <w:p w14:paraId="5EA73435"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Employee benefits expense</w:t>
            </w:r>
          </w:p>
        </w:tc>
        <w:tc>
          <w:tcPr>
            <w:tcW w:w="944" w:type="dxa"/>
            <w:tcBorders>
              <w:top w:val="nil"/>
              <w:left w:val="nil"/>
              <w:bottom w:val="nil"/>
              <w:right w:val="nil"/>
            </w:tcBorders>
            <w:shd w:val="clear" w:color="auto" w:fill="auto"/>
            <w:vAlign w:val="center"/>
            <w:hideMark/>
          </w:tcPr>
          <w:p w14:paraId="5EA73436" w14:textId="77777777" w:rsidR="009D74ED" w:rsidRPr="00FA2B43" w:rsidRDefault="009D74ED" w:rsidP="00FA2B43">
            <w:pPr>
              <w:jc w:val="center"/>
              <w:rPr>
                <w:rFonts w:cs="Arial"/>
                <w:color w:val="000000"/>
                <w:sz w:val="22"/>
                <w:szCs w:val="22"/>
                <w:lang w:eastAsia="en-AU"/>
              </w:rPr>
            </w:pPr>
            <w:r w:rsidRPr="00FA2B43">
              <w:rPr>
                <w:rFonts w:cs="Arial"/>
                <w:color w:val="000000"/>
                <w:sz w:val="22"/>
                <w:szCs w:val="22"/>
                <w:lang w:eastAsia="en-AU"/>
              </w:rPr>
              <w:t>6(b)</w:t>
            </w:r>
          </w:p>
        </w:tc>
        <w:tc>
          <w:tcPr>
            <w:tcW w:w="1867" w:type="dxa"/>
            <w:tcBorders>
              <w:top w:val="nil"/>
              <w:left w:val="nil"/>
              <w:bottom w:val="nil"/>
              <w:right w:val="nil"/>
            </w:tcBorders>
            <w:shd w:val="clear" w:color="000000" w:fill="BFBFBF" w:themeFill="background1" w:themeFillShade="BF"/>
            <w:vAlign w:val="bottom"/>
          </w:tcPr>
          <w:p w14:paraId="5EA73438" w14:textId="77777777" w:rsidR="009D74ED" w:rsidRPr="00FA2B43" w:rsidRDefault="009D74ED" w:rsidP="00FA2B43">
            <w:pPr>
              <w:jc w:val="right"/>
              <w:rPr>
                <w:rFonts w:cs="Arial"/>
                <w:color w:val="000000"/>
                <w:sz w:val="22"/>
                <w:szCs w:val="22"/>
                <w:lang w:eastAsia="en-AU"/>
              </w:rPr>
            </w:pPr>
            <w:r>
              <w:rPr>
                <w:rFonts w:cs="Arial"/>
                <w:color w:val="000000"/>
                <w:sz w:val="22"/>
                <w:szCs w:val="22"/>
                <w:lang w:eastAsia="en-AU"/>
              </w:rPr>
              <w:t>(51,597)</w:t>
            </w:r>
          </w:p>
        </w:tc>
        <w:tc>
          <w:tcPr>
            <w:tcW w:w="1457" w:type="dxa"/>
            <w:tcBorders>
              <w:top w:val="nil"/>
              <w:left w:val="nil"/>
              <w:bottom w:val="nil"/>
              <w:right w:val="nil"/>
            </w:tcBorders>
            <w:shd w:val="clear" w:color="auto" w:fill="auto"/>
            <w:vAlign w:val="bottom"/>
            <w:hideMark/>
          </w:tcPr>
          <w:p w14:paraId="5EA73439" w14:textId="77777777" w:rsidR="009D74ED" w:rsidRPr="00274898" w:rsidRDefault="009D74ED" w:rsidP="00274898">
            <w:pPr>
              <w:jc w:val="right"/>
              <w:rPr>
                <w:rFonts w:cs="Arial"/>
                <w:color w:val="000000"/>
                <w:sz w:val="22"/>
                <w:szCs w:val="22"/>
                <w:lang w:eastAsia="en-AU"/>
              </w:rPr>
            </w:pPr>
            <w:r w:rsidRPr="00274898">
              <w:rPr>
                <w:sz w:val="22"/>
                <w:szCs w:val="22"/>
              </w:rPr>
              <w:t>(51,663)</w:t>
            </w:r>
          </w:p>
        </w:tc>
      </w:tr>
      <w:tr w:rsidR="009D74ED" w:rsidRPr="00FA2B43" w14:paraId="5EA73440" w14:textId="77777777" w:rsidTr="009D74ED">
        <w:trPr>
          <w:trHeight w:val="287"/>
        </w:trPr>
        <w:tc>
          <w:tcPr>
            <w:tcW w:w="4329" w:type="dxa"/>
            <w:tcBorders>
              <w:top w:val="nil"/>
              <w:left w:val="nil"/>
              <w:bottom w:val="nil"/>
              <w:right w:val="nil"/>
            </w:tcBorders>
            <w:shd w:val="clear" w:color="auto" w:fill="auto"/>
            <w:vAlign w:val="bottom"/>
            <w:hideMark/>
          </w:tcPr>
          <w:p w14:paraId="5EA7343B"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Depreciation and amortisation expense</w:t>
            </w:r>
          </w:p>
        </w:tc>
        <w:tc>
          <w:tcPr>
            <w:tcW w:w="944" w:type="dxa"/>
            <w:tcBorders>
              <w:top w:val="nil"/>
              <w:left w:val="nil"/>
              <w:bottom w:val="nil"/>
              <w:right w:val="nil"/>
            </w:tcBorders>
            <w:shd w:val="clear" w:color="auto" w:fill="auto"/>
            <w:vAlign w:val="center"/>
            <w:hideMark/>
          </w:tcPr>
          <w:p w14:paraId="5EA7343C" w14:textId="77777777" w:rsidR="009D74ED" w:rsidRPr="00FA2B43" w:rsidRDefault="009D74ED" w:rsidP="00FA2B43">
            <w:pPr>
              <w:jc w:val="center"/>
              <w:rPr>
                <w:rFonts w:cs="Arial"/>
                <w:color w:val="000000"/>
                <w:sz w:val="22"/>
                <w:szCs w:val="22"/>
                <w:lang w:eastAsia="en-AU"/>
              </w:rPr>
            </w:pPr>
            <w:r w:rsidRPr="00FA2B43">
              <w:rPr>
                <w:rFonts w:cs="Arial"/>
                <w:color w:val="000000"/>
                <w:sz w:val="22"/>
                <w:szCs w:val="22"/>
                <w:lang w:eastAsia="en-AU"/>
              </w:rPr>
              <w:t>6(b)</w:t>
            </w:r>
          </w:p>
        </w:tc>
        <w:tc>
          <w:tcPr>
            <w:tcW w:w="1867" w:type="dxa"/>
            <w:tcBorders>
              <w:top w:val="nil"/>
              <w:left w:val="nil"/>
              <w:bottom w:val="nil"/>
              <w:right w:val="nil"/>
            </w:tcBorders>
            <w:shd w:val="clear" w:color="000000" w:fill="BFBFBF" w:themeFill="background1" w:themeFillShade="BF"/>
            <w:vAlign w:val="bottom"/>
          </w:tcPr>
          <w:p w14:paraId="5EA7343E" w14:textId="77777777" w:rsidR="009D74ED" w:rsidRPr="00FA2B43" w:rsidRDefault="009D74ED" w:rsidP="00FA2B43">
            <w:pPr>
              <w:jc w:val="right"/>
              <w:rPr>
                <w:rFonts w:cs="Arial"/>
                <w:color w:val="000000"/>
                <w:sz w:val="22"/>
                <w:szCs w:val="22"/>
                <w:lang w:eastAsia="en-AU"/>
              </w:rPr>
            </w:pPr>
            <w:r>
              <w:rPr>
                <w:rFonts w:cs="Arial"/>
                <w:color w:val="000000"/>
                <w:sz w:val="22"/>
                <w:szCs w:val="22"/>
                <w:lang w:eastAsia="en-AU"/>
              </w:rPr>
              <w:t>(3,763)</w:t>
            </w:r>
          </w:p>
        </w:tc>
        <w:tc>
          <w:tcPr>
            <w:tcW w:w="1457" w:type="dxa"/>
            <w:tcBorders>
              <w:top w:val="nil"/>
              <w:left w:val="nil"/>
              <w:bottom w:val="nil"/>
              <w:right w:val="nil"/>
            </w:tcBorders>
            <w:shd w:val="clear" w:color="auto" w:fill="auto"/>
            <w:vAlign w:val="bottom"/>
            <w:hideMark/>
          </w:tcPr>
          <w:p w14:paraId="5EA7343F" w14:textId="77777777" w:rsidR="009D74ED" w:rsidRPr="00274898" w:rsidRDefault="009D74ED" w:rsidP="00274898">
            <w:pPr>
              <w:jc w:val="right"/>
              <w:rPr>
                <w:rFonts w:cs="Arial"/>
                <w:color w:val="000000"/>
                <w:sz w:val="22"/>
                <w:szCs w:val="22"/>
                <w:lang w:eastAsia="en-AU"/>
              </w:rPr>
            </w:pPr>
            <w:r w:rsidRPr="00274898">
              <w:rPr>
                <w:sz w:val="22"/>
                <w:szCs w:val="22"/>
              </w:rPr>
              <w:t>(4,926)</w:t>
            </w:r>
          </w:p>
        </w:tc>
      </w:tr>
      <w:tr w:rsidR="009D74ED" w:rsidRPr="00FA2B43" w14:paraId="5EA73446" w14:textId="77777777" w:rsidTr="009D74ED">
        <w:trPr>
          <w:trHeight w:val="287"/>
        </w:trPr>
        <w:tc>
          <w:tcPr>
            <w:tcW w:w="4329" w:type="dxa"/>
            <w:tcBorders>
              <w:top w:val="nil"/>
              <w:left w:val="nil"/>
              <w:bottom w:val="nil"/>
              <w:right w:val="nil"/>
            </w:tcBorders>
            <w:shd w:val="clear" w:color="auto" w:fill="auto"/>
            <w:vAlign w:val="bottom"/>
            <w:hideMark/>
          </w:tcPr>
          <w:p w14:paraId="5EA73441"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Occupancy expense</w:t>
            </w:r>
          </w:p>
        </w:tc>
        <w:tc>
          <w:tcPr>
            <w:tcW w:w="944" w:type="dxa"/>
            <w:tcBorders>
              <w:top w:val="nil"/>
              <w:left w:val="nil"/>
              <w:bottom w:val="nil"/>
              <w:right w:val="nil"/>
            </w:tcBorders>
            <w:shd w:val="clear" w:color="auto" w:fill="auto"/>
            <w:vAlign w:val="center"/>
            <w:hideMark/>
          </w:tcPr>
          <w:p w14:paraId="5EA73442" w14:textId="07FD93E0" w:rsidR="009D74ED" w:rsidRPr="00FA2B43" w:rsidRDefault="009D74ED" w:rsidP="00FA2B43">
            <w:pPr>
              <w:jc w:val="center"/>
              <w:rPr>
                <w:rFonts w:cs="Arial"/>
                <w:color w:val="000000"/>
                <w:sz w:val="22"/>
                <w:szCs w:val="22"/>
                <w:lang w:eastAsia="en-AU"/>
              </w:rPr>
            </w:pPr>
            <w:r>
              <w:rPr>
                <w:rFonts w:cs="Arial"/>
                <w:color w:val="000000"/>
                <w:sz w:val="22"/>
                <w:szCs w:val="22"/>
                <w:lang w:eastAsia="en-AU"/>
              </w:rPr>
              <w:t>None</w:t>
            </w:r>
          </w:p>
        </w:tc>
        <w:tc>
          <w:tcPr>
            <w:tcW w:w="1867" w:type="dxa"/>
            <w:tcBorders>
              <w:top w:val="nil"/>
              <w:left w:val="nil"/>
              <w:bottom w:val="nil"/>
              <w:right w:val="nil"/>
            </w:tcBorders>
            <w:shd w:val="clear" w:color="000000" w:fill="BFBFBF" w:themeFill="background1" w:themeFillShade="BF"/>
            <w:vAlign w:val="bottom"/>
          </w:tcPr>
          <w:p w14:paraId="5EA73444" w14:textId="77777777" w:rsidR="009D74ED" w:rsidRPr="00FA2B43" w:rsidRDefault="009D74ED" w:rsidP="00FA2B43">
            <w:pPr>
              <w:jc w:val="right"/>
              <w:rPr>
                <w:rFonts w:cs="Arial"/>
                <w:color w:val="000000"/>
                <w:sz w:val="22"/>
                <w:szCs w:val="22"/>
                <w:lang w:eastAsia="en-AU"/>
              </w:rPr>
            </w:pPr>
            <w:r>
              <w:rPr>
                <w:rFonts w:cs="Arial"/>
                <w:color w:val="000000"/>
                <w:sz w:val="22"/>
                <w:szCs w:val="22"/>
                <w:lang w:eastAsia="en-AU"/>
              </w:rPr>
              <w:t>(4,980)</w:t>
            </w:r>
          </w:p>
        </w:tc>
        <w:tc>
          <w:tcPr>
            <w:tcW w:w="1457" w:type="dxa"/>
            <w:tcBorders>
              <w:top w:val="nil"/>
              <w:left w:val="nil"/>
              <w:bottom w:val="nil"/>
              <w:right w:val="nil"/>
            </w:tcBorders>
            <w:shd w:val="clear" w:color="auto" w:fill="auto"/>
            <w:vAlign w:val="bottom"/>
            <w:hideMark/>
          </w:tcPr>
          <w:p w14:paraId="5EA73445" w14:textId="77777777" w:rsidR="009D74ED" w:rsidRPr="00274898" w:rsidRDefault="009D74ED" w:rsidP="00274898">
            <w:pPr>
              <w:jc w:val="right"/>
              <w:rPr>
                <w:rFonts w:cs="Arial"/>
                <w:color w:val="000000"/>
                <w:sz w:val="22"/>
                <w:szCs w:val="22"/>
                <w:lang w:eastAsia="en-AU"/>
              </w:rPr>
            </w:pPr>
            <w:r w:rsidRPr="00274898">
              <w:rPr>
                <w:sz w:val="22"/>
                <w:szCs w:val="22"/>
              </w:rPr>
              <w:t>(4,797)</w:t>
            </w:r>
          </w:p>
        </w:tc>
      </w:tr>
      <w:tr w:rsidR="009D74ED" w:rsidRPr="00FA2B43" w14:paraId="5EA7344C" w14:textId="77777777" w:rsidTr="009D74ED">
        <w:trPr>
          <w:trHeight w:val="287"/>
        </w:trPr>
        <w:tc>
          <w:tcPr>
            <w:tcW w:w="4329" w:type="dxa"/>
            <w:tcBorders>
              <w:top w:val="nil"/>
              <w:left w:val="nil"/>
              <w:bottom w:val="nil"/>
              <w:right w:val="nil"/>
            </w:tcBorders>
            <w:shd w:val="clear" w:color="auto" w:fill="auto"/>
            <w:vAlign w:val="bottom"/>
            <w:hideMark/>
          </w:tcPr>
          <w:p w14:paraId="5EA73447"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Communications expense</w:t>
            </w:r>
          </w:p>
        </w:tc>
        <w:tc>
          <w:tcPr>
            <w:tcW w:w="944" w:type="dxa"/>
            <w:tcBorders>
              <w:top w:val="nil"/>
              <w:left w:val="nil"/>
              <w:bottom w:val="nil"/>
              <w:right w:val="nil"/>
            </w:tcBorders>
            <w:shd w:val="clear" w:color="auto" w:fill="auto"/>
            <w:vAlign w:val="center"/>
            <w:hideMark/>
          </w:tcPr>
          <w:p w14:paraId="5EA73448" w14:textId="261EA21D" w:rsidR="009D74ED" w:rsidRPr="00FA2B43" w:rsidRDefault="009D74ED" w:rsidP="00FA2B43">
            <w:pPr>
              <w:jc w:val="center"/>
              <w:rPr>
                <w:rFonts w:cs="Arial"/>
                <w:color w:val="000000"/>
                <w:sz w:val="22"/>
                <w:szCs w:val="22"/>
                <w:lang w:eastAsia="en-AU"/>
              </w:rPr>
            </w:pPr>
            <w:r>
              <w:rPr>
                <w:rFonts w:cs="Arial"/>
                <w:color w:val="000000"/>
                <w:sz w:val="22"/>
                <w:szCs w:val="22"/>
                <w:lang w:eastAsia="en-AU"/>
              </w:rPr>
              <w:t>None</w:t>
            </w:r>
          </w:p>
        </w:tc>
        <w:tc>
          <w:tcPr>
            <w:tcW w:w="1867" w:type="dxa"/>
            <w:tcBorders>
              <w:top w:val="nil"/>
              <w:left w:val="nil"/>
              <w:bottom w:val="nil"/>
              <w:right w:val="nil"/>
            </w:tcBorders>
            <w:shd w:val="clear" w:color="000000" w:fill="BFBFBF" w:themeFill="background1" w:themeFillShade="BF"/>
            <w:vAlign w:val="bottom"/>
          </w:tcPr>
          <w:p w14:paraId="5EA7344A" w14:textId="77777777" w:rsidR="009D74ED" w:rsidRPr="00FA2B43" w:rsidRDefault="009D74ED" w:rsidP="00FA2B43">
            <w:pPr>
              <w:jc w:val="right"/>
              <w:rPr>
                <w:rFonts w:cs="Arial"/>
                <w:color w:val="000000"/>
                <w:sz w:val="22"/>
                <w:szCs w:val="22"/>
                <w:lang w:eastAsia="en-AU"/>
              </w:rPr>
            </w:pPr>
            <w:r>
              <w:rPr>
                <w:rFonts w:cs="Arial"/>
                <w:color w:val="000000"/>
                <w:sz w:val="22"/>
                <w:szCs w:val="22"/>
                <w:lang w:eastAsia="en-AU"/>
              </w:rPr>
              <w:t>(1,431)</w:t>
            </w:r>
          </w:p>
        </w:tc>
        <w:tc>
          <w:tcPr>
            <w:tcW w:w="1457" w:type="dxa"/>
            <w:tcBorders>
              <w:top w:val="nil"/>
              <w:left w:val="nil"/>
              <w:bottom w:val="nil"/>
              <w:right w:val="nil"/>
            </w:tcBorders>
            <w:shd w:val="clear" w:color="auto" w:fill="auto"/>
            <w:vAlign w:val="bottom"/>
            <w:hideMark/>
          </w:tcPr>
          <w:p w14:paraId="5EA7344B" w14:textId="77777777" w:rsidR="009D74ED" w:rsidRPr="00274898" w:rsidRDefault="009D74ED" w:rsidP="00274898">
            <w:pPr>
              <w:jc w:val="right"/>
              <w:rPr>
                <w:rFonts w:cs="Arial"/>
                <w:color w:val="000000"/>
                <w:sz w:val="22"/>
                <w:szCs w:val="22"/>
                <w:lang w:eastAsia="en-AU"/>
              </w:rPr>
            </w:pPr>
            <w:r w:rsidRPr="00274898">
              <w:rPr>
                <w:sz w:val="22"/>
                <w:szCs w:val="22"/>
              </w:rPr>
              <w:t>(1,182)</w:t>
            </w:r>
          </w:p>
        </w:tc>
      </w:tr>
      <w:tr w:rsidR="009D74ED" w:rsidRPr="00FA2B43" w14:paraId="5EA73452" w14:textId="77777777" w:rsidTr="009D74ED">
        <w:trPr>
          <w:trHeight w:val="287"/>
        </w:trPr>
        <w:tc>
          <w:tcPr>
            <w:tcW w:w="4329" w:type="dxa"/>
            <w:tcBorders>
              <w:top w:val="nil"/>
              <w:left w:val="nil"/>
              <w:bottom w:val="nil"/>
              <w:right w:val="nil"/>
            </w:tcBorders>
            <w:shd w:val="clear" w:color="auto" w:fill="auto"/>
            <w:vAlign w:val="bottom"/>
            <w:hideMark/>
          </w:tcPr>
          <w:p w14:paraId="5EA7344D"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Transport expense</w:t>
            </w:r>
          </w:p>
        </w:tc>
        <w:tc>
          <w:tcPr>
            <w:tcW w:w="944" w:type="dxa"/>
            <w:tcBorders>
              <w:top w:val="nil"/>
              <w:left w:val="nil"/>
              <w:bottom w:val="nil"/>
              <w:right w:val="nil"/>
            </w:tcBorders>
            <w:shd w:val="clear" w:color="auto" w:fill="auto"/>
            <w:vAlign w:val="center"/>
            <w:hideMark/>
          </w:tcPr>
          <w:p w14:paraId="5EA7344E" w14:textId="003DECAF" w:rsidR="009D74ED" w:rsidRPr="00FA2B43" w:rsidRDefault="009D74ED" w:rsidP="00FA2B43">
            <w:pPr>
              <w:jc w:val="center"/>
              <w:rPr>
                <w:rFonts w:cs="Arial"/>
                <w:color w:val="000000"/>
                <w:sz w:val="22"/>
                <w:szCs w:val="22"/>
                <w:lang w:eastAsia="en-AU"/>
              </w:rPr>
            </w:pPr>
            <w:r>
              <w:rPr>
                <w:rFonts w:cs="Arial"/>
                <w:color w:val="000000"/>
                <w:sz w:val="22"/>
                <w:szCs w:val="22"/>
                <w:lang w:eastAsia="en-AU"/>
              </w:rPr>
              <w:t>None</w:t>
            </w:r>
          </w:p>
        </w:tc>
        <w:tc>
          <w:tcPr>
            <w:tcW w:w="1867" w:type="dxa"/>
            <w:tcBorders>
              <w:top w:val="nil"/>
              <w:left w:val="nil"/>
              <w:bottom w:val="nil"/>
              <w:right w:val="nil"/>
            </w:tcBorders>
            <w:shd w:val="clear" w:color="000000" w:fill="BFBFBF" w:themeFill="background1" w:themeFillShade="BF"/>
            <w:vAlign w:val="bottom"/>
          </w:tcPr>
          <w:p w14:paraId="5EA73450" w14:textId="77777777" w:rsidR="009D74ED" w:rsidRPr="00FA2B43" w:rsidRDefault="009D74ED" w:rsidP="00FA2B43">
            <w:pPr>
              <w:jc w:val="right"/>
              <w:rPr>
                <w:rFonts w:cs="Arial"/>
                <w:color w:val="000000"/>
                <w:sz w:val="22"/>
                <w:szCs w:val="22"/>
                <w:lang w:eastAsia="en-AU"/>
              </w:rPr>
            </w:pPr>
            <w:r>
              <w:rPr>
                <w:rFonts w:cs="Arial"/>
                <w:color w:val="000000"/>
                <w:sz w:val="22"/>
                <w:szCs w:val="22"/>
                <w:lang w:eastAsia="en-AU"/>
              </w:rPr>
              <w:t>(2,826)</w:t>
            </w:r>
          </w:p>
        </w:tc>
        <w:tc>
          <w:tcPr>
            <w:tcW w:w="1457" w:type="dxa"/>
            <w:tcBorders>
              <w:top w:val="nil"/>
              <w:left w:val="nil"/>
              <w:bottom w:val="nil"/>
              <w:right w:val="nil"/>
            </w:tcBorders>
            <w:shd w:val="clear" w:color="auto" w:fill="auto"/>
            <w:vAlign w:val="bottom"/>
            <w:hideMark/>
          </w:tcPr>
          <w:p w14:paraId="5EA73451" w14:textId="77777777" w:rsidR="009D74ED" w:rsidRPr="00274898" w:rsidRDefault="009D74ED" w:rsidP="00274898">
            <w:pPr>
              <w:jc w:val="right"/>
              <w:rPr>
                <w:rFonts w:cs="Arial"/>
                <w:color w:val="000000"/>
                <w:sz w:val="22"/>
                <w:szCs w:val="22"/>
                <w:lang w:eastAsia="en-AU"/>
              </w:rPr>
            </w:pPr>
            <w:r w:rsidRPr="00274898">
              <w:rPr>
                <w:sz w:val="22"/>
                <w:szCs w:val="22"/>
              </w:rPr>
              <w:t>(2,279)</w:t>
            </w:r>
          </w:p>
        </w:tc>
      </w:tr>
      <w:tr w:rsidR="009D74ED" w:rsidRPr="00FA2B43" w14:paraId="5EA73458" w14:textId="77777777" w:rsidTr="009D74ED">
        <w:trPr>
          <w:trHeight w:val="287"/>
        </w:trPr>
        <w:tc>
          <w:tcPr>
            <w:tcW w:w="4329" w:type="dxa"/>
            <w:tcBorders>
              <w:top w:val="nil"/>
              <w:left w:val="nil"/>
              <w:bottom w:val="nil"/>
              <w:right w:val="nil"/>
            </w:tcBorders>
            <w:shd w:val="clear" w:color="auto" w:fill="auto"/>
            <w:vAlign w:val="bottom"/>
            <w:hideMark/>
          </w:tcPr>
          <w:p w14:paraId="5EA73453"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Administration expense</w:t>
            </w:r>
          </w:p>
        </w:tc>
        <w:tc>
          <w:tcPr>
            <w:tcW w:w="944" w:type="dxa"/>
            <w:tcBorders>
              <w:top w:val="nil"/>
              <w:left w:val="nil"/>
              <w:bottom w:val="nil"/>
              <w:right w:val="nil"/>
            </w:tcBorders>
            <w:shd w:val="clear" w:color="auto" w:fill="auto"/>
            <w:vAlign w:val="center"/>
            <w:hideMark/>
          </w:tcPr>
          <w:p w14:paraId="5EA73454" w14:textId="62ADA740" w:rsidR="009D74ED" w:rsidRPr="00FA2B43" w:rsidRDefault="009D74ED" w:rsidP="00FA2B43">
            <w:pPr>
              <w:jc w:val="center"/>
              <w:rPr>
                <w:rFonts w:cs="Arial"/>
                <w:color w:val="000000"/>
                <w:sz w:val="22"/>
                <w:szCs w:val="22"/>
                <w:lang w:eastAsia="en-AU"/>
              </w:rPr>
            </w:pPr>
            <w:r>
              <w:rPr>
                <w:rFonts w:cs="Arial"/>
                <w:color w:val="000000"/>
                <w:sz w:val="22"/>
                <w:szCs w:val="22"/>
                <w:lang w:eastAsia="en-AU"/>
              </w:rPr>
              <w:t>None</w:t>
            </w:r>
          </w:p>
        </w:tc>
        <w:tc>
          <w:tcPr>
            <w:tcW w:w="1867" w:type="dxa"/>
            <w:tcBorders>
              <w:top w:val="nil"/>
              <w:left w:val="nil"/>
              <w:bottom w:val="nil"/>
              <w:right w:val="nil"/>
            </w:tcBorders>
            <w:shd w:val="clear" w:color="000000" w:fill="BFBFBF" w:themeFill="background1" w:themeFillShade="BF"/>
            <w:vAlign w:val="bottom"/>
          </w:tcPr>
          <w:p w14:paraId="5EA73456" w14:textId="77777777" w:rsidR="009D74ED" w:rsidRPr="00FA2B43" w:rsidRDefault="009D74ED" w:rsidP="00FA2B43">
            <w:pPr>
              <w:jc w:val="right"/>
              <w:rPr>
                <w:rFonts w:cs="Arial"/>
                <w:color w:val="000000"/>
                <w:sz w:val="22"/>
                <w:szCs w:val="22"/>
                <w:lang w:eastAsia="en-AU"/>
              </w:rPr>
            </w:pPr>
            <w:r>
              <w:rPr>
                <w:rFonts w:cs="Arial"/>
                <w:color w:val="000000"/>
                <w:sz w:val="22"/>
                <w:szCs w:val="22"/>
                <w:lang w:eastAsia="en-AU"/>
              </w:rPr>
              <w:t>(1,482)</w:t>
            </w:r>
          </w:p>
        </w:tc>
        <w:tc>
          <w:tcPr>
            <w:tcW w:w="1457" w:type="dxa"/>
            <w:tcBorders>
              <w:top w:val="nil"/>
              <w:left w:val="nil"/>
              <w:bottom w:val="nil"/>
              <w:right w:val="nil"/>
            </w:tcBorders>
            <w:shd w:val="clear" w:color="auto" w:fill="auto"/>
            <w:vAlign w:val="bottom"/>
            <w:hideMark/>
          </w:tcPr>
          <w:p w14:paraId="5EA73457" w14:textId="77777777" w:rsidR="009D74ED" w:rsidRPr="00274898" w:rsidRDefault="009D74ED" w:rsidP="00274898">
            <w:pPr>
              <w:jc w:val="right"/>
              <w:rPr>
                <w:rFonts w:cs="Arial"/>
                <w:color w:val="000000"/>
                <w:sz w:val="22"/>
                <w:szCs w:val="22"/>
                <w:lang w:eastAsia="en-AU"/>
              </w:rPr>
            </w:pPr>
            <w:r w:rsidRPr="00274898">
              <w:rPr>
                <w:sz w:val="22"/>
                <w:szCs w:val="22"/>
              </w:rPr>
              <w:t>(1,724)</w:t>
            </w:r>
          </w:p>
        </w:tc>
      </w:tr>
      <w:tr w:rsidR="009D74ED" w:rsidRPr="00FA2B43" w14:paraId="5EA7345E" w14:textId="77777777" w:rsidTr="009D74ED">
        <w:trPr>
          <w:trHeight w:val="287"/>
        </w:trPr>
        <w:tc>
          <w:tcPr>
            <w:tcW w:w="4329" w:type="dxa"/>
            <w:tcBorders>
              <w:top w:val="nil"/>
              <w:left w:val="nil"/>
              <w:bottom w:val="nil"/>
              <w:right w:val="nil"/>
            </w:tcBorders>
            <w:shd w:val="clear" w:color="auto" w:fill="auto"/>
            <w:vAlign w:val="bottom"/>
            <w:hideMark/>
          </w:tcPr>
          <w:p w14:paraId="5EA73459"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Finance costs</w:t>
            </w:r>
          </w:p>
        </w:tc>
        <w:tc>
          <w:tcPr>
            <w:tcW w:w="944" w:type="dxa"/>
            <w:tcBorders>
              <w:top w:val="nil"/>
              <w:left w:val="nil"/>
              <w:bottom w:val="nil"/>
              <w:right w:val="nil"/>
            </w:tcBorders>
            <w:shd w:val="clear" w:color="auto" w:fill="auto"/>
            <w:vAlign w:val="center"/>
            <w:hideMark/>
          </w:tcPr>
          <w:p w14:paraId="5EA7345A" w14:textId="77777777" w:rsidR="009D74ED" w:rsidRPr="00FA2B43" w:rsidRDefault="009D74ED" w:rsidP="00FA2B43">
            <w:pPr>
              <w:jc w:val="center"/>
              <w:rPr>
                <w:rFonts w:cs="Arial"/>
                <w:color w:val="000000"/>
                <w:sz w:val="22"/>
                <w:szCs w:val="22"/>
                <w:lang w:eastAsia="en-AU"/>
              </w:rPr>
            </w:pPr>
            <w:r w:rsidRPr="00FA2B43">
              <w:rPr>
                <w:rFonts w:cs="Arial"/>
                <w:color w:val="000000"/>
                <w:sz w:val="22"/>
                <w:szCs w:val="22"/>
                <w:lang w:eastAsia="en-AU"/>
              </w:rPr>
              <w:t>6(b)</w:t>
            </w:r>
          </w:p>
        </w:tc>
        <w:tc>
          <w:tcPr>
            <w:tcW w:w="1867" w:type="dxa"/>
            <w:tcBorders>
              <w:top w:val="nil"/>
              <w:left w:val="nil"/>
              <w:bottom w:val="nil"/>
              <w:right w:val="nil"/>
            </w:tcBorders>
            <w:shd w:val="clear" w:color="000000" w:fill="BFBFBF" w:themeFill="background1" w:themeFillShade="BF"/>
            <w:vAlign w:val="bottom"/>
          </w:tcPr>
          <w:p w14:paraId="5EA7345C" w14:textId="77777777" w:rsidR="009D74ED" w:rsidRPr="00FA2B43" w:rsidRDefault="009D74ED" w:rsidP="00FA2B43">
            <w:pPr>
              <w:jc w:val="right"/>
              <w:rPr>
                <w:rFonts w:cs="Arial"/>
                <w:color w:val="000000"/>
                <w:sz w:val="22"/>
                <w:szCs w:val="22"/>
                <w:lang w:eastAsia="en-AU"/>
              </w:rPr>
            </w:pPr>
            <w:r>
              <w:rPr>
                <w:rFonts w:cs="Arial"/>
                <w:color w:val="000000"/>
                <w:sz w:val="22"/>
                <w:szCs w:val="22"/>
                <w:lang w:eastAsia="en-AU"/>
              </w:rPr>
              <w:t>(284)</w:t>
            </w:r>
          </w:p>
        </w:tc>
        <w:tc>
          <w:tcPr>
            <w:tcW w:w="1457" w:type="dxa"/>
            <w:tcBorders>
              <w:top w:val="nil"/>
              <w:left w:val="nil"/>
              <w:bottom w:val="nil"/>
              <w:right w:val="nil"/>
            </w:tcBorders>
            <w:shd w:val="clear" w:color="auto" w:fill="auto"/>
            <w:vAlign w:val="bottom"/>
            <w:hideMark/>
          </w:tcPr>
          <w:p w14:paraId="5EA7345D" w14:textId="77777777" w:rsidR="009D74ED" w:rsidRPr="00274898" w:rsidRDefault="009D74ED" w:rsidP="00274898">
            <w:pPr>
              <w:jc w:val="right"/>
              <w:rPr>
                <w:rFonts w:cs="Arial"/>
                <w:color w:val="000000"/>
                <w:sz w:val="22"/>
                <w:szCs w:val="22"/>
                <w:lang w:eastAsia="en-AU"/>
              </w:rPr>
            </w:pPr>
            <w:r w:rsidRPr="00274898">
              <w:rPr>
                <w:sz w:val="22"/>
                <w:szCs w:val="22"/>
              </w:rPr>
              <w:t>(217)</w:t>
            </w:r>
          </w:p>
        </w:tc>
      </w:tr>
      <w:tr w:rsidR="009D74ED" w:rsidRPr="00FA2B43" w14:paraId="5EA73464" w14:textId="77777777" w:rsidTr="009D74ED">
        <w:trPr>
          <w:trHeight w:val="287"/>
        </w:trPr>
        <w:tc>
          <w:tcPr>
            <w:tcW w:w="4329" w:type="dxa"/>
            <w:tcBorders>
              <w:top w:val="nil"/>
              <w:left w:val="nil"/>
              <w:bottom w:val="nil"/>
              <w:right w:val="nil"/>
            </w:tcBorders>
            <w:shd w:val="clear" w:color="auto" w:fill="auto"/>
            <w:vAlign w:val="bottom"/>
            <w:hideMark/>
          </w:tcPr>
          <w:p w14:paraId="5EA7345F"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 xml:space="preserve">Other expenses </w:t>
            </w:r>
          </w:p>
        </w:tc>
        <w:tc>
          <w:tcPr>
            <w:tcW w:w="944" w:type="dxa"/>
            <w:tcBorders>
              <w:top w:val="nil"/>
              <w:left w:val="nil"/>
              <w:bottom w:val="nil"/>
              <w:right w:val="nil"/>
            </w:tcBorders>
            <w:shd w:val="clear" w:color="auto" w:fill="auto"/>
            <w:vAlign w:val="center"/>
            <w:hideMark/>
          </w:tcPr>
          <w:p w14:paraId="5EA73460" w14:textId="77777777" w:rsidR="009D74ED" w:rsidRPr="00FA2B43" w:rsidRDefault="009D74ED" w:rsidP="00FA2B43">
            <w:pPr>
              <w:jc w:val="center"/>
              <w:rPr>
                <w:rFonts w:cs="Arial"/>
                <w:color w:val="000000"/>
                <w:sz w:val="22"/>
                <w:szCs w:val="22"/>
                <w:lang w:eastAsia="en-AU"/>
              </w:rPr>
            </w:pPr>
            <w:r w:rsidRPr="00FA2B43">
              <w:rPr>
                <w:rFonts w:cs="Arial"/>
                <w:color w:val="000000"/>
                <w:sz w:val="22"/>
                <w:szCs w:val="22"/>
                <w:lang w:eastAsia="en-AU"/>
              </w:rPr>
              <w:t>6(b)</w:t>
            </w:r>
          </w:p>
        </w:tc>
        <w:tc>
          <w:tcPr>
            <w:tcW w:w="1867" w:type="dxa"/>
            <w:tcBorders>
              <w:top w:val="nil"/>
              <w:left w:val="nil"/>
              <w:bottom w:val="single" w:sz="4" w:space="0" w:color="auto"/>
              <w:right w:val="nil"/>
            </w:tcBorders>
            <w:shd w:val="clear" w:color="000000" w:fill="BFBFBF" w:themeFill="background1" w:themeFillShade="BF"/>
            <w:vAlign w:val="bottom"/>
          </w:tcPr>
          <w:p w14:paraId="5EA73462" w14:textId="77777777" w:rsidR="009D74ED" w:rsidRPr="00FA2B43" w:rsidRDefault="009D74ED" w:rsidP="00FA2B43">
            <w:pPr>
              <w:jc w:val="right"/>
              <w:rPr>
                <w:rFonts w:cs="Arial"/>
                <w:color w:val="000000"/>
                <w:sz w:val="22"/>
                <w:szCs w:val="22"/>
                <w:lang w:eastAsia="en-AU"/>
              </w:rPr>
            </w:pPr>
            <w:r>
              <w:rPr>
                <w:rFonts w:cs="Arial"/>
                <w:color w:val="000000"/>
                <w:sz w:val="22"/>
                <w:szCs w:val="22"/>
                <w:lang w:eastAsia="en-AU"/>
              </w:rPr>
              <w:t>(14,355)</w:t>
            </w:r>
          </w:p>
        </w:tc>
        <w:tc>
          <w:tcPr>
            <w:tcW w:w="1457" w:type="dxa"/>
            <w:tcBorders>
              <w:top w:val="nil"/>
              <w:left w:val="nil"/>
              <w:bottom w:val="single" w:sz="4" w:space="0" w:color="auto"/>
              <w:right w:val="nil"/>
            </w:tcBorders>
            <w:shd w:val="clear" w:color="auto" w:fill="auto"/>
            <w:vAlign w:val="bottom"/>
            <w:hideMark/>
          </w:tcPr>
          <w:p w14:paraId="5EA73463" w14:textId="77777777" w:rsidR="009D74ED" w:rsidRPr="00274898" w:rsidRDefault="009D74ED" w:rsidP="00274898">
            <w:pPr>
              <w:jc w:val="right"/>
              <w:rPr>
                <w:rFonts w:cs="Arial"/>
                <w:color w:val="000000"/>
                <w:sz w:val="22"/>
                <w:szCs w:val="22"/>
                <w:lang w:eastAsia="en-AU"/>
              </w:rPr>
            </w:pPr>
            <w:r w:rsidRPr="00274898">
              <w:rPr>
                <w:sz w:val="22"/>
                <w:szCs w:val="22"/>
              </w:rPr>
              <w:t>(13,997)</w:t>
            </w:r>
          </w:p>
        </w:tc>
      </w:tr>
      <w:tr w:rsidR="009D74ED" w:rsidRPr="00FA2B43" w14:paraId="5EA7346A" w14:textId="77777777" w:rsidTr="009D74ED">
        <w:trPr>
          <w:trHeight w:val="287"/>
        </w:trPr>
        <w:tc>
          <w:tcPr>
            <w:tcW w:w="4329" w:type="dxa"/>
            <w:tcBorders>
              <w:top w:val="nil"/>
              <w:left w:val="nil"/>
              <w:bottom w:val="nil"/>
              <w:right w:val="nil"/>
            </w:tcBorders>
            <w:shd w:val="clear" w:color="auto" w:fill="auto"/>
            <w:vAlign w:val="bottom"/>
            <w:hideMark/>
          </w:tcPr>
          <w:p w14:paraId="5EA73465" w14:textId="145B1329" w:rsidR="009D74ED" w:rsidRPr="00FA2B43" w:rsidRDefault="009D74ED" w:rsidP="00FA2B43">
            <w:pPr>
              <w:rPr>
                <w:rFonts w:cs="Arial"/>
                <w:color w:val="000000"/>
                <w:sz w:val="22"/>
                <w:szCs w:val="22"/>
                <w:lang w:eastAsia="en-AU"/>
              </w:rPr>
            </w:pPr>
            <w:r>
              <w:rPr>
                <w:rFonts w:cs="Arial"/>
                <w:color w:val="000000"/>
                <w:sz w:val="22"/>
                <w:szCs w:val="22"/>
                <w:lang w:eastAsia="en-AU"/>
              </w:rPr>
              <w:t>Total</w:t>
            </w:r>
          </w:p>
        </w:tc>
        <w:tc>
          <w:tcPr>
            <w:tcW w:w="944" w:type="dxa"/>
            <w:tcBorders>
              <w:top w:val="nil"/>
              <w:left w:val="nil"/>
              <w:bottom w:val="nil"/>
              <w:right w:val="nil"/>
            </w:tcBorders>
            <w:shd w:val="clear" w:color="auto" w:fill="auto"/>
            <w:vAlign w:val="center"/>
            <w:hideMark/>
          </w:tcPr>
          <w:p w14:paraId="5EA73466" w14:textId="53E8B670" w:rsidR="009D74ED" w:rsidRPr="00FA2B43" w:rsidRDefault="009D74ED" w:rsidP="00FA2B43">
            <w:pPr>
              <w:jc w:val="center"/>
              <w:rPr>
                <w:rFonts w:cs="Arial"/>
                <w:b/>
                <w:bCs/>
                <w:color w:val="000000"/>
                <w:sz w:val="22"/>
                <w:szCs w:val="22"/>
                <w:lang w:eastAsia="en-AU"/>
              </w:rPr>
            </w:pPr>
            <w:r>
              <w:rPr>
                <w:rFonts w:cs="Arial"/>
                <w:b/>
                <w:bCs/>
                <w:color w:val="000000"/>
                <w:sz w:val="22"/>
                <w:szCs w:val="22"/>
                <w:lang w:eastAsia="en-AU"/>
              </w:rPr>
              <w:t>None</w:t>
            </w:r>
          </w:p>
        </w:tc>
        <w:tc>
          <w:tcPr>
            <w:tcW w:w="1867" w:type="dxa"/>
            <w:tcBorders>
              <w:top w:val="nil"/>
              <w:left w:val="nil"/>
              <w:bottom w:val="nil"/>
              <w:right w:val="nil"/>
            </w:tcBorders>
            <w:shd w:val="clear" w:color="000000" w:fill="BFBFBF" w:themeFill="background1" w:themeFillShade="BF"/>
            <w:vAlign w:val="bottom"/>
          </w:tcPr>
          <w:p w14:paraId="5EA73468" w14:textId="77777777" w:rsidR="009D74ED" w:rsidRPr="00FA2B43" w:rsidRDefault="009D74ED" w:rsidP="00EF66A7">
            <w:pPr>
              <w:jc w:val="right"/>
              <w:rPr>
                <w:rFonts w:cs="Arial"/>
                <w:b/>
                <w:bCs/>
                <w:color w:val="000000"/>
                <w:sz w:val="22"/>
                <w:szCs w:val="22"/>
                <w:lang w:eastAsia="en-AU"/>
              </w:rPr>
            </w:pPr>
            <w:r>
              <w:rPr>
                <w:rFonts w:cs="Arial"/>
                <w:b/>
                <w:bCs/>
                <w:color w:val="000000"/>
                <w:sz w:val="22"/>
                <w:szCs w:val="22"/>
                <w:lang w:eastAsia="en-AU"/>
              </w:rPr>
              <w:t>6,511</w:t>
            </w:r>
          </w:p>
        </w:tc>
        <w:tc>
          <w:tcPr>
            <w:tcW w:w="1457" w:type="dxa"/>
            <w:tcBorders>
              <w:top w:val="nil"/>
              <w:left w:val="nil"/>
              <w:bottom w:val="nil"/>
              <w:right w:val="nil"/>
            </w:tcBorders>
            <w:shd w:val="clear" w:color="auto" w:fill="auto"/>
            <w:vAlign w:val="bottom"/>
            <w:hideMark/>
          </w:tcPr>
          <w:p w14:paraId="5EA73469" w14:textId="77777777" w:rsidR="009D74ED" w:rsidRPr="00274898" w:rsidRDefault="009D74ED" w:rsidP="00274898">
            <w:pPr>
              <w:jc w:val="right"/>
              <w:rPr>
                <w:rFonts w:cs="Arial"/>
                <w:b/>
                <w:bCs/>
                <w:color w:val="000000"/>
                <w:sz w:val="22"/>
                <w:szCs w:val="22"/>
                <w:lang w:eastAsia="en-AU"/>
              </w:rPr>
            </w:pPr>
            <w:r w:rsidRPr="00274898">
              <w:rPr>
                <w:b/>
                <w:sz w:val="22"/>
                <w:szCs w:val="22"/>
              </w:rPr>
              <w:t>3,957</w:t>
            </w:r>
          </w:p>
        </w:tc>
      </w:tr>
    </w:tbl>
    <w:p w14:paraId="11160218" w14:textId="77777777" w:rsidR="009D74ED" w:rsidRDefault="009D74ED"/>
    <w:tbl>
      <w:tblPr>
        <w:tblW w:w="8597" w:type="dxa"/>
        <w:tblInd w:w="108" w:type="dxa"/>
        <w:tblLook w:val="04A0" w:firstRow="1" w:lastRow="0" w:firstColumn="1" w:lastColumn="0" w:noHBand="0" w:noVBand="1"/>
      </w:tblPr>
      <w:tblGrid>
        <w:gridCol w:w="4329"/>
        <w:gridCol w:w="944"/>
        <w:gridCol w:w="1867"/>
        <w:gridCol w:w="1457"/>
      </w:tblGrid>
      <w:tr w:rsidR="009D74ED" w:rsidRPr="00FA2B43" w14:paraId="7ADD5285" w14:textId="77777777" w:rsidTr="009D74ED">
        <w:trPr>
          <w:trHeight w:val="287"/>
          <w:tblHeader/>
        </w:trPr>
        <w:tc>
          <w:tcPr>
            <w:tcW w:w="4329" w:type="dxa"/>
            <w:tcBorders>
              <w:top w:val="nil"/>
              <w:left w:val="nil"/>
              <w:bottom w:val="nil"/>
              <w:right w:val="nil"/>
            </w:tcBorders>
            <w:shd w:val="clear" w:color="auto" w:fill="auto"/>
            <w:vAlign w:val="center"/>
            <w:hideMark/>
          </w:tcPr>
          <w:p w14:paraId="063D7169" w14:textId="77777777" w:rsidR="009D74ED" w:rsidRPr="00FA2B43" w:rsidRDefault="009D74ED" w:rsidP="00C443A5">
            <w:pPr>
              <w:rPr>
                <w:rFonts w:cs="Arial"/>
                <w:color w:val="000000"/>
                <w:sz w:val="22"/>
                <w:szCs w:val="22"/>
                <w:lang w:eastAsia="en-AU"/>
              </w:rPr>
            </w:pPr>
            <w:bookmarkStart w:id="123" w:name="Table_6"/>
            <w:bookmarkEnd w:id="123"/>
          </w:p>
        </w:tc>
        <w:tc>
          <w:tcPr>
            <w:tcW w:w="944" w:type="dxa"/>
            <w:tcBorders>
              <w:top w:val="single" w:sz="4" w:space="0" w:color="auto"/>
              <w:left w:val="nil"/>
              <w:bottom w:val="single" w:sz="8" w:space="0" w:color="000000"/>
              <w:right w:val="nil"/>
            </w:tcBorders>
            <w:shd w:val="clear" w:color="auto" w:fill="auto"/>
            <w:vAlign w:val="center"/>
            <w:hideMark/>
          </w:tcPr>
          <w:p w14:paraId="7E348276" w14:textId="77777777" w:rsidR="009D74ED" w:rsidRPr="00FA2B43" w:rsidRDefault="009D74ED" w:rsidP="00C443A5">
            <w:pPr>
              <w:jc w:val="center"/>
              <w:rPr>
                <w:rFonts w:cs="Arial"/>
                <w:color w:val="000000"/>
                <w:sz w:val="22"/>
                <w:szCs w:val="22"/>
                <w:lang w:eastAsia="en-AU"/>
              </w:rPr>
            </w:pPr>
            <w:r>
              <w:rPr>
                <w:rFonts w:cs="Arial"/>
                <w:color w:val="000000"/>
                <w:sz w:val="22"/>
                <w:szCs w:val="22"/>
                <w:lang w:eastAsia="en-AU"/>
              </w:rPr>
              <w:t>NOTE</w:t>
            </w:r>
          </w:p>
        </w:tc>
        <w:tc>
          <w:tcPr>
            <w:tcW w:w="1867" w:type="dxa"/>
            <w:tcBorders>
              <w:top w:val="single" w:sz="4" w:space="0" w:color="auto"/>
              <w:left w:val="nil"/>
              <w:bottom w:val="single" w:sz="4" w:space="0" w:color="auto"/>
              <w:right w:val="nil"/>
            </w:tcBorders>
            <w:shd w:val="clear" w:color="000000" w:fill="BFBFBF" w:themeFill="background1" w:themeFillShade="BF"/>
            <w:vAlign w:val="center"/>
            <w:hideMark/>
          </w:tcPr>
          <w:p w14:paraId="3F7DE759" w14:textId="77777777" w:rsidR="009D74ED" w:rsidRPr="006C0CC6" w:rsidRDefault="009D74ED" w:rsidP="00C443A5">
            <w:pPr>
              <w:jc w:val="right"/>
              <w:rPr>
                <w:rFonts w:cs="Arial"/>
                <w:b/>
                <w:color w:val="000000"/>
                <w:sz w:val="22"/>
                <w:szCs w:val="22"/>
                <w:lang w:eastAsia="en-AU"/>
              </w:rPr>
            </w:pPr>
            <w:r w:rsidRPr="006C0CC6">
              <w:rPr>
                <w:rFonts w:cs="Arial"/>
                <w:b/>
                <w:color w:val="000000"/>
                <w:sz w:val="22"/>
                <w:szCs w:val="22"/>
                <w:lang w:eastAsia="en-AU"/>
              </w:rPr>
              <w:t>2015</w:t>
            </w:r>
          </w:p>
        </w:tc>
        <w:tc>
          <w:tcPr>
            <w:tcW w:w="1457" w:type="dxa"/>
            <w:tcBorders>
              <w:top w:val="single" w:sz="4" w:space="0" w:color="auto"/>
              <w:left w:val="nil"/>
              <w:bottom w:val="single" w:sz="4" w:space="0" w:color="auto"/>
              <w:right w:val="nil"/>
            </w:tcBorders>
            <w:shd w:val="clear" w:color="auto" w:fill="auto"/>
            <w:vAlign w:val="center"/>
            <w:hideMark/>
          </w:tcPr>
          <w:p w14:paraId="5C210C2F" w14:textId="77777777" w:rsidR="009D74ED" w:rsidRPr="00FA2B43" w:rsidRDefault="009D74ED" w:rsidP="00C443A5">
            <w:pPr>
              <w:jc w:val="right"/>
              <w:rPr>
                <w:rFonts w:cs="Arial"/>
                <w:color w:val="000000"/>
                <w:sz w:val="22"/>
                <w:szCs w:val="22"/>
                <w:lang w:eastAsia="en-AU"/>
              </w:rPr>
            </w:pPr>
            <w:r w:rsidRPr="00FA2B43">
              <w:rPr>
                <w:rFonts w:cs="Arial"/>
                <w:color w:val="000000"/>
                <w:sz w:val="22"/>
                <w:szCs w:val="22"/>
                <w:lang w:eastAsia="en-AU"/>
              </w:rPr>
              <w:t>201</w:t>
            </w:r>
            <w:r>
              <w:rPr>
                <w:rFonts w:cs="Arial"/>
                <w:color w:val="000000"/>
                <w:sz w:val="22"/>
                <w:szCs w:val="22"/>
                <w:lang w:eastAsia="en-AU"/>
              </w:rPr>
              <w:t>4</w:t>
            </w:r>
          </w:p>
        </w:tc>
      </w:tr>
      <w:tr w:rsidR="009D74ED" w:rsidRPr="00FA2B43" w14:paraId="5EA73472" w14:textId="77777777" w:rsidTr="009D74ED">
        <w:trPr>
          <w:trHeight w:val="517"/>
        </w:trPr>
        <w:tc>
          <w:tcPr>
            <w:tcW w:w="4329" w:type="dxa"/>
            <w:tcBorders>
              <w:top w:val="nil"/>
              <w:left w:val="nil"/>
              <w:bottom w:val="nil"/>
              <w:right w:val="nil"/>
            </w:tcBorders>
            <w:shd w:val="clear" w:color="auto" w:fill="auto"/>
            <w:vAlign w:val="bottom"/>
            <w:hideMark/>
          </w:tcPr>
          <w:p w14:paraId="5EA7346C" w14:textId="77777777" w:rsidR="009D74ED" w:rsidRPr="00FA2B43" w:rsidRDefault="009D74ED" w:rsidP="00574AF6">
            <w:pPr>
              <w:rPr>
                <w:rFonts w:cs="Arial"/>
                <w:color w:val="000000"/>
                <w:sz w:val="22"/>
                <w:szCs w:val="22"/>
                <w:lang w:eastAsia="en-AU"/>
              </w:rPr>
            </w:pPr>
            <w:r>
              <w:rPr>
                <w:rFonts w:cs="Arial"/>
                <w:color w:val="000000"/>
                <w:sz w:val="22"/>
                <w:szCs w:val="22"/>
                <w:lang w:eastAsia="en-AU"/>
              </w:rPr>
              <w:t>Net g</w:t>
            </w:r>
            <w:r w:rsidRPr="00FA2B43">
              <w:rPr>
                <w:rFonts w:cs="Arial"/>
                <w:color w:val="000000"/>
                <w:sz w:val="22"/>
                <w:szCs w:val="22"/>
                <w:lang w:eastAsia="en-AU"/>
              </w:rPr>
              <w:t xml:space="preserve">ain on disposal of assets </w:t>
            </w:r>
          </w:p>
        </w:tc>
        <w:tc>
          <w:tcPr>
            <w:tcW w:w="944" w:type="dxa"/>
            <w:tcBorders>
              <w:top w:val="nil"/>
              <w:left w:val="nil"/>
              <w:bottom w:val="nil"/>
              <w:right w:val="nil"/>
            </w:tcBorders>
            <w:shd w:val="clear" w:color="auto" w:fill="auto"/>
            <w:vAlign w:val="bottom"/>
            <w:hideMark/>
          </w:tcPr>
          <w:p w14:paraId="5EA7346E" w14:textId="23C2E338" w:rsidR="009D74ED" w:rsidRPr="00FA2B43" w:rsidRDefault="009D74ED" w:rsidP="009D74ED">
            <w:pPr>
              <w:jc w:val="center"/>
              <w:rPr>
                <w:rFonts w:cs="Arial"/>
                <w:color w:val="000000"/>
                <w:sz w:val="22"/>
                <w:szCs w:val="22"/>
                <w:lang w:eastAsia="en-AU"/>
              </w:rPr>
            </w:pPr>
            <w:r w:rsidRPr="00FA2B43">
              <w:rPr>
                <w:rFonts w:cs="Arial"/>
                <w:color w:val="000000"/>
                <w:sz w:val="22"/>
                <w:szCs w:val="22"/>
                <w:lang w:eastAsia="en-AU"/>
              </w:rPr>
              <w:t>6(a)</w:t>
            </w:r>
          </w:p>
        </w:tc>
        <w:tc>
          <w:tcPr>
            <w:tcW w:w="1867" w:type="dxa"/>
            <w:tcBorders>
              <w:top w:val="single" w:sz="4" w:space="0" w:color="auto"/>
              <w:left w:val="nil"/>
              <w:bottom w:val="nil"/>
              <w:right w:val="nil"/>
            </w:tcBorders>
            <w:shd w:val="clear" w:color="000000" w:fill="BFBFBF" w:themeFill="background1" w:themeFillShade="BF"/>
            <w:vAlign w:val="bottom"/>
          </w:tcPr>
          <w:p w14:paraId="5EA73470" w14:textId="77777777" w:rsidR="009D74ED" w:rsidRPr="00FA2B43" w:rsidRDefault="009D74ED" w:rsidP="009D74ED">
            <w:pPr>
              <w:jc w:val="right"/>
              <w:rPr>
                <w:rFonts w:cs="Arial"/>
                <w:color w:val="000000"/>
                <w:sz w:val="22"/>
                <w:szCs w:val="22"/>
                <w:lang w:eastAsia="en-AU"/>
              </w:rPr>
            </w:pPr>
            <w:r>
              <w:rPr>
                <w:rFonts w:cs="Arial"/>
                <w:color w:val="000000"/>
                <w:sz w:val="22"/>
                <w:szCs w:val="22"/>
                <w:lang w:eastAsia="en-AU"/>
              </w:rPr>
              <w:t>6,234</w:t>
            </w:r>
          </w:p>
        </w:tc>
        <w:tc>
          <w:tcPr>
            <w:tcW w:w="1457" w:type="dxa"/>
            <w:tcBorders>
              <w:top w:val="single" w:sz="4" w:space="0" w:color="auto"/>
              <w:left w:val="nil"/>
              <w:bottom w:val="nil"/>
              <w:right w:val="nil"/>
            </w:tcBorders>
            <w:shd w:val="clear" w:color="auto" w:fill="auto"/>
            <w:vAlign w:val="bottom"/>
            <w:hideMark/>
          </w:tcPr>
          <w:p w14:paraId="5EA73471" w14:textId="77777777" w:rsidR="009D74ED" w:rsidRPr="00274898" w:rsidRDefault="009D74ED" w:rsidP="009D74ED">
            <w:pPr>
              <w:jc w:val="right"/>
              <w:rPr>
                <w:rFonts w:cs="Arial"/>
                <w:color w:val="000000"/>
                <w:sz w:val="22"/>
                <w:szCs w:val="22"/>
                <w:lang w:eastAsia="en-AU"/>
              </w:rPr>
            </w:pPr>
            <w:r w:rsidRPr="00274898">
              <w:rPr>
                <w:sz w:val="22"/>
                <w:szCs w:val="22"/>
              </w:rPr>
              <w:t>5,580</w:t>
            </w:r>
          </w:p>
        </w:tc>
      </w:tr>
      <w:tr w:rsidR="009D74ED" w:rsidRPr="00FA2B43" w14:paraId="5EA73478" w14:textId="77777777" w:rsidTr="009D74ED">
        <w:trPr>
          <w:trHeight w:val="460"/>
        </w:trPr>
        <w:tc>
          <w:tcPr>
            <w:tcW w:w="4329" w:type="dxa"/>
            <w:tcBorders>
              <w:top w:val="nil"/>
              <w:left w:val="nil"/>
              <w:bottom w:val="nil"/>
              <w:right w:val="nil"/>
            </w:tcBorders>
            <w:shd w:val="clear" w:color="auto" w:fill="auto"/>
            <w:vAlign w:val="bottom"/>
            <w:hideMark/>
          </w:tcPr>
          <w:p w14:paraId="5EA73473" w14:textId="78692E4A" w:rsidR="009D74ED" w:rsidRPr="00FA2B43" w:rsidRDefault="009D74ED" w:rsidP="0054179F">
            <w:pPr>
              <w:rPr>
                <w:rFonts w:cs="Arial"/>
                <w:color w:val="000000"/>
                <w:sz w:val="22"/>
                <w:szCs w:val="22"/>
                <w:lang w:eastAsia="en-AU"/>
              </w:rPr>
            </w:pPr>
            <w:r>
              <w:rPr>
                <w:rFonts w:cs="Arial"/>
                <w:color w:val="000000"/>
                <w:sz w:val="22"/>
                <w:szCs w:val="22"/>
                <w:lang w:eastAsia="en-AU"/>
              </w:rPr>
              <w:t xml:space="preserve">Impairment reversal </w:t>
            </w:r>
            <w:r w:rsidRPr="00FA2B43">
              <w:rPr>
                <w:rFonts w:cs="Arial"/>
                <w:color w:val="000000"/>
                <w:sz w:val="22"/>
                <w:szCs w:val="22"/>
                <w:lang w:eastAsia="en-AU"/>
              </w:rPr>
              <w:t>–</w:t>
            </w:r>
            <w:r>
              <w:rPr>
                <w:rFonts w:cs="Arial"/>
                <w:color w:val="000000"/>
                <w:sz w:val="22"/>
                <w:szCs w:val="22"/>
                <w:lang w:eastAsia="en-AU"/>
              </w:rPr>
              <w:t xml:space="preserve"> </w:t>
            </w:r>
            <w:r w:rsidRPr="00FA2B43">
              <w:rPr>
                <w:rFonts w:cs="Arial"/>
                <w:color w:val="000000"/>
                <w:sz w:val="22"/>
                <w:szCs w:val="22"/>
                <w:lang w:eastAsia="en-AU"/>
              </w:rPr>
              <w:t>property, plant and equipment</w:t>
            </w:r>
          </w:p>
        </w:tc>
        <w:tc>
          <w:tcPr>
            <w:tcW w:w="944" w:type="dxa"/>
            <w:tcBorders>
              <w:top w:val="nil"/>
              <w:left w:val="nil"/>
              <w:bottom w:val="nil"/>
              <w:right w:val="nil"/>
            </w:tcBorders>
            <w:shd w:val="clear" w:color="auto" w:fill="auto"/>
            <w:vAlign w:val="bottom"/>
            <w:hideMark/>
          </w:tcPr>
          <w:p w14:paraId="5EA73474" w14:textId="77777777" w:rsidR="009D74ED" w:rsidRPr="00FA2B43" w:rsidRDefault="009D74ED" w:rsidP="009D74ED">
            <w:pPr>
              <w:jc w:val="center"/>
              <w:rPr>
                <w:rFonts w:cs="Arial"/>
                <w:color w:val="000000"/>
                <w:sz w:val="22"/>
                <w:szCs w:val="22"/>
                <w:lang w:eastAsia="en-AU"/>
              </w:rPr>
            </w:pPr>
            <w:r w:rsidRPr="00FA2B43">
              <w:rPr>
                <w:rFonts w:cs="Arial"/>
                <w:color w:val="000000"/>
                <w:sz w:val="22"/>
                <w:szCs w:val="22"/>
                <w:lang w:eastAsia="en-AU"/>
              </w:rPr>
              <w:t>12</w:t>
            </w:r>
          </w:p>
        </w:tc>
        <w:tc>
          <w:tcPr>
            <w:tcW w:w="1867" w:type="dxa"/>
            <w:tcBorders>
              <w:top w:val="nil"/>
              <w:left w:val="nil"/>
              <w:bottom w:val="nil"/>
              <w:right w:val="nil"/>
            </w:tcBorders>
            <w:shd w:val="clear" w:color="000000" w:fill="BFBFBF" w:themeFill="background1" w:themeFillShade="BF"/>
            <w:vAlign w:val="center"/>
          </w:tcPr>
          <w:p w14:paraId="5EA73476" w14:textId="7A409157" w:rsidR="009D74ED" w:rsidRPr="00FA2B43" w:rsidRDefault="009D74ED" w:rsidP="00B00999">
            <w:pPr>
              <w:jc w:val="right"/>
              <w:rPr>
                <w:rFonts w:cs="Arial"/>
                <w:color w:val="000000"/>
                <w:sz w:val="22"/>
                <w:szCs w:val="22"/>
                <w:lang w:eastAsia="en-AU"/>
              </w:rPr>
            </w:pPr>
            <w:r>
              <w:rPr>
                <w:rFonts w:cs="Arial"/>
                <w:color w:val="000000"/>
                <w:sz w:val="22"/>
                <w:szCs w:val="22"/>
                <w:lang w:eastAsia="en-AU"/>
              </w:rPr>
              <w:t>0</w:t>
            </w:r>
          </w:p>
        </w:tc>
        <w:tc>
          <w:tcPr>
            <w:tcW w:w="1457" w:type="dxa"/>
            <w:tcBorders>
              <w:top w:val="nil"/>
              <w:left w:val="nil"/>
              <w:bottom w:val="nil"/>
              <w:right w:val="nil"/>
            </w:tcBorders>
            <w:shd w:val="clear" w:color="auto" w:fill="auto"/>
            <w:vAlign w:val="center"/>
            <w:hideMark/>
          </w:tcPr>
          <w:p w14:paraId="5EA73477" w14:textId="77777777" w:rsidR="009D74ED" w:rsidRPr="00274898" w:rsidRDefault="009D74ED" w:rsidP="00274898">
            <w:pPr>
              <w:jc w:val="right"/>
              <w:rPr>
                <w:rFonts w:cs="Arial"/>
                <w:color w:val="000000"/>
                <w:sz w:val="22"/>
                <w:szCs w:val="22"/>
                <w:lang w:eastAsia="en-AU"/>
              </w:rPr>
            </w:pPr>
            <w:r w:rsidRPr="00274898">
              <w:rPr>
                <w:sz w:val="22"/>
                <w:szCs w:val="22"/>
              </w:rPr>
              <w:t xml:space="preserve">407 </w:t>
            </w:r>
          </w:p>
        </w:tc>
      </w:tr>
      <w:tr w:rsidR="009D74ED" w:rsidRPr="00FA2B43" w14:paraId="5EA7347E" w14:textId="77777777" w:rsidTr="009D74ED">
        <w:trPr>
          <w:trHeight w:val="473"/>
        </w:trPr>
        <w:tc>
          <w:tcPr>
            <w:tcW w:w="4329" w:type="dxa"/>
            <w:tcBorders>
              <w:top w:val="nil"/>
              <w:left w:val="nil"/>
              <w:bottom w:val="nil"/>
              <w:right w:val="nil"/>
            </w:tcBorders>
            <w:shd w:val="clear" w:color="auto" w:fill="auto"/>
            <w:vAlign w:val="bottom"/>
            <w:hideMark/>
          </w:tcPr>
          <w:p w14:paraId="5EA73479"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Impairment expense – property, plant and equipment</w:t>
            </w:r>
          </w:p>
        </w:tc>
        <w:tc>
          <w:tcPr>
            <w:tcW w:w="944" w:type="dxa"/>
            <w:tcBorders>
              <w:top w:val="nil"/>
              <w:left w:val="nil"/>
              <w:bottom w:val="nil"/>
              <w:right w:val="nil"/>
            </w:tcBorders>
            <w:shd w:val="clear" w:color="auto" w:fill="auto"/>
            <w:vAlign w:val="bottom"/>
            <w:hideMark/>
          </w:tcPr>
          <w:p w14:paraId="5EA7347A" w14:textId="77777777" w:rsidR="009D74ED" w:rsidRPr="00FA2B43" w:rsidRDefault="009D74ED" w:rsidP="009D74ED">
            <w:pPr>
              <w:jc w:val="center"/>
              <w:rPr>
                <w:rFonts w:cs="Arial"/>
                <w:color w:val="000000"/>
                <w:sz w:val="22"/>
                <w:szCs w:val="22"/>
                <w:lang w:eastAsia="en-AU"/>
              </w:rPr>
            </w:pPr>
            <w:r w:rsidRPr="00FA2B43">
              <w:rPr>
                <w:rFonts w:cs="Arial"/>
                <w:color w:val="000000"/>
                <w:sz w:val="22"/>
                <w:szCs w:val="22"/>
                <w:lang w:eastAsia="en-AU"/>
              </w:rPr>
              <w:t>12</w:t>
            </w:r>
          </w:p>
        </w:tc>
        <w:tc>
          <w:tcPr>
            <w:tcW w:w="1867" w:type="dxa"/>
            <w:tcBorders>
              <w:top w:val="nil"/>
              <w:left w:val="nil"/>
              <w:bottom w:val="nil"/>
              <w:right w:val="nil"/>
            </w:tcBorders>
            <w:shd w:val="clear" w:color="000000" w:fill="BFBFBF" w:themeFill="background1" w:themeFillShade="BF"/>
            <w:vAlign w:val="bottom"/>
          </w:tcPr>
          <w:p w14:paraId="5EA7347C" w14:textId="77777777" w:rsidR="009D74ED" w:rsidRPr="00FA2B43" w:rsidRDefault="009D74ED" w:rsidP="00F561B2">
            <w:pPr>
              <w:jc w:val="right"/>
              <w:rPr>
                <w:rFonts w:cs="Arial"/>
                <w:color w:val="000000"/>
                <w:sz w:val="22"/>
                <w:szCs w:val="22"/>
                <w:lang w:eastAsia="en-AU"/>
              </w:rPr>
            </w:pPr>
            <w:r>
              <w:rPr>
                <w:rFonts w:cs="Arial"/>
                <w:color w:val="000000"/>
                <w:sz w:val="22"/>
                <w:szCs w:val="22"/>
                <w:lang w:eastAsia="en-AU"/>
              </w:rPr>
              <w:t>(373)</w:t>
            </w:r>
          </w:p>
        </w:tc>
        <w:tc>
          <w:tcPr>
            <w:tcW w:w="1457" w:type="dxa"/>
            <w:tcBorders>
              <w:top w:val="nil"/>
              <w:left w:val="nil"/>
              <w:bottom w:val="nil"/>
              <w:right w:val="nil"/>
            </w:tcBorders>
            <w:shd w:val="clear" w:color="auto" w:fill="auto"/>
            <w:vAlign w:val="bottom"/>
            <w:hideMark/>
          </w:tcPr>
          <w:p w14:paraId="5EA7347D" w14:textId="77777777" w:rsidR="009D74ED" w:rsidRPr="00274898" w:rsidRDefault="009D74ED" w:rsidP="00274898">
            <w:pPr>
              <w:jc w:val="right"/>
              <w:rPr>
                <w:rFonts w:cs="Arial"/>
                <w:color w:val="000000"/>
                <w:sz w:val="22"/>
                <w:szCs w:val="22"/>
                <w:lang w:eastAsia="en-AU"/>
              </w:rPr>
            </w:pPr>
            <w:r w:rsidRPr="00274898">
              <w:rPr>
                <w:sz w:val="22"/>
                <w:szCs w:val="22"/>
              </w:rPr>
              <w:t>(125)</w:t>
            </w:r>
          </w:p>
        </w:tc>
      </w:tr>
      <w:tr w:rsidR="009D74ED" w:rsidRPr="00FA2B43" w14:paraId="5EA73485" w14:textId="77777777" w:rsidTr="009D74ED">
        <w:trPr>
          <w:trHeight w:val="460"/>
        </w:trPr>
        <w:tc>
          <w:tcPr>
            <w:tcW w:w="4329" w:type="dxa"/>
            <w:tcBorders>
              <w:top w:val="nil"/>
              <w:left w:val="nil"/>
              <w:bottom w:val="nil"/>
              <w:right w:val="nil"/>
            </w:tcBorders>
            <w:shd w:val="clear" w:color="auto" w:fill="auto"/>
            <w:vAlign w:val="bottom"/>
            <w:hideMark/>
          </w:tcPr>
          <w:p w14:paraId="5EA7347F"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Impairment expense – non</w:t>
            </w:r>
            <w:r>
              <w:rPr>
                <w:rFonts w:cs="Arial"/>
                <w:color w:val="000000"/>
                <w:sz w:val="22"/>
                <w:szCs w:val="22"/>
                <w:lang w:eastAsia="en-AU"/>
              </w:rPr>
              <w:t>-</w:t>
            </w:r>
            <w:r w:rsidRPr="00FA2B43">
              <w:rPr>
                <w:rFonts w:cs="Arial"/>
                <w:color w:val="000000"/>
                <w:sz w:val="22"/>
                <w:szCs w:val="22"/>
                <w:lang w:eastAsia="en-AU"/>
              </w:rPr>
              <w:t>current assets held for resale</w:t>
            </w:r>
          </w:p>
        </w:tc>
        <w:tc>
          <w:tcPr>
            <w:tcW w:w="944" w:type="dxa"/>
            <w:tcBorders>
              <w:top w:val="nil"/>
              <w:left w:val="nil"/>
              <w:bottom w:val="nil"/>
              <w:right w:val="nil"/>
            </w:tcBorders>
            <w:shd w:val="clear" w:color="auto" w:fill="auto"/>
            <w:vAlign w:val="bottom"/>
            <w:hideMark/>
          </w:tcPr>
          <w:p w14:paraId="5EA73480" w14:textId="77777777" w:rsidR="009D74ED" w:rsidRDefault="009D74ED" w:rsidP="009D74ED">
            <w:pPr>
              <w:jc w:val="center"/>
              <w:rPr>
                <w:rFonts w:cs="Arial"/>
                <w:color w:val="000000"/>
                <w:sz w:val="22"/>
                <w:szCs w:val="22"/>
                <w:lang w:eastAsia="en-AU"/>
              </w:rPr>
            </w:pPr>
          </w:p>
          <w:p w14:paraId="5EA73481" w14:textId="77777777" w:rsidR="009D74ED" w:rsidRPr="00FA2B43" w:rsidRDefault="009D74ED" w:rsidP="009D74ED">
            <w:pPr>
              <w:jc w:val="center"/>
              <w:rPr>
                <w:rFonts w:cs="Arial"/>
                <w:color w:val="000000"/>
                <w:sz w:val="22"/>
                <w:szCs w:val="22"/>
                <w:lang w:eastAsia="en-AU"/>
              </w:rPr>
            </w:pPr>
            <w:r w:rsidRPr="00FA2B43">
              <w:rPr>
                <w:rFonts w:cs="Arial"/>
                <w:color w:val="000000"/>
                <w:sz w:val="22"/>
                <w:szCs w:val="22"/>
                <w:lang w:eastAsia="en-AU"/>
              </w:rPr>
              <w:t>11</w:t>
            </w:r>
          </w:p>
        </w:tc>
        <w:tc>
          <w:tcPr>
            <w:tcW w:w="1867" w:type="dxa"/>
            <w:tcBorders>
              <w:top w:val="nil"/>
              <w:left w:val="nil"/>
              <w:right w:val="nil"/>
            </w:tcBorders>
            <w:shd w:val="clear" w:color="000000" w:fill="BFBFBF" w:themeFill="background1" w:themeFillShade="BF"/>
            <w:vAlign w:val="bottom"/>
          </w:tcPr>
          <w:p w14:paraId="5EA73483" w14:textId="77777777" w:rsidR="009D74ED" w:rsidRPr="00FA2B43" w:rsidRDefault="009D74ED" w:rsidP="00FA2B43">
            <w:pPr>
              <w:jc w:val="right"/>
              <w:rPr>
                <w:rFonts w:cs="Arial"/>
                <w:color w:val="000000"/>
                <w:sz w:val="22"/>
                <w:szCs w:val="22"/>
                <w:lang w:eastAsia="en-AU"/>
              </w:rPr>
            </w:pPr>
            <w:r>
              <w:rPr>
                <w:rFonts w:cs="Arial"/>
                <w:color w:val="000000"/>
                <w:sz w:val="22"/>
                <w:szCs w:val="22"/>
                <w:lang w:eastAsia="en-AU"/>
              </w:rPr>
              <w:t>(422)</w:t>
            </w:r>
          </w:p>
        </w:tc>
        <w:tc>
          <w:tcPr>
            <w:tcW w:w="1457" w:type="dxa"/>
            <w:tcBorders>
              <w:top w:val="nil"/>
              <w:left w:val="nil"/>
              <w:right w:val="nil"/>
            </w:tcBorders>
            <w:shd w:val="clear" w:color="auto" w:fill="auto"/>
            <w:vAlign w:val="bottom"/>
            <w:hideMark/>
          </w:tcPr>
          <w:p w14:paraId="5EA73484" w14:textId="77777777" w:rsidR="009D74ED" w:rsidRPr="00274898" w:rsidRDefault="009D74ED" w:rsidP="00274898">
            <w:pPr>
              <w:jc w:val="right"/>
              <w:rPr>
                <w:rFonts w:cs="Arial"/>
                <w:color w:val="000000"/>
                <w:sz w:val="22"/>
                <w:szCs w:val="22"/>
                <w:lang w:eastAsia="en-AU"/>
              </w:rPr>
            </w:pPr>
            <w:r w:rsidRPr="00274898">
              <w:rPr>
                <w:sz w:val="22"/>
                <w:szCs w:val="22"/>
              </w:rPr>
              <w:t>(56)</w:t>
            </w:r>
          </w:p>
        </w:tc>
      </w:tr>
      <w:tr w:rsidR="009D74ED" w:rsidRPr="00FA2B43" w14:paraId="5EA7348C" w14:textId="77777777" w:rsidTr="009D74ED">
        <w:trPr>
          <w:trHeight w:val="460"/>
        </w:trPr>
        <w:tc>
          <w:tcPr>
            <w:tcW w:w="4329" w:type="dxa"/>
            <w:tcBorders>
              <w:top w:val="nil"/>
              <w:left w:val="nil"/>
              <w:bottom w:val="nil"/>
              <w:right w:val="nil"/>
            </w:tcBorders>
            <w:shd w:val="clear" w:color="auto" w:fill="auto"/>
            <w:vAlign w:val="bottom"/>
            <w:hideMark/>
          </w:tcPr>
          <w:p w14:paraId="5EA73486" w14:textId="77777777" w:rsidR="009D74ED" w:rsidRPr="00FA2B43" w:rsidRDefault="009D74ED" w:rsidP="00F561B2">
            <w:pPr>
              <w:rPr>
                <w:rFonts w:cs="Arial"/>
                <w:color w:val="000000"/>
                <w:sz w:val="22"/>
                <w:szCs w:val="22"/>
                <w:lang w:eastAsia="en-AU"/>
              </w:rPr>
            </w:pPr>
            <w:r w:rsidRPr="00FA2B43">
              <w:rPr>
                <w:rFonts w:cs="Arial"/>
                <w:color w:val="000000"/>
                <w:sz w:val="22"/>
                <w:szCs w:val="22"/>
                <w:lang w:eastAsia="en-AU"/>
              </w:rPr>
              <w:t xml:space="preserve">Impairment </w:t>
            </w:r>
            <w:r>
              <w:rPr>
                <w:rFonts w:cs="Arial"/>
                <w:color w:val="000000"/>
                <w:sz w:val="22"/>
                <w:szCs w:val="22"/>
                <w:lang w:eastAsia="en-AU"/>
              </w:rPr>
              <w:t>reversal</w:t>
            </w:r>
            <w:r w:rsidRPr="00FA2B43">
              <w:rPr>
                <w:rFonts w:cs="Arial"/>
                <w:color w:val="000000"/>
                <w:sz w:val="22"/>
                <w:szCs w:val="22"/>
                <w:lang w:eastAsia="en-AU"/>
              </w:rPr>
              <w:t xml:space="preserve"> – non</w:t>
            </w:r>
            <w:r>
              <w:rPr>
                <w:rFonts w:cs="Arial"/>
                <w:color w:val="000000"/>
                <w:sz w:val="22"/>
                <w:szCs w:val="22"/>
                <w:lang w:eastAsia="en-AU"/>
              </w:rPr>
              <w:t>-</w:t>
            </w:r>
            <w:r w:rsidRPr="00FA2B43">
              <w:rPr>
                <w:rFonts w:cs="Arial"/>
                <w:color w:val="000000"/>
                <w:sz w:val="22"/>
                <w:szCs w:val="22"/>
                <w:lang w:eastAsia="en-AU"/>
              </w:rPr>
              <w:t>current assets held for resale</w:t>
            </w:r>
          </w:p>
        </w:tc>
        <w:tc>
          <w:tcPr>
            <w:tcW w:w="944" w:type="dxa"/>
            <w:tcBorders>
              <w:top w:val="nil"/>
              <w:left w:val="nil"/>
              <w:bottom w:val="nil"/>
              <w:right w:val="nil"/>
            </w:tcBorders>
            <w:shd w:val="clear" w:color="auto" w:fill="auto"/>
            <w:vAlign w:val="bottom"/>
            <w:hideMark/>
          </w:tcPr>
          <w:p w14:paraId="5EA73487" w14:textId="77777777" w:rsidR="009D74ED" w:rsidRDefault="009D74ED" w:rsidP="009D74ED">
            <w:pPr>
              <w:jc w:val="center"/>
              <w:rPr>
                <w:rFonts w:cs="Arial"/>
                <w:color w:val="000000"/>
                <w:sz w:val="22"/>
                <w:szCs w:val="22"/>
                <w:lang w:eastAsia="en-AU"/>
              </w:rPr>
            </w:pPr>
          </w:p>
          <w:p w14:paraId="5EA73488" w14:textId="77777777" w:rsidR="009D74ED" w:rsidRPr="00FA2B43" w:rsidRDefault="009D74ED" w:rsidP="009D74ED">
            <w:pPr>
              <w:jc w:val="center"/>
              <w:rPr>
                <w:rFonts w:cs="Arial"/>
                <w:color w:val="000000"/>
                <w:sz w:val="22"/>
                <w:szCs w:val="22"/>
                <w:lang w:eastAsia="en-AU"/>
              </w:rPr>
            </w:pPr>
            <w:r w:rsidRPr="00FA2B43">
              <w:rPr>
                <w:rFonts w:cs="Arial"/>
                <w:color w:val="000000"/>
                <w:sz w:val="22"/>
                <w:szCs w:val="22"/>
                <w:lang w:eastAsia="en-AU"/>
              </w:rPr>
              <w:t>11</w:t>
            </w:r>
          </w:p>
        </w:tc>
        <w:tc>
          <w:tcPr>
            <w:tcW w:w="1867" w:type="dxa"/>
            <w:tcBorders>
              <w:top w:val="nil"/>
              <w:left w:val="nil"/>
              <w:right w:val="nil"/>
            </w:tcBorders>
            <w:shd w:val="clear" w:color="000000" w:fill="BFBFBF" w:themeFill="background1" w:themeFillShade="BF"/>
            <w:vAlign w:val="bottom"/>
          </w:tcPr>
          <w:p w14:paraId="5EA7348A" w14:textId="77777777" w:rsidR="009D74ED" w:rsidRPr="00FA2B43" w:rsidRDefault="009D74ED" w:rsidP="00F561B2">
            <w:pPr>
              <w:jc w:val="right"/>
              <w:rPr>
                <w:rFonts w:cs="Arial"/>
                <w:color w:val="000000"/>
                <w:sz w:val="22"/>
                <w:szCs w:val="22"/>
                <w:lang w:eastAsia="en-AU"/>
              </w:rPr>
            </w:pPr>
            <w:r>
              <w:rPr>
                <w:rFonts w:cs="Arial"/>
                <w:color w:val="000000"/>
                <w:sz w:val="22"/>
                <w:szCs w:val="22"/>
                <w:lang w:eastAsia="en-AU"/>
              </w:rPr>
              <w:t>342</w:t>
            </w:r>
          </w:p>
        </w:tc>
        <w:tc>
          <w:tcPr>
            <w:tcW w:w="1457" w:type="dxa"/>
            <w:tcBorders>
              <w:top w:val="nil"/>
              <w:left w:val="nil"/>
              <w:right w:val="nil"/>
            </w:tcBorders>
            <w:shd w:val="clear" w:color="auto" w:fill="auto"/>
            <w:vAlign w:val="bottom"/>
            <w:hideMark/>
          </w:tcPr>
          <w:p w14:paraId="5EA7348B" w14:textId="77777777" w:rsidR="009D74ED" w:rsidRPr="00274898" w:rsidRDefault="009D74ED" w:rsidP="00F561B2">
            <w:pPr>
              <w:jc w:val="right"/>
              <w:rPr>
                <w:rFonts w:cs="Arial"/>
                <w:color w:val="000000"/>
                <w:sz w:val="22"/>
                <w:szCs w:val="22"/>
                <w:lang w:eastAsia="en-AU"/>
              </w:rPr>
            </w:pPr>
            <w:r>
              <w:rPr>
                <w:sz w:val="22"/>
                <w:szCs w:val="22"/>
              </w:rPr>
              <w:t>-</w:t>
            </w:r>
          </w:p>
        </w:tc>
      </w:tr>
      <w:tr w:rsidR="009D74ED" w:rsidRPr="00FA2B43" w14:paraId="5EA73492" w14:textId="77777777" w:rsidTr="009D74ED">
        <w:trPr>
          <w:trHeight w:val="510"/>
        </w:trPr>
        <w:tc>
          <w:tcPr>
            <w:tcW w:w="4329" w:type="dxa"/>
            <w:tcBorders>
              <w:top w:val="nil"/>
              <w:left w:val="nil"/>
              <w:bottom w:val="nil"/>
              <w:right w:val="nil"/>
            </w:tcBorders>
            <w:shd w:val="clear" w:color="auto" w:fill="auto"/>
            <w:vAlign w:val="bottom"/>
            <w:hideMark/>
          </w:tcPr>
          <w:p w14:paraId="5EA7348D" w14:textId="6C95D3DE"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Impairment expense –</w:t>
            </w:r>
            <w:r>
              <w:rPr>
                <w:rFonts w:cs="Arial"/>
                <w:color w:val="000000"/>
                <w:sz w:val="22"/>
                <w:szCs w:val="22"/>
                <w:lang w:eastAsia="en-AU"/>
              </w:rPr>
              <w:t xml:space="preserve"> </w:t>
            </w:r>
            <w:r w:rsidRPr="00FA2B43">
              <w:rPr>
                <w:rFonts w:cs="Arial"/>
                <w:color w:val="000000"/>
                <w:sz w:val="22"/>
                <w:szCs w:val="22"/>
                <w:lang w:eastAsia="en-AU"/>
              </w:rPr>
              <w:t>available for sale investments</w:t>
            </w:r>
          </w:p>
        </w:tc>
        <w:tc>
          <w:tcPr>
            <w:tcW w:w="944" w:type="dxa"/>
            <w:tcBorders>
              <w:top w:val="nil"/>
              <w:left w:val="nil"/>
              <w:bottom w:val="nil"/>
              <w:right w:val="nil"/>
            </w:tcBorders>
            <w:shd w:val="clear" w:color="auto" w:fill="auto"/>
            <w:vAlign w:val="bottom"/>
            <w:hideMark/>
          </w:tcPr>
          <w:p w14:paraId="5EA7348E" w14:textId="3AF62C80" w:rsidR="009D74ED" w:rsidRPr="00FA2B43" w:rsidRDefault="009D74ED" w:rsidP="009D74ED">
            <w:pPr>
              <w:jc w:val="center"/>
              <w:rPr>
                <w:rFonts w:cs="Arial"/>
                <w:color w:val="000000"/>
                <w:sz w:val="22"/>
                <w:szCs w:val="22"/>
                <w:lang w:eastAsia="en-AU"/>
              </w:rPr>
            </w:pPr>
            <w:r>
              <w:rPr>
                <w:rFonts w:cs="Arial"/>
                <w:color w:val="000000"/>
                <w:sz w:val="22"/>
                <w:szCs w:val="22"/>
                <w:lang w:eastAsia="en-AU"/>
              </w:rPr>
              <w:t>None</w:t>
            </w:r>
          </w:p>
        </w:tc>
        <w:tc>
          <w:tcPr>
            <w:tcW w:w="1867" w:type="dxa"/>
            <w:tcBorders>
              <w:top w:val="nil"/>
              <w:left w:val="nil"/>
              <w:bottom w:val="nil"/>
              <w:right w:val="nil"/>
            </w:tcBorders>
            <w:shd w:val="clear" w:color="000000" w:fill="BFBFBF" w:themeFill="background1" w:themeFillShade="BF"/>
            <w:vAlign w:val="center"/>
          </w:tcPr>
          <w:p w14:paraId="5EA73490" w14:textId="77777777" w:rsidR="009D74ED" w:rsidRPr="00FA2B43" w:rsidRDefault="009D74ED" w:rsidP="00EF66A7">
            <w:pPr>
              <w:jc w:val="right"/>
              <w:rPr>
                <w:rFonts w:cs="Arial"/>
                <w:color w:val="000000"/>
                <w:sz w:val="22"/>
                <w:szCs w:val="22"/>
                <w:lang w:eastAsia="en-AU"/>
              </w:rPr>
            </w:pPr>
            <w:r>
              <w:rPr>
                <w:rFonts w:cs="Arial"/>
                <w:color w:val="000000"/>
                <w:sz w:val="22"/>
                <w:szCs w:val="22"/>
                <w:lang w:eastAsia="en-AU"/>
              </w:rPr>
              <w:t>(244)</w:t>
            </w:r>
          </w:p>
        </w:tc>
        <w:tc>
          <w:tcPr>
            <w:tcW w:w="1457" w:type="dxa"/>
            <w:tcBorders>
              <w:top w:val="nil"/>
              <w:left w:val="nil"/>
              <w:bottom w:val="nil"/>
              <w:right w:val="nil"/>
            </w:tcBorders>
            <w:shd w:val="clear" w:color="auto" w:fill="auto"/>
            <w:vAlign w:val="center"/>
            <w:hideMark/>
          </w:tcPr>
          <w:p w14:paraId="5EA73491" w14:textId="77777777" w:rsidR="009D74ED" w:rsidRPr="00274898" w:rsidRDefault="009D74ED" w:rsidP="00274898">
            <w:pPr>
              <w:jc w:val="right"/>
              <w:rPr>
                <w:rFonts w:cs="Arial"/>
                <w:color w:val="000000"/>
                <w:sz w:val="22"/>
                <w:szCs w:val="22"/>
                <w:lang w:eastAsia="en-AU"/>
              </w:rPr>
            </w:pPr>
            <w:r w:rsidRPr="00274898">
              <w:rPr>
                <w:sz w:val="22"/>
                <w:szCs w:val="22"/>
              </w:rPr>
              <w:t>(445)</w:t>
            </w:r>
          </w:p>
        </w:tc>
      </w:tr>
      <w:tr w:rsidR="009D74ED" w:rsidRPr="00FA2B43" w14:paraId="5EA73498" w14:textId="77777777" w:rsidTr="009D74ED">
        <w:trPr>
          <w:trHeight w:val="287"/>
        </w:trPr>
        <w:tc>
          <w:tcPr>
            <w:tcW w:w="4329" w:type="dxa"/>
            <w:tcBorders>
              <w:top w:val="nil"/>
              <w:left w:val="nil"/>
              <w:bottom w:val="nil"/>
              <w:right w:val="nil"/>
            </w:tcBorders>
            <w:shd w:val="clear" w:color="auto" w:fill="auto"/>
            <w:vAlign w:val="bottom"/>
            <w:hideMark/>
          </w:tcPr>
          <w:p w14:paraId="5EA73493"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Restructuring Costs</w:t>
            </w:r>
          </w:p>
        </w:tc>
        <w:tc>
          <w:tcPr>
            <w:tcW w:w="944" w:type="dxa"/>
            <w:tcBorders>
              <w:top w:val="nil"/>
              <w:left w:val="nil"/>
              <w:bottom w:val="nil"/>
              <w:right w:val="nil"/>
            </w:tcBorders>
            <w:shd w:val="clear" w:color="auto" w:fill="auto"/>
            <w:vAlign w:val="bottom"/>
            <w:hideMark/>
          </w:tcPr>
          <w:p w14:paraId="5EA73494" w14:textId="77777777" w:rsidR="009D74ED" w:rsidRPr="00FA2B43" w:rsidRDefault="009D74ED" w:rsidP="009D74ED">
            <w:pPr>
              <w:jc w:val="center"/>
              <w:rPr>
                <w:rFonts w:cs="Arial"/>
                <w:color w:val="000000"/>
                <w:sz w:val="22"/>
                <w:szCs w:val="22"/>
                <w:lang w:eastAsia="en-AU"/>
              </w:rPr>
            </w:pPr>
            <w:r w:rsidRPr="00FA2B43">
              <w:rPr>
                <w:rFonts w:cs="Arial"/>
                <w:color w:val="000000"/>
                <w:sz w:val="22"/>
                <w:szCs w:val="22"/>
                <w:lang w:eastAsia="en-AU"/>
              </w:rPr>
              <w:t>32</w:t>
            </w:r>
          </w:p>
        </w:tc>
        <w:tc>
          <w:tcPr>
            <w:tcW w:w="1867" w:type="dxa"/>
            <w:tcBorders>
              <w:top w:val="nil"/>
              <w:left w:val="nil"/>
              <w:bottom w:val="single" w:sz="8" w:space="0" w:color="auto"/>
              <w:right w:val="nil"/>
            </w:tcBorders>
            <w:shd w:val="clear" w:color="000000" w:fill="BFBFBF" w:themeFill="background1" w:themeFillShade="BF"/>
            <w:vAlign w:val="bottom"/>
          </w:tcPr>
          <w:p w14:paraId="5EA73496" w14:textId="77777777" w:rsidR="009D74ED" w:rsidRPr="00FA2B43" w:rsidRDefault="009D74ED" w:rsidP="00FA2B43">
            <w:pPr>
              <w:jc w:val="right"/>
              <w:rPr>
                <w:rFonts w:cs="Arial"/>
                <w:color w:val="000000"/>
                <w:sz w:val="22"/>
                <w:szCs w:val="22"/>
                <w:lang w:eastAsia="en-AU"/>
              </w:rPr>
            </w:pPr>
            <w:r>
              <w:rPr>
                <w:rFonts w:cs="Arial"/>
                <w:color w:val="000000"/>
                <w:sz w:val="22"/>
                <w:szCs w:val="22"/>
                <w:lang w:eastAsia="en-AU"/>
              </w:rPr>
              <w:t>(1,789)</w:t>
            </w:r>
          </w:p>
        </w:tc>
        <w:tc>
          <w:tcPr>
            <w:tcW w:w="1457" w:type="dxa"/>
            <w:tcBorders>
              <w:top w:val="nil"/>
              <w:left w:val="nil"/>
              <w:bottom w:val="single" w:sz="8" w:space="0" w:color="auto"/>
              <w:right w:val="nil"/>
            </w:tcBorders>
            <w:shd w:val="clear" w:color="auto" w:fill="auto"/>
            <w:vAlign w:val="bottom"/>
            <w:hideMark/>
          </w:tcPr>
          <w:p w14:paraId="5EA73497" w14:textId="77777777" w:rsidR="009D74ED" w:rsidRPr="00274898" w:rsidRDefault="009D74ED" w:rsidP="00274898">
            <w:pPr>
              <w:jc w:val="right"/>
              <w:rPr>
                <w:rFonts w:cs="Arial"/>
                <w:color w:val="000000"/>
                <w:sz w:val="22"/>
                <w:szCs w:val="22"/>
                <w:lang w:eastAsia="en-AU"/>
              </w:rPr>
            </w:pPr>
            <w:r w:rsidRPr="00274898">
              <w:rPr>
                <w:sz w:val="22"/>
                <w:szCs w:val="22"/>
              </w:rPr>
              <w:t>(1,805)</w:t>
            </w:r>
          </w:p>
        </w:tc>
      </w:tr>
      <w:tr w:rsidR="009D74ED" w:rsidRPr="00FA2B43" w14:paraId="5EA7349E" w14:textId="77777777" w:rsidTr="009D74ED">
        <w:trPr>
          <w:trHeight w:val="287"/>
        </w:trPr>
        <w:tc>
          <w:tcPr>
            <w:tcW w:w="4329" w:type="dxa"/>
            <w:tcBorders>
              <w:top w:val="nil"/>
              <w:left w:val="nil"/>
              <w:bottom w:val="nil"/>
              <w:right w:val="nil"/>
            </w:tcBorders>
            <w:shd w:val="clear" w:color="auto" w:fill="auto"/>
            <w:vAlign w:val="center"/>
            <w:hideMark/>
          </w:tcPr>
          <w:p w14:paraId="5EA73499" w14:textId="77777777" w:rsidR="009D74ED" w:rsidRPr="00FA2B43" w:rsidRDefault="009D74ED" w:rsidP="00FA2B43">
            <w:pPr>
              <w:rPr>
                <w:rFonts w:cs="Arial"/>
                <w:b/>
                <w:bCs/>
                <w:color w:val="000000"/>
                <w:sz w:val="22"/>
                <w:szCs w:val="22"/>
                <w:lang w:eastAsia="en-AU"/>
              </w:rPr>
            </w:pPr>
            <w:r w:rsidRPr="00FA2B43">
              <w:rPr>
                <w:rFonts w:cs="Arial"/>
                <w:b/>
                <w:bCs/>
                <w:color w:val="000000"/>
                <w:sz w:val="22"/>
                <w:szCs w:val="22"/>
                <w:lang w:eastAsia="en-AU"/>
              </w:rPr>
              <w:t>SURPLUS FOR THE YEAR</w:t>
            </w:r>
          </w:p>
        </w:tc>
        <w:tc>
          <w:tcPr>
            <w:tcW w:w="944" w:type="dxa"/>
            <w:tcBorders>
              <w:top w:val="nil"/>
              <w:left w:val="nil"/>
              <w:bottom w:val="nil"/>
              <w:right w:val="nil"/>
            </w:tcBorders>
            <w:shd w:val="clear" w:color="auto" w:fill="auto"/>
            <w:vAlign w:val="bottom"/>
            <w:hideMark/>
          </w:tcPr>
          <w:p w14:paraId="5EA7349A" w14:textId="77777777" w:rsidR="009D74ED" w:rsidRPr="00FA2B43" w:rsidRDefault="009D74ED" w:rsidP="009D74ED">
            <w:pPr>
              <w:jc w:val="center"/>
              <w:rPr>
                <w:rFonts w:cs="Arial"/>
                <w:color w:val="000000"/>
                <w:sz w:val="22"/>
                <w:szCs w:val="22"/>
                <w:lang w:eastAsia="en-AU"/>
              </w:rPr>
            </w:pPr>
          </w:p>
        </w:tc>
        <w:tc>
          <w:tcPr>
            <w:tcW w:w="1867" w:type="dxa"/>
            <w:tcBorders>
              <w:top w:val="nil"/>
              <w:left w:val="nil"/>
              <w:bottom w:val="single" w:sz="8" w:space="0" w:color="auto"/>
              <w:right w:val="nil"/>
            </w:tcBorders>
            <w:shd w:val="clear" w:color="000000" w:fill="BFBFBF" w:themeFill="background1" w:themeFillShade="BF"/>
            <w:vAlign w:val="bottom"/>
          </w:tcPr>
          <w:p w14:paraId="5EA7349C" w14:textId="77777777" w:rsidR="009D74ED" w:rsidRPr="00FA2B43" w:rsidRDefault="009D74ED" w:rsidP="00FA2B43">
            <w:pPr>
              <w:jc w:val="right"/>
              <w:rPr>
                <w:rFonts w:cs="Arial"/>
                <w:b/>
                <w:bCs/>
                <w:color w:val="000000"/>
                <w:sz w:val="22"/>
                <w:szCs w:val="22"/>
                <w:lang w:eastAsia="en-AU"/>
              </w:rPr>
            </w:pPr>
            <w:r>
              <w:rPr>
                <w:rFonts w:cs="Arial"/>
                <w:b/>
                <w:bCs/>
                <w:color w:val="000000"/>
                <w:sz w:val="22"/>
                <w:szCs w:val="22"/>
                <w:lang w:eastAsia="en-AU"/>
              </w:rPr>
              <w:t>10,259</w:t>
            </w:r>
          </w:p>
        </w:tc>
        <w:tc>
          <w:tcPr>
            <w:tcW w:w="1457" w:type="dxa"/>
            <w:tcBorders>
              <w:top w:val="nil"/>
              <w:left w:val="nil"/>
              <w:bottom w:val="single" w:sz="8" w:space="0" w:color="auto"/>
              <w:right w:val="nil"/>
            </w:tcBorders>
            <w:shd w:val="clear" w:color="auto" w:fill="auto"/>
            <w:vAlign w:val="bottom"/>
            <w:hideMark/>
          </w:tcPr>
          <w:p w14:paraId="5EA7349D" w14:textId="77777777" w:rsidR="009D74ED" w:rsidRPr="00274898" w:rsidRDefault="009D74ED" w:rsidP="00274898">
            <w:pPr>
              <w:jc w:val="right"/>
              <w:rPr>
                <w:rFonts w:cs="Arial"/>
                <w:b/>
                <w:bCs/>
                <w:color w:val="000000"/>
                <w:sz w:val="22"/>
                <w:szCs w:val="22"/>
                <w:lang w:eastAsia="en-AU"/>
              </w:rPr>
            </w:pPr>
            <w:r w:rsidRPr="00274898">
              <w:rPr>
                <w:b/>
                <w:sz w:val="22"/>
                <w:szCs w:val="22"/>
              </w:rPr>
              <w:t>7,513</w:t>
            </w:r>
          </w:p>
        </w:tc>
      </w:tr>
    </w:tbl>
    <w:p w14:paraId="15CD6A37" w14:textId="77777777" w:rsidR="009D74ED" w:rsidRDefault="009D74ED">
      <w:pPr>
        <w:rPr>
          <w:rFonts w:cs="Arial"/>
          <w:b/>
          <w:bCs/>
          <w:color w:val="000000"/>
          <w:sz w:val="22"/>
          <w:szCs w:val="22"/>
          <w:lang w:eastAsia="en-AU"/>
        </w:rPr>
      </w:pPr>
    </w:p>
    <w:p w14:paraId="21ABBA3C" w14:textId="67251CC4" w:rsidR="009D74ED" w:rsidRDefault="009D74ED">
      <w:r w:rsidRPr="00FA2B43">
        <w:rPr>
          <w:rFonts w:cs="Arial"/>
          <w:b/>
          <w:bCs/>
          <w:color w:val="000000"/>
          <w:sz w:val="22"/>
          <w:szCs w:val="22"/>
          <w:lang w:eastAsia="en-AU"/>
        </w:rPr>
        <w:t>Other comprehensive income</w:t>
      </w:r>
    </w:p>
    <w:p w14:paraId="4B316AE4" w14:textId="77777777" w:rsidR="009D74ED" w:rsidRPr="00FA2B43" w:rsidRDefault="009D74ED" w:rsidP="009D74ED">
      <w:pPr>
        <w:rPr>
          <w:rFonts w:cs="Arial"/>
          <w:b/>
          <w:bCs/>
          <w:color w:val="000000"/>
          <w:sz w:val="22"/>
          <w:szCs w:val="22"/>
          <w:lang w:eastAsia="en-AU"/>
        </w:rPr>
      </w:pPr>
      <w:r w:rsidRPr="00FA2B43">
        <w:rPr>
          <w:rFonts w:cs="Arial"/>
          <w:b/>
          <w:bCs/>
          <w:color w:val="000000"/>
          <w:sz w:val="22"/>
          <w:szCs w:val="22"/>
          <w:lang w:eastAsia="en-AU"/>
        </w:rPr>
        <w:t>Items that may be reclassified subsequently to surplus or deficit:</w:t>
      </w:r>
    </w:p>
    <w:tbl>
      <w:tblPr>
        <w:tblW w:w="8630" w:type="dxa"/>
        <w:tblInd w:w="108" w:type="dxa"/>
        <w:tblLook w:val="04A0" w:firstRow="1" w:lastRow="0" w:firstColumn="1" w:lastColumn="0" w:noHBand="0" w:noVBand="1"/>
      </w:tblPr>
      <w:tblGrid>
        <w:gridCol w:w="4882"/>
        <w:gridCol w:w="2105"/>
        <w:gridCol w:w="1643"/>
      </w:tblGrid>
      <w:tr w:rsidR="009D74ED" w:rsidRPr="00FA2B43" w14:paraId="5EA734A4" w14:textId="77777777" w:rsidTr="009D74ED">
        <w:trPr>
          <w:trHeight w:val="288"/>
          <w:tblHeader/>
        </w:trPr>
        <w:tc>
          <w:tcPr>
            <w:tcW w:w="4882" w:type="dxa"/>
            <w:tcBorders>
              <w:top w:val="nil"/>
              <w:left w:val="nil"/>
              <w:bottom w:val="nil"/>
              <w:right w:val="nil"/>
            </w:tcBorders>
            <w:shd w:val="clear" w:color="auto" w:fill="auto"/>
            <w:vAlign w:val="center"/>
            <w:hideMark/>
          </w:tcPr>
          <w:p w14:paraId="5EA7349F" w14:textId="61752BFB" w:rsidR="009D74ED" w:rsidRPr="00FA2B43" w:rsidRDefault="009D74ED" w:rsidP="00FA2B43">
            <w:pPr>
              <w:rPr>
                <w:rFonts w:cs="Arial"/>
                <w:b/>
                <w:bCs/>
                <w:color w:val="000000"/>
                <w:sz w:val="22"/>
                <w:szCs w:val="22"/>
                <w:lang w:eastAsia="en-AU"/>
              </w:rPr>
            </w:pPr>
            <w:bookmarkStart w:id="124" w:name="Table_7"/>
            <w:bookmarkEnd w:id="124"/>
          </w:p>
        </w:tc>
        <w:tc>
          <w:tcPr>
            <w:tcW w:w="2105" w:type="dxa"/>
            <w:tcBorders>
              <w:top w:val="single" w:sz="4" w:space="0" w:color="auto"/>
              <w:left w:val="nil"/>
              <w:bottom w:val="single" w:sz="4" w:space="0" w:color="auto"/>
              <w:right w:val="nil"/>
            </w:tcBorders>
            <w:shd w:val="clear" w:color="000000" w:fill="BFBFBF" w:themeFill="background1" w:themeFillShade="BF"/>
            <w:vAlign w:val="bottom"/>
          </w:tcPr>
          <w:p w14:paraId="5EA734A2" w14:textId="17A18CA9" w:rsidR="009D74ED" w:rsidRPr="00FA2B43" w:rsidRDefault="009D74ED" w:rsidP="00FA2B43">
            <w:pPr>
              <w:jc w:val="right"/>
              <w:rPr>
                <w:rFonts w:cs="Arial"/>
                <w:b/>
                <w:bCs/>
                <w:color w:val="000000"/>
                <w:sz w:val="22"/>
                <w:szCs w:val="22"/>
                <w:lang w:eastAsia="en-AU"/>
              </w:rPr>
            </w:pPr>
            <w:r>
              <w:rPr>
                <w:rFonts w:cs="Arial"/>
                <w:b/>
                <w:bCs/>
                <w:color w:val="000000"/>
                <w:sz w:val="22"/>
                <w:szCs w:val="22"/>
                <w:lang w:eastAsia="en-AU"/>
              </w:rPr>
              <w:t>2015</w:t>
            </w:r>
          </w:p>
        </w:tc>
        <w:tc>
          <w:tcPr>
            <w:tcW w:w="1643" w:type="dxa"/>
            <w:tcBorders>
              <w:top w:val="single" w:sz="4" w:space="0" w:color="auto"/>
              <w:left w:val="nil"/>
              <w:bottom w:val="single" w:sz="4" w:space="0" w:color="auto"/>
              <w:right w:val="nil"/>
            </w:tcBorders>
            <w:shd w:val="clear" w:color="auto" w:fill="auto"/>
            <w:vAlign w:val="bottom"/>
            <w:hideMark/>
          </w:tcPr>
          <w:p w14:paraId="5EA734A3" w14:textId="2B9DE69E" w:rsidR="009D74ED" w:rsidRPr="00274898" w:rsidRDefault="009D74ED" w:rsidP="00274898">
            <w:pPr>
              <w:jc w:val="right"/>
              <w:rPr>
                <w:rFonts w:cs="Arial"/>
                <w:b/>
                <w:bCs/>
                <w:color w:val="000000"/>
                <w:sz w:val="22"/>
                <w:szCs w:val="22"/>
                <w:lang w:eastAsia="en-AU"/>
              </w:rPr>
            </w:pPr>
            <w:r>
              <w:rPr>
                <w:sz w:val="22"/>
                <w:szCs w:val="22"/>
              </w:rPr>
              <w:t>2014</w:t>
            </w:r>
            <w:r w:rsidRPr="00274898">
              <w:rPr>
                <w:sz w:val="22"/>
                <w:szCs w:val="22"/>
              </w:rPr>
              <w:t xml:space="preserve"> </w:t>
            </w:r>
          </w:p>
        </w:tc>
      </w:tr>
      <w:tr w:rsidR="009D74ED" w:rsidRPr="00FA2B43" w14:paraId="5EA734BC" w14:textId="77777777" w:rsidTr="009D74ED">
        <w:trPr>
          <w:trHeight w:val="600"/>
        </w:trPr>
        <w:tc>
          <w:tcPr>
            <w:tcW w:w="4882" w:type="dxa"/>
            <w:tcBorders>
              <w:top w:val="nil"/>
              <w:left w:val="nil"/>
              <w:bottom w:val="nil"/>
              <w:right w:val="nil"/>
            </w:tcBorders>
            <w:shd w:val="clear" w:color="auto" w:fill="auto"/>
            <w:vAlign w:val="bottom"/>
            <w:hideMark/>
          </w:tcPr>
          <w:p w14:paraId="5EA734B7" w14:textId="195E182C" w:rsidR="009D74ED" w:rsidRPr="00FA2B43" w:rsidRDefault="009D74ED" w:rsidP="00FA2B43">
            <w:pPr>
              <w:rPr>
                <w:rFonts w:cs="Arial"/>
                <w:color w:val="000000"/>
                <w:sz w:val="22"/>
                <w:szCs w:val="22"/>
                <w:lang w:eastAsia="en-AU"/>
              </w:rPr>
            </w:pPr>
            <w:r w:rsidRPr="0037207C">
              <w:rPr>
                <w:rFonts w:cs="Arial"/>
                <w:color w:val="000000"/>
                <w:sz w:val="22"/>
                <w:szCs w:val="22"/>
                <w:lang w:eastAsia="en-AU"/>
              </w:rPr>
              <w:t xml:space="preserve">Mark to market revaluation on available for sale </w:t>
            </w:r>
            <w:r w:rsidRPr="00FA2B43" w:rsidDel="00FD6CA3">
              <w:rPr>
                <w:rFonts w:cs="Arial"/>
                <w:color w:val="000000"/>
                <w:sz w:val="22"/>
                <w:szCs w:val="22"/>
                <w:lang w:eastAsia="en-AU"/>
              </w:rPr>
              <w:t>investments</w:t>
            </w:r>
          </w:p>
        </w:tc>
        <w:tc>
          <w:tcPr>
            <w:tcW w:w="2105" w:type="dxa"/>
            <w:tcBorders>
              <w:top w:val="nil"/>
              <w:left w:val="nil"/>
              <w:bottom w:val="nil"/>
              <w:right w:val="nil"/>
            </w:tcBorders>
            <w:shd w:val="clear" w:color="000000" w:fill="BFBFBF" w:themeFill="background1" w:themeFillShade="BF"/>
            <w:vAlign w:val="center"/>
          </w:tcPr>
          <w:p w14:paraId="5EA734BA" w14:textId="77777777" w:rsidR="009D74ED" w:rsidRPr="00FA2B43" w:rsidRDefault="009D74ED" w:rsidP="00EF66A7">
            <w:pPr>
              <w:jc w:val="right"/>
              <w:rPr>
                <w:rFonts w:cs="Arial"/>
                <w:color w:val="000000"/>
                <w:sz w:val="22"/>
                <w:szCs w:val="22"/>
                <w:lang w:eastAsia="en-AU"/>
              </w:rPr>
            </w:pPr>
            <w:r>
              <w:rPr>
                <w:rFonts w:cs="Arial"/>
                <w:color w:val="000000"/>
                <w:sz w:val="22"/>
                <w:szCs w:val="22"/>
                <w:lang w:eastAsia="en-AU"/>
              </w:rPr>
              <w:t>(3,166)</w:t>
            </w:r>
          </w:p>
        </w:tc>
        <w:tc>
          <w:tcPr>
            <w:tcW w:w="1643" w:type="dxa"/>
            <w:tcBorders>
              <w:top w:val="nil"/>
              <w:left w:val="nil"/>
              <w:bottom w:val="nil"/>
              <w:right w:val="nil"/>
            </w:tcBorders>
            <w:shd w:val="clear" w:color="auto" w:fill="auto"/>
            <w:vAlign w:val="center"/>
            <w:hideMark/>
          </w:tcPr>
          <w:p w14:paraId="5EA734BB" w14:textId="77777777" w:rsidR="009D74ED" w:rsidRPr="00274898" w:rsidRDefault="009D74ED" w:rsidP="00274898">
            <w:pPr>
              <w:jc w:val="right"/>
              <w:rPr>
                <w:rFonts w:cs="Arial"/>
                <w:color w:val="000000"/>
                <w:sz w:val="22"/>
                <w:szCs w:val="22"/>
                <w:lang w:eastAsia="en-AU"/>
              </w:rPr>
            </w:pPr>
            <w:r w:rsidRPr="00274898">
              <w:rPr>
                <w:sz w:val="22"/>
                <w:szCs w:val="22"/>
              </w:rPr>
              <w:t>3,029</w:t>
            </w:r>
          </w:p>
        </w:tc>
      </w:tr>
      <w:tr w:rsidR="009D74ED" w:rsidRPr="00FA2B43" w14:paraId="5EA734C8" w14:textId="77777777" w:rsidTr="009D74ED">
        <w:trPr>
          <w:trHeight w:val="662"/>
        </w:trPr>
        <w:tc>
          <w:tcPr>
            <w:tcW w:w="4882" w:type="dxa"/>
            <w:tcBorders>
              <w:top w:val="nil"/>
              <w:left w:val="nil"/>
              <w:bottom w:val="nil"/>
              <w:right w:val="nil"/>
            </w:tcBorders>
            <w:shd w:val="clear" w:color="auto" w:fill="auto"/>
            <w:vAlign w:val="bottom"/>
            <w:hideMark/>
          </w:tcPr>
          <w:p w14:paraId="5EA734C3" w14:textId="77777777" w:rsidR="009D74ED" w:rsidRPr="00FA2B43" w:rsidRDefault="009D74ED" w:rsidP="00FA2B43">
            <w:pPr>
              <w:rPr>
                <w:rFonts w:cs="Arial"/>
                <w:color w:val="000000"/>
                <w:sz w:val="22"/>
                <w:szCs w:val="22"/>
                <w:lang w:eastAsia="en-AU"/>
              </w:rPr>
            </w:pPr>
            <w:r w:rsidRPr="00FA2B43">
              <w:rPr>
                <w:rFonts w:cs="Arial"/>
                <w:color w:val="000000"/>
                <w:sz w:val="22"/>
                <w:szCs w:val="22"/>
                <w:lang w:eastAsia="en-AU"/>
              </w:rPr>
              <w:t>Impairment loss on available for sale investments transferred to Statement of Comprehensive Income</w:t>
            </w:r>
          </w:p>
        </w:tc>
        <w:tc>
          <w:tcPr>
            <w:tcW w:w="2105" w:type="dxa"/>
            <w:tcBorders>
              <w:top w:val="nil"/>
              <w:left w:val="nil"/>
              <w:bottom w:val="nil"/>
              <w:right w:val="nil"/>
            </w:tcBorders>
            <w:shd w:val="clear" w:color="000000" w:fill="BFBFBF" w:themeFill="background1" w:themeFillShade="BF"/>
            <w:vAlign w:val="center"/>
          </w:tcPr>
          <w:p w14:paraId="5EA734C6" w14:textId="77777777" w:rsidR="009D74ED" w:rsidRPr="00FA2B43" w:rsidRDefault="009D74ED" w:rsidP="00B00999">
            <w:pPr>
              <w:jc w:val="right"/>
              <w:rPr>
                <w:rFonts w:cs="Arial"/>
                <w:color w:val="000000"/>
                <w:sz w:val="22"/>
                <w:szCs w:val="22"/>
                <w:lang w:eastAsia="en-AU"/>
              </w:rPr>
            </w:pPr>
            <w:r>
              <w:rPr>
                <w:rFonts w:cs="Arial"/>
                <w:color w:val="000000"/>
                <w:sz w:val="22"/>
                <w:szCs w:val="22"/>
                <w:lang w:eastAsia="en-AU"/>
              </w:rPr>
              <w:t>244</w:t>
            </w:r>
          </w:p>
        </w:tc>
        <w:tc>
          <w:tcPr>
            <w:tcW w:w="1643" w:type="dxa"/>
            <w:tcBorders>
              <w:top w:val="nil"/>
              <w:left w:val="nil"/>
              <w:bottom w:val="nil"/>
              <w:right w:val="nil"/>
            </w:tcBorders>
            <w:shd w:val="clear" w:color="auto" w:fill="auto"/>
            <w:vAlign w:val="center"/>
            <w:hideMark/>
          </w:tcPr>
          <w:p w14:paraId="5EA734C7" w14:textId="77777777" w:rsidR="009D74ED" w:rsidRPr="00274898" w:rsidRDefault="009D74ED" w:rsidP="00274898">
            <w:pPr>
              <w:jc w:val="right"/>
              <w:rPr>
                <w:rFonts w:cs="Arial"/>
                <w:color w:val="000000"/>
                <w:sz w:val="22"/>
                <w:szCs w:val="22"/>
                <w:lang w:eastAsia="en-AU"/>
              </w:rPr>
            </w:pPr>
            <w:r w:rsidRPr="00274898">
              <w:rPr>
                <w:sz w:val="22"/>
                <w:szCs w:val="22"/>
              </w:rPr>
              <w:t>445</w:t>
            </w:r>
          </w:p>
        </w:tc>
      </w:tr>
      <w:tr w:rsidR="009D74ED" w:rsidRPr="00FA2B43" w14:paraId="5EA734D4" w14:textId="77777777" w:rsidTr="009D74ED">
        <w:trPr>
          <w:trHeight w:val="538"/>
        </w:trPr>
        <w:tc>
          <w:tcPr>
            <w:tcW w:w="4882" w:type="dxa"/>
            <w:tcBorders>
              <w:top w:val="nil"/>
              <w:left w:val="nil"/>
              <w:bottom w:val="nil"/>
              <w:right w:val="nil"/>
            </w:tcBorders>
            <w:shd w:val="clear" w:color="auto" w:fill="auto"/>
            <w:vAlign w:val="center"/>
            <w:hideMark/>
          </w:tcPr>
          <w:p w14:paraId="5EA734CF" w14:textId="40899A49" w:rsidR="009D74ED" w:rsidRPr="00FA2B43" w:rsidRDefault="009D74ED" w:rsidP="00574AF6">
            <w:pPr>
              <w:rPr>
                <w:rFonts w:cs="Arial"/>
                <w:color w:val="000000"/>
                <w:sz w:val="22"/>
                <w:szCs w:val="22"/>
                <w:lang w:eastAsia="en-AU"/>
              </w:rPr>
            </w:pPr>
            <w:r w:rsidRPr="0037207C">
              <w:rPr>
                <w:rFonts w:cs="Arial"/>
                <w:color w:val="000000"/>
                <w:sz w:val="22"/>
                <w:szCs w:val="22"/>
                <w:lang w:eastAsia="en-AU"/>
              </w:rPr>
              <w:t xml:space="preserve">Impairment loss derecognised on disposal of available for sale </w:t>
            </w:r>
            <w:r w:rsidRPr="00FA2B43" w:rsidDel="00A6416D">
              <w:rPr>
                <w:rFonts w:cs="Arial"/>
                <w:color w:val="000000"/>
                <w:sz w:val="22"/>
                <w:szCs w:val="22"/>
                <w:lang w:eastAsia="en-AU"/>
              </w:rPr>
              <w:t>investments</w:t>
            </w:r>
          </w:p>
        </w:tc>
        <w:tc>
          <w:tcPr>
            <w:tcW w:w="2105" w:type="dxa"/>
            <w:tcBorders>
              <w:top w:val="nil"/>
              <w:left w:val="nil"/>
              <w:bottom w:val="single" w:sz="4" w:space="0" w:color="auto"/>
              <w:right w:val="nil"/>
            </w:tcBorders>
            <w:shd w:val="clear" w:color="000000" w:fill="BFBFBF" w:themeFill="background1" w:themeFillShade="BF"/>
            <w:vAlign w:val="center"/>
          </w:tcPr>
          <w:p w14:paraId="5EA734D2" w14:textId="77777777" w:rsidR="009D74ED" w:rsidRPr="00FA2B43" w:rsidRDefault="009D74ED" w:rsidP="00B00999">
            <w:pPr>
              <w:jc w:val="right"/>
              <w:rPr>
                <w:rFonts w:cs="Arial"/>
                <w:color w:val="000000"/>
                <w:sz w:val="22"/>
                <w:szCs w:val="22"/>
                <w:lang w:eastAsia="en-AU"/>
              </w:rPr>
            </w:pPr>
            <w:r>
              <w:rPr>
                <w:rFonts w:cs="Arial"/>
                <w:color w:val="000000"/>
                <w:sz w:val="22"/>
                <w:szCs w:val="22"/>
                <w:lang w:eastAsia="en-AU"/>
              </w:rPr>
              <w:t>(935)</w:t>
            </w:r>
          </w:p>
        </w:tc>
        <w:tc>
          <w:tcPr>
            <w:tcW w:w="1643" w:type="dxa"/>
            <w:tcBorders>
              <w:top w:val="nil"/>
              <w:left w:val="nil"/>
              <w:bottom w:val="single" w:sz="4" w:space="0" w:color="auto"/>
              <w:right w:val="nil"/>
            </w:tcBorders>
            <w:shd w:val="clear" w:color="auto" w:fill="auto"/>
            <w:vAlign w:val="center"/>
            <w:hideMark/>
          </w:tcPr>
          <w:p w14:paraId="5EA734D3" w14:textId="77777777" w:rsidR="009D74ED" w:rsidRPr="00274898" w:rsidRDefault="009D74ED" w:rsidP="00274898">
            <w:pPr>
              <w:jc w:val="right"/>
              <w:rPr>
                <w:rFonts w:cs="Arial"/>
                <w:color w:val="000000"/>
                <w:sz w:val="22"/>
                <w:szCs w:val="22"/>
                <w:lang w:eastAsia="en-AU"/>
              </w:rPr>
            </w:pPr>
            <w:r w:rsidRPr="00274898">
              <w:rPr>
                <w:sz w:val="22"/>
                <w:szCs w:val="22"/>
              </w:rPr>
              <w:t>(1,394)</w:t>
            </w:r>
          </w:p>
        </w:tc>
      </w:tr>
      <w:tr w:rsidR="009D74ED" w:rsidRPr="00FA2B43" w14:paraId="5EA734DA" w14:textId="77777777" w:rsidTr="009D74ED">
        <w:trPr>
          <w:trHeight w:val="288"/>
        </w:trPr>
        <w:tc>
          <w:tcPr>
            <w:tcW w:w="4882" w:type="dxa"/>
            <w:tcBorders>
              <w:top w:val="nil"/>
              <w:left w:val="nil"/>
              <w:bottom w:val="nil"/>
              <w:right w:val="nil"/>
            </w:tcBorders>
            <w:shd w:val="clear" w:color="auto" w:fill="auto"/>
            <w:vAlign w:val="center"/>
            <w:hideMark/>
          </w:tcPr>
          <w:p w14:paraId="5EA734D5" w14:textId="04707FC0" w:rsidR="009D74ED" w:rsidRPr="00FA2B43" w:rsidRDefault="009D74ED" w:rsidP="00FA2B43">
            <w:pPr>
              <w:rPr>
                <w:rFonts w:cs="Arial"/>
                <w:color w:val="000000"/>
                <w:sz w:val="22"/>
                <w:szCs w:val="22"/>
                <w:lang w:eastAsia="en-AU"/>
              </w:rPr>
            </w:pPr>
            <w:r>
              <w:rPr>
                <w:rFonts w:cs="Arial"/>
                <w:color w:val="000000"/>
                <w:sz w:val="22"/>
                <w:szCs w:val="22"/>
                <w:lang w:eastAsia="en-AU"/>
              </w:rPr>
              <w:t>Subtotal</w:t>
            </w:r>
          </w:p>
        </w:tc>
        <w:tc>
          <w:tcPr>
            <w:tcW w:w="2105" w:type="dxa"/>
            <w:tcBorders>
              <w:top w:val="nil"/>
              <w:left w:val="nil"/>
              <w:bottom w:val="single" w:sz="8" w:space="0" w:color="auto"/>
              <w:right w:val="nil"/>
            </w:tcBorders>
            <w:shd w:val="clear" w:color="000000" w:fill="BFBFBF" w:themeFill="background1" w:themeFillShade="BF"/>
            <w:vAlign w:val="bottom"/>
          </w:tcPr>
          <w:p w14:paraId="5EA734D8" w14:textId="77777777" w:rsidR="009D74ED" w:rsidRPr="00FA2B43" w:rsidRDefault="009D74ED" w:rsidP="00EF66A7">
            <w:pPr>
              <w:jc w:val="right"/>
              <w:rPr>
                <w:rFonts w:cs="Arial"/>
                <w:color w:val="000000"/>
                <w:sz w:val="22"/>
                <w:szCs w:val="22"/>
                <w:lang w:eastAsia="en-AU"/>
              </w:rPr>
            </w:pPr>
            <w:r>
              <w:rPr>
                <w:rFonts w:cs="Arial"/>
                <w:color w:val="000000"/>
                <w:sz w:val="22"/>
                <w:szCs w:val="22"/>
                <w:lang w:eastAsia="en-AU"/>
              </w:rPr>
              <w:t>(3,857)</w:t>
            </w:r>
          </w:p>
        </w:tc>
        <w:tc>
          <w:tcPr>
            <w:tcW w:w="1643" w:type="dxa"/>
            <w:tcBorders>
              <w:top w:val="nil"/>
              <w:left w:val="nil"/>
              <w:bottom w:val="single" w:sz="8" w:space="0" w:color="auto"/>
              <w:right w:val="nil"/>
            </w:tcBorders>
            <w:shd w:val="clear" w:color="auto" w:fill="auto"/>
            <w:vAlign w:val="bottom"/>
            <w:hideMark/>
          </w:tcPr>
          <w:p w14:paraId="5EA734D9" w14:textId="77777777" w:rsidR="009D74ED" w:rsidRPr="00274898" w:rsidRDefault="009D74ED" w:rsidP="00274898">
            <w:pPr>
              <w:jc w:val="right"/>
              <w:rPr>
                <w:rFonts w:cs="Arial"/>
                <w:color w:val="000000"/>
                <w:sz w:val="22"/>
                <w:szCs w:val="22"/>
                <w:lang w:eastAsia="en-AU"/>
              </w:rPr>
            </w:pPr>
            <w:r w:rsidRPr="00274898">
              <w:rPr>
                <w:sz w:val="22"/>
                <w:szCs w:val="22"/>
              </w:rPr>
              <w:t>2,080</w:t>
            </w:r>
          </w:p>
        </w:tc>
      </w:tr>
      <w:tr w:rsidR="009D74ED" w:rsidRPr="00FA2B43" w14:paraId="5EA734E0" w14:textId="77777777" w:rsidTr="009D74ED">
        <w:trPr>
          <w:trHeight w:val="450"/>
        </w:trPr>
        <w:tc>
          <w:tcPr>
            <w:tcW w:w="4882" w:type="dxa"/>
            <w:tcBorders>
              <w:top w:val="nil"/>
              <w:left w:val="nil"/>
              <w:bottom w:val="nil"/>
              <w:right w:val="nil"/>
            </w:tcBorders>
            <w:shd w:val="clear" w:color="auto" w:fill="auto"/>
            <w:vAlign w:val="center"/>
            <w:hideMark/>
          </w:tcPr>
          <w:p w14:paraId="5EA734DB" w14:textId="77777777" w:rsidR="009D74ED" w:rsidRPr="00FA2B43" w:rsidRDefault="009D74ED" w:rsidP="00FA2B43">
            <w:pPr>
              <w:rPr>
                <w:rFonts w:cs="Arial"/>
                <w:b/>
                <w:bCs/>
                <w:color w:val="000000"/>
                <w:sz w:val="22"/>
                <w:szCs w:val="22"/>
                <w:lang w:eastAsia="en-AU"/>
              </w:rPr>
            </w:pPr>
            <w:r w:rsidRPr="00FA2B43">
              <w:rPr>
                <w:rFonts w:cs="Arial"/>
                <w:b/>
                <w:bCs/>
                <w:color w:val="000000"/>
                <w:sz w:val="22"/>
                <w:szCs w:val="22"/>
                <w:lang w:eastAsia="en-AU"/>
              </w:rPr>
              <w:t>TOTAL COMPREHENSIVE INCOME FOR THE YEAR</w:t>
            </w:r>
          </w:p>
        </w:tc>
        <w:tc>
          <w:tcPr>
            <w:tcW w:w="2105" w:type="dxa"/>
            <w:tcBorders>
              <w:top w:val="nil"/>
              <w:left w:val="nil"/>
              <w:bottom w:val="single" w:sz="8" w:space="0" w:color="auto"/>
              <w:right w:val="nil"/>
            </w:tcBorders>
            <w:shd w:val="clear" w:color="000000" w:fill="BFBFBF" w:themeFill="background1" w:themeFillShade="BF"/>
            <w:vAlign w:val="bottom"/>
          </w:tcPr>
          <w:p w14:paraId="5EA734DE" w14:textId="77777777" w:rsidR="009D74ED" w:rsidRPr="00FA2B43" w:rsidRDefault="009D74ED" w:rsidP="00EF66A7">
            <w:pPr>
              <w:jc w:val="right"/>
              <w:rPr>
                <w:rFonts w:cs="Arial"/>
                <w:b/>
                <w:bCs/>
                <w:color w:val="000000"/>
                <w:sz w:val="22"/>
                <w:szCs w:val="22"/>
                <w:lang w:eastAsia="en-AU"/>
              </w:rPr>
            </w:pPr>
            <w:r>
              <w:rPr>
                <w:rFonts w:cs="Arial"/>
                <w:b/>
                <w:bCs/>
                <w:color w:val="000000"/>
                <w:sz w:val="22"/>
                <w:szCs w:val="22"/>
                <w:lang w:eastAsia="en-AU"/>
              </w:rPr>
              <w:t>6,402</w:t>
            </w:r>
          </w:p>
        </w:tc>
        <w:tc>
          <w:tcPr>
            <w:tcW w:w="1643" w:type="dxa"/>
            <w:tcBorders>
              <w:top w:val="nil"/>
              <w:left w:val="nil"/>
              <w:bottom w:val="single" w:sz="8" w:space="0" w:color="auto"/>
              <w:right w:val="nil"/>
            </w:tcBorders>
            <w:shd w:val="clear" w:color="auto" w:fill="auto"/>
            <w:vAlign w:val="bottom"/>
            <w:hideMark/>
          </w:tcPr>
          <w:p w14:paraId="5EA734DF" w14:textId="77777777" w:rsidR="009D74ED" w:rsidRPr="00274898" w:rsidRDefault="009D74ED" w:rsidP="00274898">
            <w:pPr>
              <w:jc w:val="right"/>
              <w:rPr>
                <w:rFonts w:cs="Arial"/>
                <w:b/>
                <w:bCs/>
                <w:color w:val="000000"/>
                <w:sz w:val="22"/>
                <w:szCs w:val="22"/>
                <w:lang w:eastAsia="en-AU"/>
              </w:rPr>
            </w:pPr>
            <w:r w:rsidRPr="00274898">
              <w:rPr>
                <w:b/>
                <w:sz w:val="22"/>
                <w:szCs w:val="22"/>
              </w:rPr>
              <w:t>9,593</w:t>
            </w:r>
          </w:p>
        </w:tc>
      </w:tr>
    </w:tbl>
    <w:p w14:paraId="2A150ED0" w14:textId="77777777" w:rsidR="00FA7C6C" w:rsidRDefault="00FA7C6C">
      <w:pPr>
        <w:rPr>
          <w:rFonts w:cs="Arial"/>
          <w:b/>
          <w:bCs/>
          <w:color w:val="000000"/>
          <w:sz w:val="22"/>
          <w:szCs w:val="22"/>
          <w:lang w:eastAsia="en-AU"/>
        </w:rPr>
      </w:pPr>
      <w:r>
        <w:rPr>
          <w:rFonts w:cs="Arial"/>
          <w:b/>
          <w:bCs/>
          <w:color w:val="000000"/>
          <w:sz w:val="22"/>
          <w:szCs w:val="22"/>
          <w:lang w:eastAsia="en-AU"/>
        </w:rPr>
        <w:br w:type="page"/>
      </w:r>
    </w:p>
    <w:p w14:paraId="2160A795" w14:textId="5499C485" w:rsidR="00FA7C6C" w:rsidRDefault="00FA7C6C" w:rsidP="00FA7C6C">
      <w:pPr>
        <w:pStyle w:val="Heading1"/>
        <w:rPr>
          <w:lang w:eastAsia="en-AU"/>
        </w:rPr>
      </w:pPr>
      <w:bookmarkStart w:id="125" w:name="_Toc430613705"/>
      <w:r w:rsidRPr="00E200DC">
        <w:rPr>
          <w:lang w:eastAsia="en-AU"/>
        </w:rPr>
        <w:lastRenderedPageBreak/>
        <w:t>Consolidated Statement of Financial Position as at 30 June 201</w:t>
      </w:r>
      <w:r>
        <w:rPr>
          <w:lang w:eastAsia="en-AU"/>
        </w:rPr>
        <w:t>5</w:t>
      </w:r>
      <w:bookmarkEnd w:id="125"/>
    </w:p>
    <w:p w14:paraId="392ADE8C" w14:textId="77777777" w:rsidR="00245BD8" w:rsidRPr="00245BD8" w:rsidRDefault="00245BD8" w:rsidP="00245BD8">
      <w:pPr>
        <w:rPr>
          <w:lang w:eastAsia="en-AU"/>
        </w:rPr>
      </w:pPr>
    </w:p>
    <w:tbl>
      <w:tblPr>
        <w:tblW w:w="8901" w:type="dxa"/>
        <w:tblInd w:w="108" w:type="dxa"/>
        <w:tblLook w:val="04A0" w:firstRow="1" w:lastRow="0" w:firstColumn="1" w:lastColumn="0" w:noHBand="0" w:noVBand="1"/>
      </w:tblPr>
      <w:tblGrid>
        <w:gridCol w:w="4349"/>
        <w:gridCol w:w="1184"/>
        <w:gridCol w:w="1684"/>
        <w:gridCol w:w="1684"/>
      </w:tblGrid>
      <w:tr w:rsidR="009D74ED" w:rsidRPr="00E200DC" w14:paraId="5EA73501" w14:textId="77777777" w:rsidTr="00245BD8">
        <w:trPr>
          <w:trHeight w:val="319"/>
          <w:tblHeader/>
        </w:trPr>
        <w:tc>
          <w:tcPr>
            <w:tcW w:w="4349" w:type="dxa"/>
            <w:tcBorders>
              <w:top w:val="nil"/>
              <w:left w:val="nil"/>
              <w:bottom w:val="nil"/>
              <w:right w:val="nil"/>
            </w:tcBorders>
            <w:shd w:val="clear" w:color="auto" w:fill="auto"/>
            <w:vAlign w:val="center"/>
            <w:hideMark/>
          </w:tcPr>
          <w:p w14:paraId="5EA734FC" w14:textId="567CD3D2" w:rsidR="009D74ED" w:rsidRPr="00E200DC" w:rsidRDefault="00245BD8" w:rsidP="00E200DC">
            <w:pPr>
              <w:rPr>
                <w:rFonts w:cs="Arial"/>
                <w:color w:val="000000"/>
                <w:sz w:val="22"/>
                <w:szCs w:val="22"/>
                <w:lang w:eastAsia="en-AU"/>
              </w:rPr>
            </w:pPr>
            <w:bookmarkStart w:id="126" w:name="Table_8"/>
            <w:bookmarkEnd w:id="126"/>
            <w:r w:rsidRPr="00E200DC">
              <w:rPr>
                <w:rFonts w:cs="Arial"/>
                <w:b/>
                <w:bCs/>
                <w:color w:val="000000"/>
                <w:sz w:val="22"/>
                <w:szCs w:val="22"/>
                <w:lang w:eastAsia="en-AU"/>
              </w:rPr>
              <w:t>Current assets</w:t>
            </w:r>
          </w:p>
        </w:tc>
        <w:tc>
          <w:tcPr>
            <w:tcW w:w="1184" w:type="dxa"/>
            <w:tcBorders>
              <w:top w:val="nil"/>
              <w:left w:val="nil"/>
              <w:bottom w:val="single" w:sz="12" w:space="0" w:color="000000"/>
              <w:right w:val="nil"/>
            </w:tcBorders>
            <w:shd w:val="clear" w:color="auto" w:fill="auto"/>
            <w:vAlign w:val="center"/>
            <w:hideMark/>
          </w:tcPr>
          <w:p w14:paraId="5EA734FD" w14:textId="40402BD0" w:rsidR="009D74ED" w:rsidRPr="00E200DC" w:rsidRDefault="009D74ED" w:rsidP="00E200DC">
            <w:pPr>
              <w:rPr>
                <w:rFonts w:cs="Arial"/>
                <w:color w:val="000000"/>
                <w:sz w:val="22"/>
                <w:szCs w:val="22"/>
                <w:lang w:eastAsia="en-AU"/>
              </w:rPr>
            </w:pPr>
            <w:r>
              <w:rPr>
                <w:rFonts w:cs="Arial"/>
                <w:color w:val="000000"/>
                <w:sz w:val="22"/>
                <w:szCs w:val="22"/>
                <w:lang w:eastAsia="en-AU"/>
              </w:rPr>
              <w:t>NOTE</w:t>
            </w:r>
          </w:p>
        </w:tc>
        <w:tc>
          <w:tcPr>
            <w:tcW w:w="1684" w:type="dxa"/>
            <w:tcBorders>
              <w:top w:val="nil"/>
              <w:left w:val="nil"/>
              <w:bottom w:val="single" w:sz="12" w:space="0" w:color="auto"/>
              <w:right w:val="nil"/>
            </w:tcBorders>
            <w:shd w:val="clear" w:color="000000" w:fill="BFBFBF" w:themeFill="background1" w:themeFillShade="BF"/>
            <w:vAlign w:val="center"/>
          </w:tcPr>
          <w:p w14:paraId="5EA734FF" w14:textId="3942CFBB" w:rsidR="009D74ED" w:rsidRPr="006C0CC6" w:rsidRDefault="009D74ED" w:rsidP="006C0CC6">
            <w:pPr>
              <w:jc w:val="right"/>
              <w:rPr>
                <w:rFonts w:cs="Arial"/>
                <w:b/>
                <w:color w:val="000000"/>
                <w:sz w:val="22"/>
                <w:szCs w:val="22"/>
                <w:lang w:eastAsia="en-AU"/>
              </w:rPr>
            </w:pPr>
            <w:r w:rsidRPr="006C0CC6">
              <w:rPr>
                <w:rFonts w:cs="Arial"/>
                <w:b/>
                <w:color w:val="000000"/>
                <w:sz w:val="22"/>
                <w:szCs w:val="22"/>
                <w:lang w:eastAsia="en-AU"/>
              </w:rPr>
              <w:t>2015</w:t>
            </w:r>
          </w:p>
        </w:tc>
        <w:tc>
          <w:tcPr>
            <w:tcW w:w="1684" w:type="dxa"/>
            <w:tcBorders>
              <w:top w:val="nil"/>
              <w:left w:val="nil"/>
              <w:bottom w:val="single" w:sz="12" w:space="0" w:color="auto"/>
              <w:right w:val="nil"/>
            </w:tcBorders>
            <w:shd w:val="clear" w:color="auto" w:fill="auto"/>
            <w:vAlign w:val="center"/>
          </w:tcPr>
          <w:p w14:paraId="5EA73500" w14:textId="5327FDCB" w:rsidR="009D74ED" w:rsidRPr="00E200DC" w:rsidRDefault="009D74ED" w:rsidP="006C0CC6">
            <w:pPr>
              <w:jc w:val="right"/>
              <w:rPr>
                <w:rFonts w:cs="Arial"/>
                <w:color w:val="000000"/>
                <w:sz w:val="22"/>
                <w:szCs w:val="22"/>
                <w:lang w:eastAsia="en-AU"/>
              </w:rPr>
            </w:pPr>
            <w:r w:rsidRPr="00E200DC">
              <w:rPr>
                <w:rFonts w:cs="Arial"/>
                <w:color w:val="000000"/>
                <w:sz w:val="22"/>
                <w:szCs w:val="22"/>
                <w:lang w:eastAsia="en-AU"/>
              </w:rPr>
              <w:t>2014</w:t>
            </w:r>
          </w:p>
        </w:tc>
      </w:tr>
      <w:tr w:rsidR="009D74ED" w:rsidRPr="00E200DC" w14:paraId="5EA7350D" w14:textId="77777777" w:rsidTr="009D74ED">
        <w:trPr>
          <w:trHeight w:val="319"/>
        </w:trPr>
        <w:tc>
          <w:tcPr>
            <w:tcW w:w="4349" w:type="dxa"/>
            <w:tcBorders>
              <w:top w:val="nil"/>
              <w:left w:val="nil"/>
              <w:bottom w:val="nil"/>
              <w:right w:val="nil"/>
            </w:tcBorders>
            <w:shd w:val="clear" w:color="auto" w:fill="auto"/>
            <w:vAlign w:val="center"/>
            <w:hideMark/>
          </w:tcPr>
          <w:p w14:paraId="5EA73508"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Cash and cash equivalents</w:t>
            </w:r>
          </w:p>
        </w:tc>
        <w:tc>
          <w:tcPr>
            <w:tcW w:w="1184" w:type="dxa"/>
            <w:tcBorders>
              <w:top w:val="nil"/>
              <w:left w:val="nil"/>
              <w:bottom w:val="nil"/>
              <w:right w:val="nil"/>
            </w:tcBorders>
            <w:shd w:val="clear" w:color="auto" w:fill="auto"/>
            <w:vAlign w:val="center"/>
            <w:hideMark/>
          </w:tcPr>
          <w:p w14:paraId="5EA73509" w14:textId="318FD3C0" w:rsidR="009D74ED" w:rsidRPr="00E200DC" w:rsidRDefault="009D74ED">
            <w:pPr>
              <w:jc w:val="center"/>
              <w:rPr>
                <w:rFonts w:cs="Arial"/>
                <w:sz w:val="22"/>
                <w:szCs w:val="22"/>
                <w:lang w:eastAsia="en-AU"/>
              </w:rPr>
            </w:pPr>
            <w:hyperlink r:id="rId29" w:anchor="'Note 24'!A1" w:history="1">
              <w:r w:rsidRPr="00E200DC">
                <w:rPr>
                  <w:rFonts w:cs="Arial"/>
                  <w:sz w:val="22"/>
                  <w:szCs w:val="22"/>
                  <w:lang w:eastAsia="en-AU"/>
                </w:rPr>
                <w:t>2</w:t>
              </w:r>
              <w:r>
                <w:rPr>
                  <w:rFonts w:cs="Arial"/>
                  <w:sz w:val="22"/>
                  <w:szCs w:val="22"/>
                  <w:lang w:eastAsia="en-AU"/>
                </w:rPr>
                <w:t>3</w:t>
              </w:r>
              <w:r w:rsidRPr="00E200DC">
                <w:rPr>
                  <w:rFonts w:cs="Arial"/>
                  <w:sz w:val="22"/>
                  <w:szCs w:val="22"/>
                  <w:lang w:eastAsia="en-AU"/>
                </w:rPr>
                <w:t xml:space="preserve">(a) </w:t>
              </w:r>
            </w:hyperlink>
          </w:p>
        </w:tc>
        <w:tc>
          <w:tcPr>
            <w:tcW w:w="1684" w:type="dxa"/>
            <w:tcBorders>
              <w:top w:val="nil"/>
              <w:left w:val="nil"/>
              <w:bottom w:val="nil"/>
              <w:right w:val="nil"/>
            </w:tcBorders>
            <w:shd w:val="clear" w:color="000000" w:fill="BFBFBF" w:themeFill="background1" w:themeFillShade="BF"/>
            <w:vAlign w:val="center"/>
          </w:tcPr>
          <w:p w14:paraId="5EA7350B" w14:textId="77777777" w:rsidR="009D74ED" w:rsidRPr="00E200DC" w:rsidRDefault="009D74ED" w:rsidP="00EF66A7">
            <w:pPr>
              <w:jc w:val="right"/>
              <w:rPr>
                <w:rFonts w:cs="Arial"/>
                <w:color w:val="000000"/>
                <w:sz w:val="22"/>
                <w:szCs w:val="22"/>
                <w:lang w:eastAsia="en-AU"/>
              </w:rPr>
            </w:pPr>
            <w:r>
              <w:rPr>
                <w:rFonts w:cs="Arial"/>
                <w:color w:val="000000"/>
                <w:sz w:val="22"/>
                <w:szCs w:val="22"/>
                <w:lang w:eastAsia="en-AU"/>
              </w:rPr>
              <w:t>7,705</w:t>
            </w:r>
          </w:p>
        </w:tc>
        <w:tc>
          <w:tcPr>
            <w:tcW w:w="1684" w:type="dxa"/>
            <w:tcBorders>
              <w:top w:val="nil"/>
              <w:left w:val="nil"/>
              <w:bottom w:val="nil"/>
              <w:right w:val="nil"/>
            </w:tcBorders>
            <w:shd w:val="clear" w:color="auto" w:fill="auto"/>
            <w:vAlign w:val="center"/>
            <w:hideMark/>
          </w:tcPr>
          <w:p w14:paraId="5EA7350C"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11,966</w:t>
            </w:r>
          </w:p>
        </w:tc>
      </w:tr>
      <w:tr w:rsidR="009D74ED" w:rsidRPr="00E200DC" w14:paraId="5EA73513" w14:textId="77777777" w:rsidTr="009D74ED">
        <w:trPr>
          <w:trHeight w:val="319"/>
        </w:trPr>
        <w:tc>
          <w:tcPr>
            <w:tcW w:w="4349" w:type="dxa"/>
            <w:tcBorders>
              <w:top w:val="nil"/>
              <w:left w:val="nil"/>
              <w:bottom w:val="nil"/>
              <w:right w:val="nil"/>
            </w:tcBorders>
            <w:shd w:val="clear" w:color="auto" w:fill="auto"/>
            <w:vAlign w:val="center"/>
            <w:hideMark/>
          </w:tcPr>
          <w:p w14:paraId="5EA7350E"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Trade and other receivables</w:t>
            </w:r>
          </w:p>
        </w:tc>
        <w:tc>
          <w:tcPr>
            <w:tcW w:w="1184" w:type="dxa"/>
            <w:tcBorders>
              <w:top w:val="nil"/>
              <w:left w:val="nil"/>
              <w:bottom w:val="nil"/>
              <w:right w:val="nil"/>
            </w:tcBorders>
            <w:shd w:val="clear" w:color="auto" w:fill="auto"/>
            <w:vAlign w:val="center"/>
            <w:hideMark/>
          </w:tcPr>
          <w:p w14:paraId="5EA7350F" w14:textId="77777777" w:rsidR="009D74ED" w:rsidRPr="00E200DC" w:rsidRDefault="009D74ED" w:rsidP="00E200DC">
            <w:pPr>
              <w:jc w:val="center"/>
              <w:rPr>
                <w:rFonts w:cs="Arial"/>
                <w:sz w:val="22"/>
                <w:szCs w:val="22"/>
                <w:lang w:eastAsia="en-AU"/>
              </w:rPr>
            </w:pPr>
            <w:hyperlink r:id="rId30" w:anchor="'Note 6b, 7'!A1" w:history="1">
              <w:r w:rsidRPr="00E200DC">
                <w:rPr>
                  <w:rFonts w:cs="Arial"/>
                  <w:sz w:val="22"/>
                  <w:szCs w:val="22"/>
                  <w:lang w:eastAsia="en-AU"/>
                </w:rPr>
                <w:t>7</w:t>
              </w:r>
            </w:hyperlink>
          </w:p>
        </w:tc>
        <w:tc>
          <w:tcPr>
            <w:tcW w:w="1684" w:type="dxa"/>
            <w:tcBorders>
              <w:top w:val="nil"/>
              <w:left w:val="nil"/>
              <w:bottom w:val="nil"/>
              <w:right w:val="nil"/>
            </w:tcBorders>
            <w:shd w:val="clear" w:color="000000" w:fill="BFBFBF" w:themeFill="background1" w:themeFillShade="BF"/>
            <w:vAlign w:val="center"/>
          </w:tcPr>
          <w:p w14:paraId="5EA73511" w14:textId="5DAA972B" w:rsidR="009D74ED" w:rsidRPr="00E200DC" w:rsidRDefault="009D74ED">
            <w:pPr>
              <w:jc w:val="right"/>
              <w:rPr>
                <w:rFonts w:cs="Arial"/>
                <w:color w:val="000000"/>
                <w:sz w:val="22"/>
                <w:szCs w:val="22"/>
                <w:lang w:eastAsia="en-AU"/>
              </w:rPr>
            </w:pPr>
            <w:r>
              <w:rPr>
                <w:rFonts w:cs="Arial"/>
                <w:color w:val="000000"/>
                <w:sz w:val="22"/>
                <w:szCs w:val="22"/>
                <w:lang w:eastAsia="en-AU"/>
              </w:rPr>
              <w:t>2,954</w:t>
            </w:r>
          </w:p>
        </w:tc>
        <w:tc>
          <w:tcPr>
            <w:tcW w:w="1684" w:type="dxa"/>
            <w:tcBorders>
              <w:top w:val="nil"/>
              <w:left w:val="nil"/>
              <w:bottom w:val="nil"/>
              <w:right w:val="nil"/>
            </w:tcBorders>
            <w:shd w:val="clear" w:color="auto" w:fill="auto"/>
            <w:vAlign w:val="center"/>
            <w:hideMark/>
          </w:tcPr>
          <w:p w14:paraId="5EA73512"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2,991</w:t>
            </w:r>
          </w:p>
        </w:tc>
      </w:tr>
      <w:tr w:rsidR="009D74ED" w:rsidRPr="00E200DC" w14:paraId="5EA73519" w14:textId="77777777" w:rsidTr="009D74ED">
        <w:trPr>
          <w:trHeight w:val="319"/>
        </w:trPr>
        <w:tc>
          <w:tcPr>
            <w:tcW w:w="4349" w:type="dxa"/>
            <w:tcBorders>
              <w:top w:val="nil"/>
              <w:left w:val="nil"/>
              <w:bottom w:val="nil"/>
              <w:right w:val="nil"/>
            </w:tcBorders>
            <w:shd w:val="clear" w:color="auto" w:fill="auto"/>
            <w:vAlign w:val="center"/>
            <w:hideMark/>
          </w:tcPr>
          <w:p w14:paraId="5EA73514"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Other financial assets</w:t>
            </w:r>
          </w:p>
        </w:tc>
        <w:tc>
          <w:tcPr>
            <w:tcW w:w="1184" w:type="dxa"/>
            <w:tcBorders>
              <w:top w:val="nil"/>
              <w:left w:val="nil"/>
              <w:bottom w:val="nil"/>
              <w:right w:val="nil"/>
            </w:tcBorders>
            <w:shd w:val="clear" w:color="auto" w:fill="auto"/>
            <w:vAlign w:val="center"/>
            <w:hideMark/>
          </w:tcPr>
          <w:p w14:paraId="5EA73515" w14:textId="77777777" w:rsidR="009D74ED" w:rsidRPr="00E200DC" w:rsidRDefault="009D74ED" w:rsidP="00E200DC">
            <w:pPr>
              <w:jc w:val="center"/>
              <w:rPr>
                <w:rFonts w:cs="Arial"/>
                <w:sz w:val="22"/>
                <w:szCs w:val="22"/>
                <w:lang w:eastAsia="en-AU"/>
              </w:rPr>
            </w:pPr>
            <w:hyperlink r:id="rId31" w:anchor="'Note 7,8'!A1" w:history="1">
              <w:r w:rsidRPr="00E200DC">
                <w:rPr>
                  <w:rFonts w:cs="Arial"/>
                  <w:sz w:val="22"/>
                  <w:szCs w:val="22"/>
                  <w:lang w:eastAsia="en-AU"/>
                </w:rPr>
                <w:t>8</w:t>
              </w:r>
            </w:hyperlink>
          </w:p>
        </w:tc>
        <w:tc>
          <w:tcPr>
            <w:tcW w:w="1684" w:type="dxa"/>
            <w:tcBorders>
              <w:top w:val="nil"/>
              <w:left w:val="nil"/>
              <w:bottom w:val="nil"/>
              <w:right w:val="nil"/>
            </w:tcBorders>
            <w:shd w:val="clear" w:color="000000" w:fill="BFBFBF" w:themeFill="background1" w:themeFillShade="BF"/>
            <w:vAlign w:val="center"/>
          </w:tcPr>
          <w:p w14:paraId="5EA73517"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21,453</w:t>
            </w:r>
          </w:p>
        </w:tc>
        <w:tc>
          <w:tcPr>
            <w:tcW w:w="1684" w:type="dxa"/>
            <w:tcBorders>
              <w:top w:val="nil"/>
              <w:left w:val="nil"/>
              <w:bottom w:val="nil"/>
              <w:right w:val="nil"/>
            </w:tcBorders>
            <w:shd w:val="clear" w:color="auto" w:fill="auto"/>
            <w:vAlign w:val="center"/>
            <w:hideMark/>
          </w:tcPr>
          <w:p w14:paraId="5EA73518"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13,980</w:t>
            </w:r>
          </w:p>
        </w:tc>
      </w:tr>
      <w:tr w:rsidR="009D74ED" w:rsidRPr="00E200DC" w14:paraId="5EA7351F" w14:textId="77777777" w:rsidTr="009D74ED">
        <w:trPr>
          <w:trHeight w:val="319"/>
        </w:trPr>
        <w:tc>
          <w:tcPr>
            <w:tcW w:w="4349" w:type="dxa"/>
            <w:tcBorders>
              <w:top w:val="nil"/>
              <w:left w:val="nil"/>
              <w:bottom w:val="nil"/>
              <w:right w:val="nil"/>
            </w:tcBorders>
            <w:shd w:val="clear" w:color="auto" w:fill="auto"/>
            <w:vAlign w:val="center"/>
            <w:hideMark/>
          </w:tcPr>
          <w:p w14:paraId="5EA7351A"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Inventories</w:t>
            </w:r>
          </w:p>
        </w:tc>
        <w:tc>
          <w:tcPr>
            <w:tcW w:w="1184" w:type="dxa"/>
            <w:tcBorders>
              <w:top w:val="nil"/>
              <w:left w:val="nil"/>
              <w:bottom w:val="nil"/>
              <w:right w:val="nil"/>
            </w:tcBorders>
            <w:shd w:val="clear" w:color="auto" w:fill="auto"/>
            <w:vAlign w:val="center"/>
            <w:hideMark/>
          </w:tcPr>
          <w:p w14:paraId="5EA7351B" w14:textId="77777777" w:rsidR="009D74ED" w:rsidRPr="00E200DC" w:rsidRDefault="009D74ED" w:rsidP="00E200DC">
            <w:pPr>
              <w:jc w:val="center"/>
              <w:rPr>
                <w:rFonts w:cs="Arial"/>
                <w:sz w:val="22"/>
                <w:szCs w:val="22"/>
                <w:lang w:eastAsia="en-AU"/>
              </w:rPr>
            </w:pPr>
            <w:hyperlink r:id="rId32" w:anchor="'Note 9, 10'!A1" w:history="1">
              <w:r w:rsidRPr="00E200DC">
                <w:rPr>
                  <w:rFonts w:cs="Arial"/>
                  <w:sz w:val="22"/>
                  <w:szCs w:val="22"/>
                  <w:lang w:eastAsia="en-AU"/>
                </w:rPr>
                <w:t>9</w:t>
              </w:r>
            </w:hyperlink>
          </w:p>
        </w:tc>
        <w:tc>
          <w:tcPr>
            <w:tcW w:w="1684" w:type="dxa"/>
            <w:tcBorders>
              <w:top w:val="nil"/>
              <w:left w:val="nil"/>
              <w:bottom w:val="nil"/>
              <w:right w:val="nil"/>
            </w:tcBorders>
            <w:shd w:val="clear" w:color="000000" w:fill="BFBFBF" w:themeFill="background1" w:themeFillShade="BF"/>
            <w:vAlign w:val="center"/>
          </w:tcPr>
          <w:p w14:paraId="5EA7351D"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1,028</w:t>
            </w:r>
          </w:p>
        </w:tc>
        <w:tc>
          <w:tcPr>
            <w:tcW w:w="1684" w:type="dxa"/>
            <w:tcBorders>
              <w:top w:val="nil"/>
              <w:left w:val="nil"/>
              <w:bottom w:val="nil"/>
              <w:right w:val="nil"/>
            </w:tcBorders>
            <w:shd w:val="clear" w:color="auto" w:fill="auto"/>
            <w:vAlign w:val="center"/>
            <w:hideMark/>
          </w:tcPr>
          <w:p w14:paraId="5EA7351E"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1,225</w:t>
            </w:r>
          </w:p>
        </w:tc>
      </w:tr>
      <w:tr w:rsidR="009D74ED" w:rsidRPr="00E200DC" w14:paraId="5EA73525" w14:textId="77777777" w:rsidTr="009D74ED">
        <w:trPr>
          <w:trHeight w:val="319"/>
        </w:trPr>
        <w:tc>
          <w:tcPr>
            <w:tcW w:w="4349" w:type="dxa"/>
            <w:tcBorders>
              <w:top w:val="nil"/>
              <w:left w:val="nil"/>
              <w:bottom w:val="nil"/>
              <w:right w:val="nil"/>
            </w:tcBorders>
            <w:shd w:val="clear" w:color="auto" w:fill="auto"/>
            <w:vAlign w:val="center"/>
            <w:hideMark/>
          </w:tcPr>
          <w:p w14:paraId="5EA73520"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Other current assets</w:t>
            </w:r>
          </w:p>
        </w:tc>
        <w:tc>
          <w:tcPr>
            <w:tcW w:w="1184" w:type="dxa"/>
            <w:tcBorders>
              <w:top w:val="nil"/>
              <w:left w:val="nil"/>
              <w:bottom w:val="nil"/>
              <w:right w:val="nil"/>
            </w:tcBorders>
            <w:shd w:val="clear" w:color="auto" w:fill="auto"/>
            <w:vAlign w:val="center"/>
            <w:hideMark/>
          </w:tcPr>
          <w:p w14:paraId="5EA73521" w14:textId="77777777" w:rsidR="009D74ED" w:rsidRPr="00E200DC" w:rsidRDefault="009D74ED" w:rsidP="00E200DC">
            <w:pPr>
              <w:jc w:val="center"/>
              <w:rPr>
                <w:rFonts w:cs="Arial"/>
                <w:sz w:val="22"/>
                <w:szCs w:val="22"/>
                <w:lang w:eastAsia="en-AU"/>
              </w:rPr>
            </w:pPr>
            <w:hyperlink r:id="rId33" w:anchor="'Note 9, 10'!A1" w:history="1">
              <w:r w:rsidRPr="00E200DC">
                <w:rPr>
                  <w:rFonts w:cs="Arial"/>
                  <w:sz w:val="22"/>
                  <w:szCs w:val="22"/>
                  <w:lang w:eastAsia="en-AU"/>
                </w:rPr>
                <w:t>10</w:t>
              </w:r>
            </w:hyperlink>
          </w:p>
        </w:tc>
        <w:tc>
          <w:tcPr>
            <w:tcW w:w="1684" w:type="dxa"/>
            <w:tcBorders>
              <w:top w:val="nil"/>
              <w:left w:val="nil"/>
              <w:bottom w:val="single" w:sz="8" w:space="0" w:color="auto"/>
              <w:right w:val="nil"/>
            </w:tcBorders>
            <w:shd w:val="clear" w:color="000000" w:fill="BFBFBF" w:themeFill="background1" w:themeFillShade="BF"/>
            <w:vAlign w:val="center"/>
          </w:tcPr>
          <w:p w14:paraId="5EA73523"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585</w:t>
            </w:r>
          </w:p>
        </w:tc>
        <w:tc>
          <w:tcPr>
            <w:tcW w:w="1684" w:type="dxa"/>
            <w:tcBorders>
              <w:top w:val="nil"/>
              <w:left w:val="nil"/>
              <w:bottom w:val="single" w:sz="8" w:space="0" w:color="auto"/>
              <w:right w:val="nil"/>
            </w:tcBorders>
            <w:shd w:val="clear" w:color="auto" w:fill="auto"/>
            <w:vAlign w:val="center"/>
            <w:hideMark/>
          </w:tcPr>
          <w:p w14:paraId="5EA73524"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787</w:t>
            </w:r>
          </w:p>
        </w:tc>
      </w:tr>
      <w:tr w:rsidR="009D74ED" w:rsidRPr="00E200DC" w14:paraId="5EA7352B" w14:textId="77777777" w:rsidTr="009D74ED">
        <w:trPr>
          <w:trHeight w:val="319"/>
        </w:trPr>
        <w:tc>
          <w:tcPr>
            <w:tcW w:w="4349" w:type="dxa"/>
            <w:tcBorders>
              <w:top w:val="nil"/>
              <w:left w:val="nil"/>
              <w:bottom w:val="nil"/>
              <w:right w:val="nil"/>
            </w:tcBorders>
            <w:shd w:val="clear" w:color="auto" w:fill="auto"/>
            <w:vAlign w:val="center"/>
            <w:hideMark/>
          </w:tcPr>
          <w:p w14:paraId="5EA73526" w14:textId="65504B8E" w:rsidR="009D74ED" w:rsidRPr="00E200DC" w:rsidRDefault="009D74ED" w:rsidP="00E200DC">
            <w:pPr>
              <w:rPr>
                <w:rFonts w:cs="Arial"/>
                <w:b/>
                <w:bCs/>
                <w:color w:val="000000"/>
                <w:sz w:val="22"/>
                <w:szCs w:val="22"/>
                <w:lang w:eastAsia="en-AU"/>
              </w:rPr>
            </w:pPr>
            <w:r>
              <w:rPr>
                <w:rFonts w:cs="Arial"/>
                <w:b/>
                <w:bCs/>
                <w:color w:val="000000"/>
                <w:sz w:val="22"/>
                <w:szCs w:val="22"/>
                <w:lang w:eastAsia="en-AU"/>
              </w:rPr>
              <w:t>Current Assets Subtotal</w:t>
            </w:r>
          </w:p>
        </w:tc>
        <w:tc>
          <w:tcPr>
            <w:tcW w:w="1184" w:type="dxa"/>
            <w:tcBorders>
              <w:top w:val="nil"/>
              <w:left w:val="nil"/>
              <w:bottom w:val="nil"/>
              <w:right w:val="nil"/>
            </w:tcBorders>
            <w:shd w:val="clear" w:color="auto" w:fill="auto"/>
            <w:vAlign w:val="center"/>
            <w:hideMark/>
          </w:tcPr>
          <w:p w14:paraId="5EA73527" w14:textId="546F6A3D" w:rsidR="009D74ED" w:rsidRPr="00E200DC" w:rsidRDefault="009D74ED" w:rsidP="00E200DC">
            <w:pPr>
              <w:jc w:val="center"/>
              <w:rPr>
                <w:rFonts w:cs="Arial"/>
                <w:sz w:val="22"/>
                <w:szCs w:val="22"/>
                <w:lang w:eastAsia="en-AU"/>
              </w:rPr>
            </w:pPr>
            <w:r>
              <w:rPr>
                <w:rFonts w:cs="Arial"/>
                <w:sz w:val="22"/>
                <w:szCs w:val="22"/>
                <w:lang w:eastAsia="en-AU"/>
              </w:rPr>
              <w:t>None</w:t>
            </w:r>
          </w:p>
        </w:tc>
        <w:tc>
          <w:tcPr>
            <w:tcW w:w="1684" w:type="dxa"/>
            <w:tcBorders>
              <w:top w:val="nil"/>
              <w:left w:val="nil"/>
              <w:bottom w:val="nil"/>
              <w:right w:val="nil"/>
            </w:tcBorders>
            <w:shd w:val="clear" w:color="000000" w:fill="BFBFBF" w:themeFill="background1" w:themeFillShade="BF"/>
            <w:vAlign w:val="center"/>
          </w:tcPr>
          <w:p w14:paraId="5EA73529" w14:textId="3D72D8C9" w:rsidR="009D74ED" w:rsidRPr="00E200DC" w:rsidRDefault="009D74ED">
            <w:pPr>
              <w:jc w:val="right"/>
              <w:rPr>
                <w:rFonts w:cs="Arial"/>
                <w:color w:val="000000"/>
                <w:sz w:val="22"/>
                <w:szCs w:val="22"/>
                <w:lang w:eastAsia="en-AU"/>
              </w:rPr>
            </w:pPr>
            <w:r>
              <w:rPr>
                <w:rFonts w:cs="Arial"/>
                <w:color w:val="000000"/>
                <w:sz w:val="22"/>
                <w:szCs w:val="22"/>
                <w:lang w:eastAsia="en-AU"/>
              </w:rPr>
              <w:t>33,725</w:t>
            </w:r>
          </w:p>
        </w:tc>
        <w:tc>
          <w:tcPr>
            <w:tcW w:w="1684" w:type="dxa"/>
            <w:tcBorders>
              <w:top w:val="nil"/>
              <w:left w:val="nil"/>
              <w:bottom w:val="nil"/>
              <w:right w:val="nil"/>
            </w:tcBorders>
            <w:shd w:val="clear" w:color="auto" w:fill="auto"/>
            <w:vAlign w:val="center"/>
            <w:hideMark/>
          </w:tcPr>
          <w:p w14:paraId="5EA7352A"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30,949</w:t>
            </w:r>
          </w:p>
        </w:tc>
      </w:tr>
      <w:tr w:rsidR="009D74ED" w:rsidRPr="00E200DC" w14:paraId="5EA73531" w14:textId="77777777" w:rsidTr="009D74ED">
        <w:trPr>
          <w:trHeight w:val="319"/>
        </w:trPr>
        <w:tc>
          <w:tcPr>
            <w:tcW w:w="4349" w:type="dxa"/>
            <w:tcBorders>
              <w:top w:val="nil"/>
              <w:left w:val="nil"/>
              <w:bottom w:val="nil"/>
              <w:right w:val="nil"/>
            </w:tcBorders>
            <w:shd w:val="clear" w:color="auto" w:fill="auto"/>
            <w:vAlign w:val="center"/>
            <w:hideMark/>
          </w:tcPr>
          <w:p w14:paraId="5EA7352C"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Assets classified as held for sale</w:t>
            </w:r>
          </w:p>
        </w:tc>
        <w:tc>
          <w:tcPr>
            <w:tcW w:w="1184" w:type="dxa"/>
            <w:tcBorders>
              <w:top w:val="nil"/>
              <w:left w:val="nil"/>
              <w:bottom w:val="nil"/>
              <w:right w:val="nil"/>
            </w:tcBorders>
            <w:shd w:val="clear" w:color="auto" w:fill="auto"/>
            <w:vAlign w:val="center"/>
            <w:hideMark/>
          </w:tcPr>
          <w:p w14:paraId="5EA7352D" w14:textId="77777777" w:rsidR="009D74ED" w:rsidRPr="00E200DC" w:rsidRDefault="009D74ED" w:rsidP="00E200DC">
            <w:pPr>
              <w:jc w:val="center"/>
              <w:rPr>
                <w:rFonts w:cs="Arial"/>
                <w:sz w:val="22"/>
                <w:szCs w:val="22"/>
                <w:lang w:eastAsia="en-AU"/>
              </w:rPr>
            </w:pPr>
            <w:hyperlink r:id="rId34" w:anchor="'Note 11'!A1" w:history="1">
              <w:r w:rsidRPr="00E200DC">
                <w:rPr>
                  <w:rFonts w:cs="Arial"/>
                  <w:sz w:val="22"/>
                  <w:szCs w:val="22"/>
                  <w:lang w:eastAsia="en-AU"/>
                </w:rPr>
                <w:t>11</w:t>
              </w:r>
            </w:hyperlink>
          </w:p>
        </w:tc>
        <w:tc>
          <w:tcPr>
            <w:tcW w:w="1684" w:type="dxa"/>
            <w:tcBorders>
              <w:top w:val="nil"/>
              <w:left w:val="nil"/>
              <w:bottom w:val="single" w:sz="8" w:space="0" w:color="auto"/>
              <w:right w:val="nil"/>
            </w:tcBorders>
            <w:shd w:val="clear" w:color="000000" w:fill="BFBFBF" w:themeFill="background1" w:themeFillShade="BF"/>
            <w:vAlign w:val="center"/>
          </w:tcPr>
          <w:p w14:paraId="5EA7352F" w14:textId="4EB98475" w:rsidR="009D74ED" w:rsidRPr="00E200DC" w:rsidRDefault="009D74ED" w:rsidP="00E200DC">
            <w:pPr>
              <w:jc w:val="right"/>
              <w:rPr>
                <w:rFonts w:cs="Arial"/>
                <w:color w:val="000000"/>
                <w:sz w:val="22"/>
                <w:szCs w:val="22"/>
                <w:lang w:eastAsia="en-AU"/>
              </w:rPr>
            </w:pPr>
            <w:r>
              <w:rPr>
                <w:rFonts w:cs="Arial"/>
                <w:color w:val="000000"/>
                <w:sz w:val="22"/>
                <w:szCs w:val="22"/>
                <w:lang w:eastAsia="en-AU"/>
              </w:rPr>
              <w:t>880</w:t>
            </w:r>
          </w:p>
        </w:tc>
        <w:tc>
          <w:tcPr>
            <w:tcW w:w="1684" w:type="dxa"/>
            <w:tcBorders>
              <w:top w:val="nil"/>
              <w:left w:val="nil"/>
              <w:bottom w:val="single" w:sz="8" w:space="0" w:color="auto"/>
              <w:right w:val="nil"/>
            </w:tcBorders>
            <w:shd w:val="clear" w:color="auto" w:fill="auto"/>
            <w:vAlign w:val="center"/>
            <w:hideMark/>
          </w:tcPr>
          <w:p w14:paraId="5EA73530"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2,232</w:t>
            </w:r>
          </w:p>
        </w:tc>
      </w:tr>
      <w:tr w:rsidR="009D74ED" w:rsidRPr="00E200DC" w14:paraId="5EA73537" w14:textId="77777777" w:rsidTr="009D74ED">
        <w:trPr>
          <w:trHeight w:val="319"/>
        </w:trPr>
        <w:tc>
          <w:tcPr>
            <w:tcW w:w="4349" w:type="dxa"/>
            <w:tcBorders>
              <w:top w:val="nil"/>
              <w:left w:val="nil"/>
              <w:bottom w:val="nil"/>
              <w:right w:val="nil"/>
            </w:tcBorders>
            <w:shd w:val="clear" w:color="auto" w:fill="auto"/>
            <w:vAlign w:val="center"/>
            <w:hideMark/>
          </w:tcPr>
          <w:p w14:paraId="5EA73532" w14:textId="77777777" w:rsidR="009D74ED" w:rsidRPr="00E200DC" w:rsidRDefault="009D74ED" w:rsidP="00E200DC">
            <w:pPr>
              <w:rPr>
                <w:rFonts w:cs="Arial"/>
                <w:b/>
                <w:bCs/>
                <w:color w:val="000000"/>
                <w:sz w:val="22"/>
                <w:szCs w:val="22"/>
                <w:lang w:eastAsia="en-AU"/>
              </w:rPr>
            </w:pPr>
            <w:r w:rsidRPr="00E200DC">
              <w:rPr>
                <w:rFonts w:cs="Arial"/>
                <w:b/>
                <w:bCs/>
                <w:color w:val="000000"/>
                <w:sz w:val="22"/>
                <w:szCs w:val="22"/>
                <w:lang w:eastAsia="en-AU"/>
              </w:rPr>
              <w:t>Total current assets</w:t>
            </w:r>
          </w:p>
        </w:tc>
        <w:tc>
          <w:tcPr>
            <w:tcW w:w="1184" w:type="dxa"/>
            <w:tcBorders>
              <w:top w:val="nil"/>
              <w:left w:val="nil"/>
              <w:bottom w:val="nil"/>
              <w:right w:val="nil"/>
            </w:tcBorders>
            <w:shd w:val="clear" w:color="auto" w:fill="auto"/>
            <w:vAlign w:val="center"/>
            <w:hideMark/>
          </w:tcPr>
          <w:p w14:paraId="5EA73533" w14:textId="3F7C1806" w:rsidR="009D74ED" w:rsidRPr="00E200DC" w:rsidRDefault="009D74ED" w:rsidP="00E200DC">
            <w:pPr>
              <w:jc w:val="center"/>
              <w:rPr>
                <w:rFonts w:cs="Arial"/>
                <w:sz w:val="22"/>
                <w:szCs w:val="22"/>
                <w:lang w:eastAsia="en-AU"/>
              </w:rPr>
            </w:pPr>
            <w:r>
              <w:rPr>
                <w:rFonts w:cs="Arial"/>
                <w:sz w:val="22"/>
                <w:szCs w:val="22"/>
                <w:lang w:eastAsia="en-AU"/>
              </w:rPr>
              <w:t>None</w:t>
            </w:r>
          </w:p>
        </w:tc>
        <w:tc>
          <w:tcPr>
            <w:tcW w:w="1684" w:type="dxa"/>
            <w:tcBorders>
              <w:top w:val="nil"/>
              <w:left w:val="nil"/>
              <w:bottom w:val="single" w:sz="8" w:space="0" w:color="auto"/>
              <w:right w:val="nil"/>
            </w:tcBorders>
            <w:shd w:val="clear" w:color="000000" w:fill="BFBFBF" w:themeFill="background1" w:themeFillShade="BF"/>
            <w:vAlign w:val="center"/>
          </w:tcPr>
          <w:p w14:paraId="5EA73535" w14:textId="01AE72B5" w:rsidR="009D74ED" w:rsidRPr="00E200DC" w:rsidRDefault="009D74ED">
            <w:pPr>
              <w:jc w:val="right"/>
              <w:rPr>
                <w:rFonts w:cs="Arial"/>
                <w:color w:val="000000"/>
                <w:sz w:val="22"/>
                <w:szCs w:val="22"/>
                <w:lang w:eastAsia="en-AU"/>
              </w:rPr>
            </w:pPr>
            <w:r>
              <w:rPr>
                <w:rFonts w:cs="Arial"/>
                <w:color w:val="000000"/>
                <w:sz w:val="22"/>
                <w:szCs w:val="22"/>
                <w:lang w:eastAsia="en-AU"/>
              </w:rPr>
              <w:t>34,605</w:t>
            </w:r>
          </w:p>
        </w:tc>
        <w:tc>
          <w:tcPr>
            <w:tcW w:w="1684" w:type="dxa"/>
            <w:tcBorders>
              <w:top w:val="nil"/>
              <w:left w:val="nil"/>
              <w:bottom w:val="single" w:sz="8" w:space="0" w:color="auto"/>
              <w:right w:val="nil"/>
            </w:tcBorders>
            <w:shd w:val="clear" w:color="auto" w:fill="auto"/>
            <w:vAlign w:val="center"/>
            <w:hideMark/>
          </w:tcPr>
          <w:p w14:paraId="5EA73536"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33,181</w:t>
            </w:r>
          </w:p>
        </w:tc>
      </w:tr>
    </w:tbl>
    <w:p w14:paraId="16B282A9" w14:textId="77777777" w:rsidR="009D74ED" w:rsidRDefault="009D74ED"/>
    <w:tbl>
      <w:tblPr>
        <w:tblW w:w="8901" w:type="dxa"/>
        <w:tblInd w:w="108" w:type="dxa"/>
        <w:tblLook w:val="04A0" w:firstRow="1" w:lastRow="0" w:firstColumn="1" w:lastColumn="0" w:noHBand="0" w:noVBand="1"/>
      </w:tblPr>
      <w:tblGrid>
        <w:gridCol w:w="4349"/>
        <w:gridCol w:w="1184"/>
        <w:gridCol w:w="1684"/>
        <w:gridCol w:w="1684"/>
      </w:tblGrid>
      <w:tr w:rsidR="00245BD8" w:rsidRPr="00E200DC" w14:paraId="4B65A9DB" w14:textId="77777777" w:rsidTr="00245BD8">
        <w:trPr>
          <w:trHeight w:val="319"/>
          <w:tblHeader/>
        </w:trPr>
        <w:tc>
          <w:tcPr>
            <w:tcW w:w="4349" w:type="dxa"/>
            <w:tcBorders>
              <w:top w:val="nil"/>
              <w:left w:val="nil"/>
              <w:bottom w:val="nil"/>
              <w:right w:val="nil"/>
            </w:tcBorders>
            <w:shd w:val="clear" w:color="auto" w:fill="auto"/>
            <w:vAlign w:val="center"/>
            <w:hideMark/>
          </w:tcPr>
          <w:p w14:paraId="4455422C" w14:textId="670DDD03" w:rsidR="00245BD8" w:rsidRPr="00E200DC" w:rsidRDefault="00245BD8" w:rsidP="00C443A5">
            <w:pPr>
              <w:rPr>
                <w:rFonts w:cs="Arial"/>
                <w:color w:val="000000"/>
                <w:sz w:val="22"/>
                <w:szCs w:val="22"/>
                <w:lang w:eastAsia="en-AU"/>
              </w:rPr>
            </w:pPr>
            <w:bookmarkStart w:id="127" w:name="Table_9"/>
            <w:bookmarkEnd w:id="127"/>
            <w:r w:rsidRPr="00E200DC">
              <w:rPr>
                <w:rFonts w:cs="Arial"/>
                <w:b/>
                <w:bCs/>
                <w:color w:val="000000"/>
                <w:sz w:val="22"/>
                <w:szCs w:val="22"/>
                <w:lang w:eastAsia="en-AU"/>
              </w:rPr>
              <w:t>Non-current assets</w:t>
            </w:r>
          </w:p>
        </w:tc>
        <w:tc>
          <w:tcPr>
            <w:tcW w:w="1184" w:type="dxa"/>
            <w:tcBorders>
              <w:top w:val="nil"/>
              <w:left w:val="nil"/>
              <w:bottom w:val="single" w:sz="12" w:space="0" w:color="000000"/>
              <w:right w:val="nil"/>
            </w:tcBorders>
            <w:shd w:val="clear" w:color="auto" w:fill="auto"/>
            <w:vAlign w:val="center"/>
            <w:hideMark/>
          </w:tcPr>
          <w:p w14:paraId="15D86A07" w14:textId="77777777" w:rsidR="00245BD8" w:rsidRPr="00E200DC" w:rsidRDefault="00245BD8" w:rsidP="00C443A5">
            <w:pPr>
              <w:rPr>
                <w:rFonts w:cs="Arial"/>
                <w:color w:val="000000"/>
                <w:sz w:val="22"/>
                <w:szCs w:val="22"/>
                <w:lang w:eastAsia="en-AU"/>
              </w:rPr>
            </w:pPr>
            <w:r>
              <w:rPr>
                <w:rFonts w:cs="Arial"/>
                <w:color w:val="000000"/>
                <w:sz w:val="22"/>
                <w:szCs w:val="22"/>
                <w:lang w:eastAsia="en-AU"/>
              </w:rPr>
              <w:t>NOTE</w:t>
            </w:r>
          </w:p>
        </w:tc>
        <w:tc>
          <w:tcPr>
            <w:tcW w:w="1684" w:type="dxa"/>
            <w:tcBorders>
              <w:top w:val="nil"/>
              <w:left w:val="nil"/>
              <w:bottom w:val="single" w:sz="12" w:space="0" w:color="auto"/>
              <w:right w:val="nil"/>
            </w:tcBorders>
            <w:shd w:val="clear" w:color="000000" w:fill="BFBFBF" w:themeFill="background1" w:themeFillShade="BF"/>
            <w:vAlign w:val="center"/>
          </w:tcPr>
          <w:p w14:paraId="2A68526E" w14:textId="77777777" w:rsidR="00245BD8" w:rsidRPr="006C0CC6" w:rsidRDefault="00245BD8" w:rsidP="00C443A5">
            <w:pPr>
              <w:jc w:val="right"/>
              <w:rPr>
                <w:rFonts w:cs="Arial"/>
                <w:b/>
                <w:color w:val="000000"/>
                <w:sz w:val="22"/>
                <w:szCs w:val="22"/>
                <w:lang w:eastAsia="en-AU"/>
              </w:rPr>
            </w:pPr>
            <w:r w:rsidRPr="006C0CC6">
              <w:rPr>
                <w:rFonts w:cs="Arial"/>
                <w:b/>
                <w:color w:val="000000"/>
                <w:sz w:val="22"/>
                <w:szCs w:val="22"/>
                <w:lang w:eastAsia="en-AU"/>
              </w:rPr>
              <w:t>2015</w:t>
            </w:r>
          </w:p>
        </w:tc>
        <w:tc>
          <w:tcPr>
            <w:tcW w:w="1684" w:type="dxa"/>
            <w:tcBorders>
              <w:top w:val="nil"/>
              <w:left w:val="nil"/>
              <w:bottom w:val="single" w:sz="12" w:space="0" w:color="auto"/>
              <w:right w:val="nil"/>
            </w:tcBorders>
            <w:shd w:val="clear" w:color="auto" w:fill="auto"/>
            <w:vAlign w:val="center"/>
          </w:tcPr>
          <w:p w14:paraId="7F2F0F2A" w14:textId="77777777" w:rsidR="00245BD8" w:rsidRPr="00E200DC" w:rsidRDefault="00245BD8" w:rsidP="00C443A5">
            <w:pPr>
              <w:jc w:val="right"/>
              <w:rPr>
                <w:rFonts w:cs="Arial"/>
                <w:color w:val="000000"/>
                <w:sz w:val="22"/>
                <w:szCs w:val="22"/>
                <w:lang w:eastAsia="en-AU"/>
              </w:rPr>
            </w:pPr>
            <w:r w:rsidRPr="00E200DC">
              <w:rPr>
                <w:rFonts w:cs="Arial"/>
                <w:color w:val="000000"/>
                <w:sz w:val="22"/>
                <w:szCs w:val="22"/>
                <w:lang w:eastAsia="en-AU"/>
              </w:rPr>
              <w:t>2014</w:t>
            </w:r>
          </w:p>
        </w:tc>
      </w:tr>
      <w:tr w:rsidR="009D74ED" w:rsidRPr="00E200DC" w14:paraId="5EA73543" w14:textId="77777777" w:rsidTr="009D74ED">
        <w:trPr>
          <w:trHeight w:val="319"/>
        </w:trPr>
        <w:tc>
          <w:tcPr>
            <w:tcW w:w="4349" w:type="dxa"/>
            <w:tcBorders>
              <w:top w:val="nil"/>
              <w:left w:val="nil"/>
              <w:bottom w:val="nil"/>
              <w:right w:val="nil"/>
            </w:tcBorders>
            <w:shd w:val="clear" w:color="auto" w:fill="auto"/>
            <w:vAlign w:val="center"/>
            <w:hideMark/>
          </w:tcPr>
          <w:p w14:paraId="5EA7353E"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Trade and other receivables</w:t>
            </w:r>
          </w:p>
        </w:tc>
        <w:tc>
          <w:tcPr>
            <w:tcW w:w="1184" w:type="dxa"/>
            <w:tcBorders>
              <w:top w:val="nil"/>
              <w:left w:val="nil"/>
              <w:bottom w:val="nil"/>
              <w:right w:val="nil"/>
            </w:tcBorders>
            <w:shd w:val="clear" w:color="auto" w:fill="auto"/>
            <w:vAlign w:val="center"/>
            <w:hideMark/>
          </w:tcPr>
          <w:p w14:paraId="5EA7353F" w14:textId="77777777" w:rsidR="009D74ED" w:rsidRPr="00E200DC" w:rsidRDefault="009D74ED" w:rsidP="00E200DC">
            <w:pPr>
              <w:jc w:val="center"/>
              <w:rPr>
                <w:rFonts w:cs="Arial"/>
                <w:sz w:val="22"/>
                <w:szCs w:val="22"/>
                <w:lang w:eastAsia="en-AU"/>
              </w:rPr>
            </w:pPr>
            <w:hyperlink r:id="rId35" w:anchor="'Note 6b, 7'!A1" w:history="1">
              <w:r w:rsidRPr="00E200DC">
                <w:rPr>
                  <w:rFonts w:cs="Arial"/>
                  <w:sz w:val="22"/>
                  <w:szCs w:val="22"/>
                  <w:lang w:eastAsia="en-AU"/>
                </w:rPr>
                <w:t>7</w:t>
              </w:r>
            </w:hyperlink>
          </w:p>
        </w:tc>
        <w:tc>
          <w:tcPr>
            <w:tcW w:w="1684" w:type="dxa"/>
            <w:tcBorders>
              <w:top w:val="nil"/>
              <w:left w:val="nil"/>
              <w:bottom w:val="nil"/>
              <w:right w:val="nil"/>
            </w:tcBorders>
            <w:shd w:val="clear" w:color="000000" w:fill="BFBFBF" w:themeFill="background1" w:themeFillShade="BF"/>
            <w:vAlign w:val="center"/>
          </w:tcPr>
          <w:p w14:paraId="5EA73541" w14:textId="77777777" w:rsidR="009D74ED" w:rsidRPr="00E200DC" w:rsidRDefault="009D74ED" w:rsidP="002406CA">
            <w:pPr>
              <w:jc w:val="right"/>
              <w:rPr>
                <w:rFonts w:cs="Arial"/>
                <w:color w:val="000000"/>
                <w:sz w:val="22"/>
                <w:szCs w:val="22"/>
                <w:lang w:eastAsia="en-AU"/>
              </w:rPr>
            </w:pPr>
            <w:r>
              <w:rPr>
                <w:rFonts w:cs="Arial"/>
                <w:color w:val="000000"/>
                <w:sz w:val="22"/>
                <w:szCs w:val="22"/>
                <w:lang w:eastAsia="en-AU"/>
              </w:rPr>
              <w:t>106</w:t>
            </w:r>
          </w:p>
        </w:tc>
        <w:tc>
          <w:tcPr>
            <w:tcW w:w="1684" w:type="dxa"/>
            <w:tcBorders>
              <w:top w:val="nil"/>
              <w:left w:val="nil"/>
              <w:bottom w:val="nil"/>
              <w:right w:val="nil"/>
            </w:tcBorders>
            <w:shd w:val="clear" w:color="auto" w:fill="auto"/>
            <w:vAlign w:val="center"/>
            <w:hideMark/>
          </w:tcPr>
          <w:p w14:paraId="5EA73542"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192</w:t>
            </w:r>
          </w:p>
        </w:tc>
      </w:tr>
      <w:tr w:rsidR="009D74ED" w:rsidRPr="00E200DC" w14:paraId="5EA73549" w14:textId="77777777" w:rsidTr="009D74ED">
        <w:trPr>
          <w:trHeight w:val="319"/>
        </w:trPr>
        <w:tc>
          <w:tcPr>
            <w:tcW w:w="4349" w:type="dxa"/>
            <w:tcBorders>
              <w:top w:val="nil"/>
              <w:left w:val="nil"/>
              <w:bottom w:val="nil"/>
              <w:right w:val="nil"/>
            </w:tcBorders>
            <w:shd w:val="clear" w:color="auto" w:fill="auto"/>
            <w:vAlign w:val="center"/>
            <w:hideMark/>
          </w:tcPr>
          <w:p w14:paraId="5EA73544"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Other financial assets</w:t>
            </w:r>
          </w:p>
        </w:tc>
        <w:tc>
          <w:tcPr>
            <w:tcW w:w="1184" w:type="dxa"/>
            <w:tcBorders>
              <w:top w:val="nil"/>
              <w:left w:val="nil"/>
              <w:bottom w:val="nil"/>
              <w:right w:val="nil"/>
            </w:tcBorders>
            <w:shd w:val="clear" w:color="auto" w:fill="auto"/>
            <w:vAlign w:val="center"/>
            <w:hideMark/>
          </w:tcPr>
          <w:p w14:paraId="5EA73545" w14:textId="77777777" w:rsidR="009D74ED" w:rsidRPr="00E200DC" w:rsidRDefault="009D74ED" w:rsidP="00E200DC">
            <w:pPr>
              <w:jc w:val="center"/>
              <w:rPr>
                <w:rFonts w:cs="Arial"/>
                <w:sz w:val="22"/>
                <w:szCs w:val="22"/>
                <w:lang w:eastAsia="en-AU"/>
              </w:rPr>
            </w:pPr>
            <w:hyperlink r:id="rId36" w:anchor="'Note 7,8'!A1" w:history="1">
              <w:r w:rsidRPr="00E200DC">
                <w:rPr>
                  <w:rFonts w:cs="Arial"/>
                  <w:sz w:val="22"/>
                  <w:szCs w:val="22"/>
                  <w:lang w:eastAsia="en-AU"/>
                </w:rPr>
                <w:t>8</w:t>
              </w:r>
            </w:hyperlink>
          </w:p>
        </w:tc>
        <w:tc>
          <w:tcPr>
            <w:tcW w:w="1684" w:type="dxa"/>
            <w:tcBorders>
              <w:top w:val="nil"/>
              <w:left w:val="nil"/>
              <w:bottom w:val="nil"/>
              <w:right w:val="nil"/>
            </w:tcBorders>
            <w:shd w:val="clear" w:color="000000" w:fill="BFBFBF" w:themeFill="background1" w:themeFillShade="BF"/>
            <w:vAlign w:val="center"/>
          </w:tcPr>
          <w:p w14:paraId="5EA73547"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88,538</w:t>
            </w:r>
          </w:p>
        </w:tc>
        <w:tc>
          <w:tcPr>
            <w:tcW w:w="1684" w:type="dxa"/>
            <w:tcBorders>
              <w:top w:val="nil"/>
              <w:left w:val="nil"/>
              <w:bottom w:val="nil"/>
              <w:right w:val="nil"/>
            </w:tcBorders>
            <w:shd w:val="clear" w:color="auto" w:fill="auto"/>
            <w:vAlign w:val="center"/>
            <w:hideMark/>
          </w:tcPr>
          <w:p w14:paraId="5EA73548"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82,394</w:t>
            </w:r>
          </w:p>
        </w:tc>
      </w:tr>
      <w:tr w:rsidR="009D74ED" w:rsidRPr="00E200DC" w14:paraId="5EA7354F" w14:textId="77777777" w:rsidTr="009D74ED">
        <w:trPr>
          <w:trHeight w:val="319"/>
        </w:trPr>
        <w:tc>
          <w:tcPr>
            <w:tcW w:w="4349" w:type="dxa"/>
            <w:tcBorders>
              <w:top w:val="nil"/>
              <w:left w:val="nil"/>
              <w:bottom w:val="nil"/>
              <w:right w:val="nil"/>
            </w:tcBorders>
            <w:shd w:val="clear" w:color="auto" w:fill="auto"/>
            <w:vAlign w:val="center"/>
            <w:hideMark/>
          </w:tcPr>
          <w:p w14:paraId="5EA7354A"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Property, plant and equipment</w:t>
            </w:r>
          </w:p>
        </w:tc>
        <w:tc>
          <w:tcPr>
            <w:tcW w:w="1184" w:type="dxa"/>
            <w:tcBorders>
              <w:top w:val="nil"/>
              <w:left w:val="nil"/>
              <w:bottom w:val="nil"/>
              <w:right w:val="nil"/>
            </w:tcBorders>
            <w:shd w:val="clear" w:color="auto" w:fill="auto"/>
            <w:vAlign w:val="center"/>
            <w:hideMark/>
          </w:tcPr>
          <w:p w14:paraId="5EA7354B" w14:textId="77777777" w:rsidR="009D74ED" w:rsidRPr="00E200DC" w:rsidRDefault="009D74ED" w:rsidP="00E200DC">
            <w:pPr>
              <w:jc w:val="center"/>
              <w:rPr>
                <w:rFonts w:cs="Arial"/>
                <w:sz w:val="22"/>
                <w:szCs w:val="22"/>
                <w:lang w:eastAsia="en-AU"/>
              </w:rPr>
            </w:pPr>
            <w:hyperlink r:id="rId37" w:anchor="'Note 12'!A1" w:history="1">
              <w:r w:rsidRPr="00E200DC">
                <w:rPr>
                  <w:rFonts w:cs="Arial"/>
                  <w:sz w:val="22"/>
                  <w:szCs w:val="22"/>
                  <w:lang w:eastAsia="en-AU"/>
                </w:rPr>
                <w:t>12</w:t>
              </w:r>
            </w:hyperlink>
          </w:p>
        </w:tc>
        <w:tc>
          <w:tcPr>
            <w:tcW w:w="1684" w:type="dxa"/>
            <w:tcBorders>
              <w:top w:val="nil"/>
              <w:left w:val="nil"/>
              <w:bottom w:val="nil"/>
              <w:right w:val="nil"/>
            </w:tcBorders>
            <w:shd w:val="clear" w:color="000000" w:fill="BFBFBF" w:themeFill="background1" w:themeFillShade="BF"/>
            <w:vAlign w:val="center"/>
          </w:tcPr>
          <w:p w14:paraId="5EA7354D" w14:textId="3F5A394B" w:rsidR="009D74ED" w:rsidRPr="00E200DC" w:rsidRDefault="009D74ED" w:rsidP="0026572B">
            <w:pPr>
              <w:jc w:val="right"/>
              <w:rPr>
                <w:rFonts w:cs="Arial"/>
                <w:color w:val="000000"/>
                <w:sz w:val="22"/>
                <w:szCs w:val="22"/>
                <w:lang w:eastAsia="en-AU"/>
              </w:rPr>
            </w:pPr>
            <w:r>
              <w:rPr>
                <w:rFonts w:cs="Arial"/>
                <w:color w:val="000000"/>
                <w:sz w:val="22"/>
                <w:szCs w:val="22"/>
                <w:lang w:eastAsia="en-AU"/>
              </w:rPr>
              <w:t>92,879</w:t>
            </w:r>
          </w:p>
        </w:tc>
        <w:tc>
          <w:tcPr>
            <w:tcW w:w="1684" w:type="dxa"/>
            <w:tcBorders>
              <w:top w:val="nil"/>
              <w:left w:val="nil"/>
              <w:bottom w:val="nil"/>
              <w:right w:val="nil"/>
            </w:tcBorders>
            <w:shd w:val="clear" w:color="auto" w:fill="auto"/>
            <w:vAlign w:val="center"/>
            <w:hideMark/>
          </w:tcPr>
          <w:p w14:paraId="5EA7354E"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96,744</w:t>
            </w:r>
          </w:p>
        </w:tc>
      </w:tr>
      <w:tr w:rsidR="009D74ED" w:rsidRPr="00E200DC" w14:paraId="5EA73555" w14:textId="77777777" w:rsidTr="009D74ED">
        <w:trPr>
          <w:trHeight w:val="319"/>
        </w:trPr>
        <w:tc>
          <w:tcPr>
            <w:tcW w:w="4349" w:type="dxa"/>
            <w:tcBorders>
              <w:top w:val="nil"/>
              <w:left w:val="nil"/>
              <w:bottom w:val="nil"/>
              <w:right w:val="nil"/>
            </w:tcBorders>
            <w:shd w:val="clear" w:color="auto" w:fill="auto"/>
            <w:vAlign w:val="center"/>
            <w:hideMark/>
          </w:tcPr>
          <w:p w14:paraId="5EA73550"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Investment property</w:t>
            </w:r>
          </w:p>
        </w:tc>
        <w:tc>
          <w:tcPr>
            <w:tcW w:w="1184" w:type="dxa"/>
            <w:tcBorders>
              <w:top w:val="nil"/>
              <w:left w:val="nil"/>
              <w:bottom w:val="nil"/>
              <w:right w:val="nil"/>
            </w:tcBorders>
            <w:shd w:val="clear" w:color="auto" w:fill="auto"/>
            <w:vAlign w:val="center"/>
            <w:hideMark/>
          </w:tcPr>
          <w:p w14:paraId="5EA73551" w14:textId="77777777" w:rsidR="009D74ED" w:rsidRPr="00E200DC" w:rsidRDefault="009D74ED" w:rsidP="00E200DC">
            <w:pPr>
              <w:jc w:val="center"/>
              <w:rPr>
                <w:rFonts w:cs="Arial"/>
                <w:sz w:val="22"/>
                <w:szCs w:val="22"/>
                <w:lang w:eastAsia="en-AU"/>
              </w:rPr>
            </w:pPr>
            <w:hyperlink r:id="rId38" w:anchor="'Note 13, 14'!A1" w:history="1">
              <w:r w:rsidRPr="00E200DC">
                <w:rPr>
                  <w:rFonts w:cs="Arial"/>
                  <w:sz w:val="22"/>
                  <w:szCs w:val="22"/>
                  <w:lang w:eastAsia="en-AU"/>
                </w:rPr>
                <w:t>13</w:t>
              </w:r>
            </w:hyperlink>
          </w:p>
        </w:tc>
        <w:tc>
          <w:tcPr>
            <w:tcW w:w="1684" w:type="dxa"/>
            <w:tcBorders>
              <w:top w:val="nil"/>
              <w:left w:val="nil"/>
              <w:bottom w:val="nil"/>
              <w:right w:val="nil"/>
            </w:tcBorders>
            <w:shd w:val="clear" w:color="000000" w:fill="BFBFBF" w:themeFill="background1" w:themeFillShade="BF"/>
            <w:vAlign w:val="center"/>
          </w:tcPr>
          <w:p w14:paraId="5EA73553"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148</w:t>
            </w:r>
          </w:p>
        </w:tc>
        <w:tc>
          <w:tcPr>
            <w:tcW w:w="1684" w:type="dxa"/>
            <w:tcBorders>
              <w:top w:val="nil"/>
              <w:left w:val="nil"/>
              <w:bottom w:val="nil"/>
              <w:right w:val="nil"/>
            </w:tcBorders>
            <w:shd w:val="clear" w:color="auto" w:fill="auto"/>
            <w:vAlign w:val="center"/>
            <w:hideMark/>
          </w:tcPr>
          <w:p w14:paraId="5EA73554"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151</w:t>
            </w:r>
          </w:p>
        </w:tc>
      </w:tr>
      <w:tr w:rsidR="009D74ED" w:rsidRPr="00E200DC" w14:paraId="5EA7355B" w14:textId="77777777" w:rsidTr="009D74ED">
        <w:trPr>
          <w:trHeight w:val="319"/>
        </w:trPr>
        <w:tc>
          <w:tcPr>
            <w:tcW w:w="4349" w:type="dxa"/>
            <w:tcBorders>
              <w:top w:val="nil"/>
              <w:left w:val="nil"/>
              <w:bottom w:val="nil"/>
              <w:right w:val="nil"/>
            </w:tcBorders>
            <w:shd w:val="clear" w:color="auto" w:fill="auto"/>
            <w:vAlign w:val="center"/>
            <w:hideMark/>
          </w:tcPr>
          <w:p w14:paraId="5EA73556"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Intangible assets</w:t>
            </w:r>
          </w:p>
        </w:tc>
        <w:tc>
          <w:tcPr>
            <w:tcW w:w="1184" w:type="dxa"/>
            <w:tcBorders>
              <w:top w:val="nil"/>
              <w:left w:val="nil"/>
              <w:bottom w:val="nil"/>
              <w:right w:val="nil"/>
            </w:tcBorders>
            <w:shd w:val="clear" w:color="auto" w:fill="auto"/>
            <w:vAlign w:val="center"/>
            <w:hideMark/>
          </w:tcPr>
          <w:p w14:paraId="5EA73557" w14:textId="77777777" w:rsidR="009D74ED" w:rsidRPr="00E200DC" w:rsidRDefault="009D74ED" w:rsidP="00E200DC">
            <w:pPr>
              <w:jc w:val="center"/>
              <w:rPr>
                <w:rFonts w:cs="Arial"/>
                <w:sz w:val="22"/>
                <w:szCs w:val="22"/>
                <w:lang w:eastAsia="en-AU"/>
              </w:rPr>
            </w:pPr>
            <w:hyperlink r:id="rId39" w:anchor="'Note 13, 14'!A1" w:history="1">
              <w:r w:rsidRPr="00E200DC">
                <w:rPr>
                  <w:rFonts w:cs="Arial"/>
                  <w:sz w:val="22"/>
                  <w:szCs w:val="22"/>
                  <w:lang w:eastAsia="en-AU"/>
                </w:rPr>
                <w:t>14</w:t>
              </w:r>
            </w:hyperlink>
          </w:p>
        </w:tc>
        <w:tc>
          <w:tcPr>
            <w:tcW w:w="1684" w:type="dxa"/>
            <w:tcBorders>
              <w:top w:val="nil"/>
              <w:left w:val="nil"/>
              <w:bottom w:val="single" w:sz="8" w:space="0" w:color="auto"/>
              <w:right w:val="nil"/>
            </w:tcBorders>
            <w:shd w:val="clear" w:color="000000" w:fill="BFBFBF" w:themeFill="background1" w:themeFillShade="BF"/>
            <w:vAlign w:val="center"/>
          </w:tcPr>
          <w:p w14:paraId="5EA73559"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3,536</w:t>
            </w:r>
          </w:p>
        </w:tc>
        <w:tc>
          <w:tcPr>
            <w:tcW w:w="1684" w:type="dxa"/>
            <w:tcBorders>
              <w:top w:val="nil"/>
              <w:left w:val="nil"/>
              <w:bottom w:val="single" w:sz="8" w:space="0" w:color="auto"/>
              <w:right w:val="nil"/>
            </w:tcBorders>
            <w:shd w:val="clear" w:color="auto" w:fill="auto"/>
            <w:vAlign w:val="center"/>
            <w:hideMark/>
          </w:tcPr>
          <w:p w14:paraId="5EA7355A"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1,613</w:t>
            </w:r>
          </w:p>
        </w:tc>
      </w:tr>
      <w:tr w:rsidR="009D74ED" w:rsidRPr="00E200DC" w14:paraId="5EA73561" w14:textId="77777777" w:rsidTr="009D74ED">
        <w:trPr>
          <w:trHeight w:val="319"/>
        </w:trPr>
        <w:tc>
          <w:tcPr>
            <w:tcW w:w="4349" w:type="dxa"/>
            <w:tcBorders>
              <w:top w:val="nil"/>
              <w:left w:val="nil"/>
              <w:bottom w:val="nil"/>
              <w:right w:val="nil"/>
            </w:tcBorders>
            <w:shd w:val="clear" w:color="auto" w:fill="auto"/>
            <w:vAlign w:val="center"/>
            <w:hideMark/>
          </w:tcPr>
          <w:p w14:paraId="5EA7355C" w14:textId="77777777" w:rsidR="009D74ED" w:rsidRPr="00E200DC" w:rsidRDefault="009D74ED" w:rsidP="00E200DC">
            <w:pPr>
              <w:rPr>
                <w:rFonts w:cs="Arial"/>
                <w:b/>
                <w:bCs/>
                <w:color w:val="000000"/>
                <w:sz w:val="22"/>
                <w:szCs w:val="22"/>
                <w:lang w:eastAsia="en-AU"/>
              </w:rPr>
            </w:pPr>
            <w:r w:rsidRPr="00E200DC">
              <w:rPr>
                <w:rFonts w:cs="Arial"/>
                <w:b/>
                <w:bCs/>
                <w:color w:val="000000"/>
                <w:sz w:val="22"/>
                <w:szCs w:val="22"/>
                <w:lang w:eastAsia="en-AU"/>
              </w:rPr>
              <w:t>Total non-current assets</w:t>
            </w:r>
          </w:p>
        </w:tc>
        <w:tc>
          <w:tcPr>
            <w:tcW w:w="1184" w:type="dxa"/>
            <w:tcBorders>
              <w:top w:val="nil"/>
              <w:left w:val="nil"/>
              <w:bottom w:val="nil"/>
              <w:right w:val="nil"/>
            </w:tcBorders>
            <w:shd w:val="clear" w:color="auto" w:fill="auto"/>
            <w:vAlign w:val="center"/>
            <w:hideMark/>
          </w:tcPr>
          <w:p w14:paraId="5EA7355D" w14:textId="2E645E5D" w:rsidR="009D74ED" w:rsidRPr="00E200DC" w:rsidRDefault="00245BD8" w:rsidP="00E200DC">
            <w:pPr>
              <w:jc w:val="center"/>
              <w:rPr>
                <w:rFonts w:cs="Arial"/>
                <w:sz w:val="22"/>
                <w:szCs w:val="22"/>
                <w:lang w:eastAsia="en-AU"/>
              </w:rPr>
            </w:pPr>
            <w:r>
              <w:rPr>
                <w:rFonts w:cs="Arial"/>
                <w:sz w:val="22"/>
                <w:szCs w:val="22"/>
                <w:lang w:eastAsia="en-AU"/>
              </w:rPr>
              <w:t>None</w:t>
            </w:r>
          </w:p>
        </w:tc>
        <w:tc>
          <w:tcPr>
            <w:tcW w:w="1684" w:type="dxa"/>
            <w:tcBorders>
              <w:top w:val="nil"/>
              <w:left w:val="nil"/>
              <w:bottom w:val="single" w:sz="8" w:space="0" w:color="auto"/>
              <w:right w:val="nil"/>
            </w:tcBorders>
            <w:shd w:val="clear" w:color="000000" w:fill="BFBFBF" w:themeFill="background1" w:themeFillShade="BF"/>
            <w:vAlign w:val="center"/>
          </w:tcPr>
          <w:p w14:paraId="5EA7355F" w14:textId="1B1CB022" w:rsidR="009D74ED" w:rsidRPr="00E200DC" w:rsidRDefault="009D74ED" w:rsidP="0026572B">
            <w:pPr>
              <w:jc w:val="right"/>
              <w:rPr>
                <w:rFonts w:cs="Arial"/>
                <w:color w:val="000000"/>
                <w:sz w:val="22"/>
                <w:szCs w:val="22"/>
                <w:lang w:eastAsia="en-AU"/>
              </w:rPr>
            </w:pPr>
            <w:r>
              <w:rPr>
                <w:rFonts w:cs="Arial"/>
                <w:color w:val="000000"/>
                <w:sz w:val="22"/>
                <w:szCs w:val="22"/>
                <w:lang w:eastAsia="en-AU"/>
              </w:rPr>
              <w:t>185,207</w:t>
            </w:r>
          </w:p>
        </w:tc>
        <w:tc>
          <w:tcPr>
            <w:tcW w:w="1684" w:type="dxa"/>
            <w:tcBorders>
              <w:top w:val="nil"/>
              <w:left w:val="nil"/>
              <w:bottom w:val="single" w:sz="8" w:space="0" w:color="auto"/>
              <w:right w:val="nil"/>
            </w:tcBorders>
            <w:shd w:val="clear" w:color="auto" w:fill="auto"/>
            <w:vAlign w:val="center"/>
            <w:hideMark/>
          </w:tcPr>
          <w:p w14:paraId="5EA73560"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181,094</w:t>
            </w:r>
          </w:p>
        </w:tc>
      </w:tr>
      <w:tr w:rsidR="009D74ED" w:rsidRPr="00E200DC" w14:paraId="5EA73567" w14:textId="77777777" w:rsidTr="009D74ED">
        <w:trPr>
          <w:trHeight w:val="319"/>
        </w:trPr>
        <w:tc>
          <w:tcPr>
            <w:tcW w:w="4349" w:type="dxa"/>
            <w:tcBorders>
              <w:top w:val="nil"/>
              <w:left w:val="nil"/>
              <w:bottom w:val="nil"/>
              <w:right w:val="nil"/>
            </w:tcBorders>
            <w:shd w:val="clear" w:color="auto" w:fill="auto"/>
            <w:vAlign w:val="center"/>
            <w:hideMark/>
          </w:tcPr>
          <w:p w14:paraId="5EA73562" w14:textId="77777777" w:rsidR="009D74ED" w:rsidRPr="00E200DC" w:rsidRDefault="009D74ED" w:rsidP="00E200DC">
            <w:pPr>
              <w:rPr>
                <w:rFonts w:cs="Arial"/>
                <w:b/>
                <w:bCs/>
                <w:color w:val="000000"/>
                <w:sz w:val="22"/>
                <w:szCs w:val="22"/>
                <w:lang w:eastAsia="en-AU"/>
              </w:rPr>
            </w:pPr>
            <w:r w:rsidRPr="00E200DC">
              <w:rPr>
                <w:rFonts w:cs="Arial"/>
                <w:b/>
                <w:bCs/>
                <w:color w:val="000000"/>
                <w:sz w:val="22"/>
                <w:szCs w:val="22"/>
                <w:lang w:eastAsia="en-AU"/>
              </w:rPr>
              <w:t>Total assets</w:t>
            </w:r>
          </w:p>
        </w:tc>
        <w:tc>
          <w:tcPr>
            <w:tcW w:w="1184" w:type="dxa"/>
            <w:tcBorders>
              <w:top w:val="nil"/>
              <w:left w:val="nil"/>
              <w:bottom w:val="nil"/>
              <w:right w:val="nil"/>
            </w:tcBorders>
            <w:shd w:val="clear" w:color="auto" w:fill="auto"/>
            <w:vAlign w:val="center"/>
            <w:hideMark/>
          </w:tcPr>
          <w:p w14:paraId="5EA73563" w14:textId="5B84EF8C" w:rsidR="009D74ED" w:rsidRPr="00E200DC" w:rsidRDefault="00245BD8" w:rsidP="00E200DC">
            <w:pPr>
              <w:jc w:val="center"/>
              <w:rPr>
                <w:rFonts w:cs="Arial"/>
                <w:sz w:val="22"/>
                <w:szCs w:val="22"/>
                <w:lang w:eastAsia="en-AU"/>
              </w:rPr>
            </w:pPr>
            <w:r>
              <w:rPr>
                <w:rFonts w:cs="Arial"/>
                <w:sz w:val="22"/>
                <w:szCs w:val="22"/>
                <w:lang w:eastAsia="en-AU"/>
              </w:rPr>
              <w:t>None</w:t>
            </w:r>
          </w:p>
        </w:tc>
        <w:tc>
          <w:tcPr>
            <w:tcW w:w="1684" w:type="dxa"/>
            <w:tcBorders>
              <w:top w:val="nil"/>
              <w:left w:val="nil"/>
              <w:bottom w:val="single" w:sz="8" w:space="0" w:color="auto"/>
              <w:right w:val="nil"/>
            </w:tcBorders>
            <w:shd w:val="clear" w:color="000000" w:fill="BFBFBF" w:themeFill="background1" w:themeFillShade="BF"/>
            <w:vAlign w:val="center"/>
          </w:tcPr>
          <w:p w14:paraId="5EA73565" w14:textId="073AC47C" w:rsidR="009D74ED" w:rsidRPr="00E200DC" w:rsidRDefault="009D74ED">
            <w:pPr>
              <w:jc w:val="right"/>
              <w:rPr>
                <w:rFonts w:cs="Arial"/>
                <w:color w:val="000000"/>
                <w:sz w:val="22"/>
                <w:szCs w:val="22"/>
                <w:lang w:eastAsia="en-AU"/>
              </w:rPr>
            </w:pPr>
            <w:r>
              <w:rPr>
                <w:rFonts w:cs="Arial"/>
                <w:color w:val="000000"/>
                <w:sz w:val="22"/>
                <w:szCs w:val="22"/>
                <w:lang w:eastAsia="en-AU"/>
              </w:rPr>
              <w:t>219,812</w:t>
            </w:r>
          </w:p>
        </w:tc>
        <w:tc>
          <w:tcPr>
            <w:tcW w:w="1684" w:type="dxa"/>
            <w:tcBorders>
              <w:top w:val="nil"/>
              <w:left w:val="nil"/>
              <w:bottom w:val="single" w:sz="8" w:space="0" w:color="auto"/>
              <w:right w:val="nil"/>
            </w:tcBorders>
            <w:shd w:val="clear" w:color="auto" w:fill="auto"/>
            <w:vAlign w:val="center"/>
            <w:hideMark/>
          </w:tcPr>
          <w:p w14:paraId="5EA73566"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214,275</w:t>
            </w:r>
          </w:p>
        </w:tc>
      </w:tr>
    </w:tbl>
    <w:p w14:paraId="0DD715E7" w14:textId="77777777" w:rsidR="00245BD8" w:rsidRDefault="00245BD8"/>
    <w:tbl>
      <w:tblPr>
        <w:tblW w:w="8901" w:type="dxa"/>
        <w:tblInd w:w="108" w:type="dxa"/>
        <w:tblLook w:val="04A0" w:firstRow="1" w:lastRow="0" w:firstColumn="1" w:lastColumn="0" w:noHBand="0" w:noVBand="1"/>
      </w:tblPr>
      <w:tblGrid>
        <w:gridCol w:w="4349"/>
        <w:gridCol w:w="1184"/>
        <w:gridCol w:w="1684"/>
        <w:gridCol w:w="1684"/>
      </w:tblGrid>
      <w:tr w:rsidR="009D74ED" w:rsidRPr="00E200DC" w14:paraId="5EA7356D" w14:textId="77777777" w:rsidTr="00245BD8">
        <w:trPr>
          <w:trHeight w:val="319"/>
          <w:tblHeader/>
        </w:trPr>
        <w:tc>
          <w:tcPr>
            <w:tcW w:w="4349" w:type="dxa"/>
            <w:tcBorders>
              <w:top w:val="nil"/>
              <w:left w:val="nil"/>
              <w:bottom w:val="nil"/>
              <w:right w:val="nil"/>
            </w:tcBorders>
            <w:shd w:val="clear" w:color="auto" w:fill="auto"/>
            <w:vAlign w:val="center"/>
            <w:hideMark/>
          </w:tcPr>
          <w:p w14:paraId="5EA73568" w14:textId="77777777" w:rsidR="009D74ED" w:rsidRPr="00E200DC" w:rsidRDefault="009D74ED" w:rsidP="00E200DC">
            <w:pPr>
              <w:rPr>
                <w:rFonts w:cs="Arial"/>
                <w:b/>
                <w:bCs/>
                <w:color w:val="000000"/>
                <w:sz w:val="22"/>
                <w:szCs w:val="22"/>
                <w:lang w:eastAsia="en-AU"/>
              </w:rPr>
            </w:pPr>
            <w:bookmarkStart w:id="128" w:name="Table_10"/>
            <w:bookmarkEnd w:id="128"/>
            <w:r w:rsidRPr="00E200DC">
              <w:rPr>
                <w:rFonts w:cs="Arial"/>
                <w:b/>
                <w:bCs/>
                <w:color w:val="000000"/>
                <w:sz w:val="22"/>
                <w:szCs w:val="22"/>
                <w:lang w:eastAsia="en-AU"/>
              </w:rPr>
              <w:t>Current liabilities</w:t>
            </w:r>
          </w:p>
        </w:tc>
        <w:tc>
          <w:tcPr>
            <w:tcW w:w="1184" w:type="dxa"/>
            <w:tcBorders>
              <w:top w:val="nil"/>
              <w:left w:val="nil"/>
              <w:bottom w:val="single" w:sz="4" w:space="0" w:color="auto"/>
              <w:right w:val="nil"/>
            </w:tcBorders>
            <w:shd w:val="clear" w:color="auto" w:fill="auto"/>
            <w:vAlign w:val="center"/>
            <w:hideMark/>
          </w:tcPr>
          <w:p w14:paraId="5EA73569" w14:textId="2B42FC8C" w:rsidR="009D74ED" w:rsidRPr="00E200DC" w:rsidRDefault="00245BD8" w:rsidP="00E200DC">
            <w:pPr>
              <w:jc w:val="center"/>
              <w:rPr>
                <w:rFonts w:cs="Arial"/>
                <w:sz w:val="22"/>
                <w:szCs w:val="22"/>
                <w:lang w:eastAsia="en-AU"/>
              </w:rPr>
            </w:pPr>
            <w:r>
              <w:rPr>
                <w:rFonts w:cs="Arial"/>
                <w:sz w:val="22"/>
                <w:szCs w:val="22"/>
                <w:lang w:eastAsia="en-AU"/>
              </w:rPr>
              <w:t>NOTE</w:t>
            </w:r>
          </w:p>
        </w:tc>
        <w:tc>
          <w:tcPr>
            <w:tcW w:w="1684" w:type="dxa"/>
            <w:tcBorders>
              <w:top w:val="nil"/>
              <w:left w:val="nil"/>
              <w:bottom w:val="single" w:sz="4" w:space="0" w:color="auto"/>
              <w:right w:val="nil"/>
            </w:tcBorders>
            <w:shd w:val="clear" w:color="000000" w:fill="BFBFBF" w:themeFill="background1" w:themeFillShade="BF"/>
            <w:vAlign w:val="center"/>
          </w:tcPr>
          <w:p w14:paraId="5EA7356B" w14:textId="57C95ACC" w:rsidR="009D74ED" w:rsidRPr="00245BD8" w:rsidRDefault="00245BD8" w:rsidP="00E200DC">
            <w:pPr>
              <w:jc w:val="right"/>
              <w:rPr>
                <w:rFonts w:cs="Arial"/>
                <w:b/>
                <w:color w:val="000000"/>
                <w:sz w:val="22"/>
                <w:szCs w:val="22"/>
                <w:lang w:eastAsia="en-AU"/>
              </w:rPr>
            </w:pPr>
            <w:r w:rsidRPr="00245BD8">
              <w:rPr>
                <w:rFonts w:cs="Arial"/>
                <w:b/>
                <w:color w:val="000000"/>
                <w:sz w:val="22"/>
                <w:szCs w:val="22"/>
                <w:lang w:eastAsia="en-AU"/>
              </w:rPr>
              <w:t>2015</w:t>
            </w:r>
          </w:p>
        </w:tc>
        <w:tc>
          <w:tcPr>
            <w:tcW w:w="1684" w:type="dxa"/>
            <w:tcBorders>
              <w:top w:val="nil"/>
              <w:left w:val="nil"/>
              <w:bottom w:val="single" w:sz="4" w:space="0" w:color="auto"/>
              <w:right w:val="nil"/>
            </w:tcBorders>
            <w:shd w:val="clear" w:color="auto" w:fill="auto"/>
            <w:vAlign w:val="center"/>
            <w:hideMark/>
          </w:tcPr>
          <w:p w14:paraId="5EA7356C" w14:textId="62AD2F1B" w:rsidR="009D74ED" w:rsidRPr="00E200DC" w:rsidRDefault="00245BD8" w:rsidP="00E200DC">
            <w:pPr>
              <w:jc w:val="right"/>
              <w:rPr>
                <w:rFonts w:cs="Arial"/>
                <w:color w:val="000000"/>
                <w:sz w:val="22"/>
                <w:szCs w:val="22"/>
                <w:lang w:eastAsia="en-AU"/>
              </w:rPr>
            </w:pPr>
            <w:r>
              <w:rPr>
                <w:rFonts w:cs="Arial"/>
                <w:color w:val="000000"/>
                <w:sz w:val="22"/>
                <w:szCs w:val="22"/>
                <w:lang w:eastAsia="en-AU"/>
              </w:rPr>
              <w:t>2014</w:t>
            </w:r>
            <w:r w:rsidR="009D74ED" w:rsidRPr="00E200DC">
              <w:rPr>
                <w:rFonts w:cs="Arial"/>
                <w:color w:val="000000"/>
                <w:sz w:val="22"/>
                <w:szCs w:val="22"/>
                <w:lang w:eastAsia="en-AU"/>
              </w:rPr>
              <w:t> </w:t>
            </w:r>
          </w:p>
        </w:tc>
      </w:tr>
      <w:tr w:rsidR="009D74ED" w:rsidRPr="00E200DC" w14:paraId="5EA73573" w14:textId="77777777" w:rsidTr="00245BD8">
        <w:trPr>
          <w:trHeight w:val="319"/>
        </w:trPr>
        <w:tc>
          <w:tcPr>
            <w:tcW w:w="4349" w:type="dxa"/>
            <w:tcBorders>
              <w:top w:val="nil"/>
              <w:left w:val="nil"/>
              <w:bottom w:val="nil"/>
              <w:right w:val="nil"/>
            </w:tcBorders>
            <w:shd w:val="clear" w:color="auto" w:fill="auto"/>
            <w:vAlign w:val="center"/>
            <w:hideMark/>
          </w:tcPr>
          <w:p w14:paraId="5EA7356E"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Trade and other payables</w:t>
            </w:r>
          </w:p>
        </w:tc>
        <w:tc>
          <w:tcPr>
            <w:tcW w:w="1184" w:type="dxa"/>
            <w:tcBorders>
              <w:top w:val="single" w:sz="4" w:space="0" w:color="auto"/>
              <w:left w:val="nil"/>
              <w:bottom w:val="nil"/>
              <w:right w:val="nil"/>
            </w:tcBorders>
            <w:shd w:val="clear" w:color="auto" w:fill="auto"/>
            <w:vAlign w:val="center"/>
            <w:hideMark/>
          </w:tcPr>
          <w:p w14:paraId="5EA7356F" w14:textId="77777777" w:rsidR="009D74ED" w:rsidRPr="00E200DC" w:rsidRDefault="009D74ED" w:rsidP="00E200DC">
            <w:pPr>
              <w:jc w:val="center"/>
              <w:rPr>
                <w:rFonts w:cs="Arial"/>
                <w:sz w:val="22"/>
                <w:szCs w:val="22"/>
                <w:lang w:eastAsia="en-AU"/>
              </w:rPr>
            </w:pPr>
            <w:hyperlink r:id="rId40" w:anchor="'Note 14,15,16'!A1" w:history="1">
              <w:r w:rsidRPr="00E200DC">
                <w:rPr>
                  <w:rFonts w:cs="Arial"/>
                  <w:sz w:val="22"/>
                  <w:szCs w:val="22"/>
                  <w:lang w:eastAsia="en-AU"/>
                </w:rPr>
                <w:t>15</w:t>
              </w:r>
            </w:hyperlink>
          </w:p>
        </w:tc>
        <w:tc>
          <w:tcPr>
            <w:tcW w:w="1684" w:type="dxa"/>
            <w:tcBorders>
              <w:top w:val="single" w:sz="4" w:space="0" w:color="auto"/>
              <w:left w:val="nil"/>
              <w:bottom w:val="nil"/>
              <w:right w:val="nil"/>
            </w:tcBorders>
            <w:shd w:val="clear" w:color="000000" w:fill="BFBFBF" w:themeFill="background1" w:themeFillShade="BF"/>
            <w:vAlign w:val="center"/>
          </w:tcPr>
          <w:p w14:paraId="5EA73571" w14:textId="4BBF59A0" w:rsidR="009D74ED" w:rsidRPr="00E200DC" w:rsidRDefault="009D74ED">
            <w:pPr>
              <w:jc w:val="right"/>
              <w:rPr>
                <w:rFonts w:cs="Arial"/>
                <w:color w:val="000000"/>
                <w:sz w:val="22"/>
                <w:szCs w:val="22"/>
                <w:lang w:eastAsia="en-AU"/>
              </w:rPr>
            </w:pPr>
            <w:r>
              <w:rPr>
                <w:rFonts w:cs="Arial"/>
                <w:color w:val="000000"/>
                <w:sz w:val="22"/>
                <w:szCs w:val="22"/>
                <w:lang w:eastAsia="en-AU"/>
              </w:rPr>
              <w:t>7,986</w:t>
            </w:r>
          </w:p>
        </w:tc>
        <w:tc>
          <w:tcPr>
            <w:tcW w:w="1684" w:type="dxa"/>
            <w:tcBorders>
              <w:top w:val="single" w:sz="4" w:space="0" w:color="auto"/>
              <w:left w:val="nil"/>
              <w:bottom w:val="nil"/>
              <w:right w:val="nil"/>
            </w:tcBorders>
            <w:shd w:val="clear" w:color="auto" w:fill="auto"/>
            <w:vAlign w:val="center"/>
            <w:hideMark/>
          </w:tcPr>
          <w:p w14:paraId="5EA73572"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7,287</w:t>
            </w:r>
          </w:p>
        </w:tc>
      </w:tr>
      <w:tr w:rsidR="009D74ED" w:rsidRPr="00E200DC" w14:paraId="5EA73579" w14:textId="77777777" w:rsidTr="009D74ED">
        <w:trPr>
          <w:trHeight w:val="319"/>
        </w:trPr>
        <w:tc>
          <w:tcPr>
            <w:tcW w:w="4349" w:type="dxa"/>
            <w:tcBorders>
              <w:top w:val="nil"/>
              <w:left w:val="nil"/>
              <w:bottom w:val="nil"/>
              <w:right w:val="nil"/>
            </w:tcBorders>
            <w:shd w:val="clear" w:color="auto" w:fill="auto"/>
            <w:vAlign w:val="center"/>
            <w:hideMark/>
          </w:tcPr>
          <w:p w14:paraId="5EA73574"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Provisions</w:t>
            </w:r>
          </w:p>
        </w:tc>
        <w:tc>
          <w:tcPr>
            <w:tcW w:w="1184" w:type="dxa"/>
            <w:tcBorders>
              <w:top w:val="nil"/>
              <w:left w:val="nil"/>
              <w:bottom w:val="nil"/>
              <w:right w:val="nil"/>
            </w:tcBorders>
            <w:shd w:val="clear" w:color="auto" w:fill="auto"/>
            <w:vAlign w:val="center"/>
            <w:hideMark/>
          </w:tcPr>
          <w:p w14:paraId="5EA73575" w14:textId="77777777" w:rsidR="009D74ED" w:rsidRPr="00E200DC" w:rsidRDefault="009D74ED" w:rsidP="00E200DC">
            <w:pPr>
              <w:jc w:val="center"/>
              <w:rPr>
                <w:rFonts w:cs="Arial"/>
                <w:sz w:val="22"/>
                <w:szCs w:val="22"/>
                <w:lang w:eastAsia="en-AU"/>
              </w:rPr>
            </w:pPr>
            <w:hyperlink r:id="rId41" w:anchor="'Note 14,15,16'!A1" w:history="1">
              <w:r w:rsidRPr="00E200DC">
                <w:rPr>
                  <w:rFonts w:cs="Arial"/>
                  <w:sz w:val="22"/>
                  <w:szCs w:val="22"/>
                  <w:lang w:eastAsia="en-AU"/>
                </w:rPr>
                <w:t>16</w:t>
              </w:r>
            </w:hyperlink>
          </w:p>
        </w:tc>
        <w:tc>
          <w:tcPr>
            <w:tcW w:w="1684" w:type="dxa"/>
            <w:tcBorders>
              <w:top w:val="nil"/>
              <w:left w:val="nil"/>
              <w:bottom w:val="nil"/>
              <w:right w:val="nil"/>
            </w:tcBorders>
            <w:shd w:val="clear" w:color="000000" w:fill="BFBFBF" w:themeFill="background1" w:themeFillShade="BF"/>
            <w:vAlign w:val="center"/>
          </w:tcPr>
          <w:p w14:paraId="5EA73577"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7,288</w:t>
            </w:r>
          </w:p>
        </w:tc>
        <w:tc>
          <w:tcPr>
            <w:tcW w:w="1684" w:type="dxa"/>
            <w:tcBorders>
              <w:top w:val="nil"/>
              <w:left w:val="nil"/>
              <w:bottom w:val="nil"/>
              <w:right w:val="nil"/>
            </w:tcBorders>
            <w:shd w:val="clear" w:color="auto" w:fill="auto"/>
            <w:vAlign w:val="center"/>
            <w:hideMark/>
          </w:tcPr>
          <w:p w14:paraId="5EA73578" w14:textId="77777777" w:rsidR="009D74ED" w:rsidRPr="00E200DC" w:rsidRDefault="009D74ED" w:rsidP="00E200DC">
            <w:pPr>
              <w:jc w:val="right"/>
              <w:rPr>
                <w:rFonts w:cs="Arial"/>
                <w:color w:val="000000"/>
                <w:sz w:val="22"/>
                <w:szCs w:val="22"/>
                <w:lang w:eastAsia="en-AU"/>
              </w:rPr>
            </w:pPr>
            <w:r w:rsidRPr="00E200DC">
              <w:rPr>
                <w:rFonts w:cs="Arial"/>
                <w:color w:val="000000"/>
                <w:sz w:val="22"/>
                <w:szCs w:val="22"/>
                <w:lang w:eastAsia="en-AU"/>
              </w:rPr>
              <w:t>8,198</w:t>
            </w:r>
          </w:p>
        </w:tc>
      </w:tr>
      <w:tr w:rsidR="009D74ED" w:rsidRPr="00E200DC" w14:paraId="5EA7357F" w14:textId="77777777" w:rsidTr="009D74ED">
        <w:trPr>
          <w:trHeight w:val="319"/>
        </w:trPr>
        <w:tc>
          <w:tcPr>
            <w:tcW w:w="4349" w:type="dxa"/>
            <w:tcBorders>
              <w:top w:val="nil"/>
              <w:left w:val="nil"/>
              <w:bottom w:val="nil"/>
              <w:right w:val="nil"/>
            </w:tcBorders>
            <w:shd w:val="clear" w:color="auto" w:fill="auto"/>
            <w:vAlign w:val="center"/>
            <w:hideMark/>
          </w:tcPr>
          <w:p w14:paraId="5EA7357A" w14:textId="77777777" w:rsidR="009D74ED" w:rsidRPr="00E200DC" w:rsidRDefault="009D74ED" w:rsidP="00E200DC">
            <w:pPr>
              <w:rPr>
                <w:rFonts w:cs="Arial"/>
                <w:color w:val="000000"/>
                <w:sz w:val="22"/>
                <w:szCs w:val="22"/>
                <w:lang w:eastAsia="en-AU"/>
              </w:rPr>
            </w:pPr>
            <w:r w:rsidRPr="00E200DC">
              <w:rPr>
                <w:rFonts w:cs="Arial"/>
                <w:color w:val="000000"/>
                <w:sz w:val="22"/>
                <w:szCs w:val="22"/>
                <w:lang w:eastAsia="en-AU"/>
              </w:rPr>
              <w:t>Other current liabilities</w:t>
            </w:r>
          </w:p>
        </w:tc>
        <w:tc>
          <w:tcPr>
            <w:tcW w:w="1184" w:type="dxa"/>
            <w:tcBorders>
              <w:top w:val="nil"/>
              <w:left w:val="nil"/>
              <w:bottom w:val="nil"/>
              <w:right w:val="nil"/>
            </w:tcBorders>
            <w:shd w:val="clear" w:color="auto" w:fill="auto"/>
            <w:vAlign w:val="center"/>
            <w:hideMark/>
          </w:tcPr>
          <w:p w14:paraId="5EA7357B" w14:textId="77777777" w:rsidR="009D74ED" w:rsidRPr="00E200DC" w:rsidRDefault="009D74ED" w:rsidP="00E200DC">
            <w:pPr>
              <w:jc w:val="center"/>
              <w:rPr>
                <w:rFonts w:cs="Arial"/>
                <w:sz w:val="22"/>
                <w:szCs w:val="22"/>
                <w:lang w:eastAsia="en-AU"/>
              </w:rPr>
            </w:pPr>
            <w:hyperlink r:id="rId42" w:anchor="'Note 17,19'!A1" w:history="1">
              <w:r w:rsidRPr="00E200DC">
                <w:rPr>
                  <w:rFonts w:cs="Arial"/>
                  <w:sz w:val="22"/>
                  <w:szCs w:val="22"/>
                  <w:lang w:eastAsia="en-AU"/>
                </w:rPr>
                <w:t>17</w:t>
              </w:r>
            </w:hyperlink>
          </w:p>
        </w:tc>
        <w:tc>
          <w:tcPr>
            <w:tcW w:w="1684" w:type="dxa"/>
            <w:tcBorders>
              <w:top w:val="nil"/>
              <w:left w:val="nil"/>
              <w:bottom w:val="single" w:sz="8" w:space="0" w:color="auto"/>
              <w:right w:val="nil"/>
            </w:tcBorders>
            <w:shd w:val="clear" w:color="000000" w:fill="BFBFBF" w:themeFill="background1" w:themeFillShade="BF"/>
            <w:vAlign w:val="center"/>
          </w:tcPr>
          <w:p w14:paraId="5EA7357D"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2,339</w:t>
            </w:r>
          </w:p>
        </w:tc>
        <w:tc>
          <w:tcPr>
            <w:tcW w:w="1684" w:type="dxa"/>
            <w:tcBorders>
              <w:top w:val="nil"/>
              <w:left w:val="nil"/>
              <w:bottom w:val="single" w:sz="8" w:space="0" w:color="auto"/>
              <w:right w:val="nil"/>
            </w:tcBorders>
            <w:shd w:val="clear" w:color="auto" w:fill="auto"/>
            <w:vAlign w:val="center"/>
            <w:hideMark/>
          </w:tcPr>
          <w:p w14:paraId="5EA7357E"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2,947</w:t>
            </w:r>
          </w:p>
        </w:tc>
      </w:tr>
      <w:tr w:rsidR="009D74ED" w:rsidRPr="00E200DC" w14:paraId="5EA73585" w14:textId="77777777" w:rsidTr="009D74ED">
        <w:trPr>
          <w:trHeight w:val="319"/>
        </w:trPr>
        <w:tc>
          <w:tcPr>
            <w:tcW w:w="4349" w:type="dxa"/>
            <w:tcBorders>
              <w:top w:val="nil"/>
              <w:left w:val="nil"/>
              <w:bottom w:val="nil"/>
              <w:right w:val="nil"/>
            </w:tcBorders>
            <w:shd w:val="clear" w:color="auto" w:fill="auto"/>
            <w:vAlign w:val="center"/>
            <w:hideMark/>
          </w:tcPr>
          <w:p w14:paraId="5EA73580" w14:textId="77777777" w:rsidR="009D74ED" w:rsidRPr="00E200DC" w:rsidRDefault="009D74ED" w:rsidP="00E200DC">
            <w:pPr>
              <w:rPr>
                <w:rFonts w:cs="Arial"/>
                <w:b/>
                <w:bCs/>
                <w:color w:val="000000"/>
                <w:sz w:val="22"/>
                <w:szCs w:val="22"/>
                <w:lang w:eastAsia="en-AU"/>
              </w:rPr>
            </w:pPr>
            <w:r w:rsidRPr="00E200DC">
              <w:rPr>
                <w:rFonts w:cs="Arial"/>
                <w:b/>
                <w:bCs/>
                <w:color w:val="000000"/>
                <w:sz w:val="22"/>
                <w:szCs w:val="22"/>
                <w:lang w:eastAsia="en-AU"/>
              </w:rPr>
              <w:t>Total current liabilities</w:t>
            </w:r>
          </w:p>
        </w:tc>
        <w:tc>
          <w:tcPr>
            <w:tcW w:w="1184" w:type="dxa"/>
            <w:tcBorders>
              <w:top w:val="nil"/>
              <w:left w:val="nil"/>
              <w:bottom w:val="nil"/>
              <w:right w:val="nil"/>
            </w:tcBorders>
            <w:shd w:val="clear" w:color="auto" w:fill="auto"/>
            <w:vAlign w:val="center"/>
            <w:hideMark/>
          </w:tcPr>
          <w:p w14:paraId="5EA73581" w14:textId="15E6BEEE" w:rsidR="009D74ED" w:rsidRPr="00E200DC" w:rsidRDefault="00245BD8" w:rsidP="00E200DC">
            <w:pPr>
              <w:jc w:val="center"/>
              <w:rPr>
                <w:rFonts w:cs="Arial"/>
                <w:sz w:val="22"/>
                <w:szCs w:val="22"/>
                <w:lang w:eastAsia="en-AU"/>
              </w:rPr>
            </w:pPr>
            <w:r>
              <w:rPr>
                <w:rFonts w:cs="Arial"/>
                <w:sz w:val="22"/>
                <w:szCs w:val="22"/>
                <w:lang w:eastAsia="en-AU"/>
              </w:rPr>
              <w:t>None</w:t>
            </w:r>
          </w:p>
        </w:tc>
        <w:tc>
          <w:tcPr>
            <w:tcW w:w="1684" w:type="dxa"/>
            <w:tcBorders>
              <w:top w:val="nil"/>
              <w:left w:val="nil"/>
              <w:bottom w:val="single" w:sz="8" w:space="0" w:color="auto"/>
              <w:right w:val="nil"/>
            </w:tcBorders>
            <w:shd w:val="clear" w:color="000000" w:fill="BFBFBF" w:themeFill="background1" w:themeFillShade="BF"/>
            <w:vAlign w:val="center"/>
          </w:tcPr>
          <w:p w14:paraId="5EA73583" w14:textId="7C50E46A" w:rsidR="009D74ED" w:rsidRPr="00E200DC" w:rsidRDefault="009D74ED">
            <w:pPr>
              <w:jc w:val="right"/>
              <w:rPr>
                <w:rFonts w:cs="Arial"/>
                <w:color w:val="000000"/>
                <w:sz w:val="22"/>
                <w:szCs w:val="22"/>
                <w:lang w:eastAsia="en-AU"/>
              </w:rPr>
            </w:pPr>
            <w:r>
              <w:rPr>
                <w:rFonts w:cs="Arial"/>
                <w:color w:val="000000"/>
                <w:sz w:val="22"/>
                <w:szCs w:val="22"/>
                <w:lang w:eastAsia="en-AU"/>
              </w:rPr>
              <w:t>17,613</w:t>
            </w:r>
          </w:p>
        </w:tc>
        <w:tc>
          <w:tcPr>
            <w:tcW w:w="1684" w:type="dxa"/>
            <w:tcBorders>
              <w:top w:val="nil"/>
              <w:left w:val="nil"/>
              <w:bottom w:val="single" w:sz="8" w:space="0" w:color="auto"/>
              <w:right w:val="nil"/>
            </w:tcBorders>
            <w:shd w:val="clear" w:color="auto" w:fill="auto"/>
            <w:vAlign w:val="center"/>
            <w:hideMark/>
          </w:tcPr>
          <w:p w14:paraId="5EA73584" w14:textId="77777777" w:rsidR="009D74ED" w:rsidRPr="00E200DC" w:rsidRDefault="009D74ED" w:rsidP="00E200DC">
            <w:pPr>
              <w:jc w:val="right"/>
              <w:rPr>
                <w:rFonts w:cs="Arial"/>
                <w:color w:val="000000"/>
                <w:sz w:val="22"/>
                <w:szCs w:val="22"/>
                <w:lang w:eastAsia="en-AU"/>
              </w:rPr>
            </w:pPr>
            <w:r>
              <w:rPr>
                <w:rFonts w:cs="Arial"/>
                <w:color w:val="000000"/>
                <w:sz w:val="22"/>
                <w:szCs w:val="22"/>
                <w:lang w:eastAsia="en-AU"/>
              </w:rPr>
              <w:t>18,432</w:t>
            </w:r>
          </w:p>
        </w:tc>
      </w:tr>
    </w:tbl>
    <w:p w14:paraId="28F50756" w14:textId="77777777" w:rsidR="00245BD8" w:rsidRDefault="00245BD8"/>
    <w:tbl>
      <w:tblPr>
        <w:tblW w:w="8901" w:type="dxa"/>
        <w:tblInd w:w="108" w:type="dxa"/>
        <w:tblLook w:val="04A0" w:firstRow="1" w:lastRow="0" w:firstColumn="1" w:lastColumn="0" w:noHBand="0" w:noVBand="1"/>
      </w:tblPr>
      <w:tblGrid>
        <w:gridCol w:w="4349"/>
        <w:gridCol w:w="1184"/>
        <w:gridCol w:w="1684"/>
        <w:gridCol w:w="1684"/>
      </w:tblGrid>
      <w:tr w:rsidR="00245BD8" w:rsidRPr="00E200DC" w14:paraId="5EA7358B" w14:textId="77777777" w:rsidTr="00245BD8">
        <w:trPr>
          <w:trHeight w:val="319"/>
          <w:tblHeader/>
        </w:trPr>
        <w:tc>
          <w:tcPr>
            <w:tcW w:w="4349" w:type="dxa"/>
            <w:tcBorders>
              <w:top w:val="nil"/>
              <w:left w:val="nil"/>
              <w:bottom w:val="nil"/>
              <w:right w:val="nil"/>
            </w:tcBorders>
            <w:shd w:val="clear" w:color="auto" w:fill="auto"/>
            <w:vAlign w:val="center"/>
            <w:hideMark/>
          </w:tcPr>
          <w:p w14:paraId="5EA73586" w14:textId="77777777" w:rsidR="00245BD8" w:rsidRPr="00E200DC" w:rsidRDefault="00245BD8" w:rsidP="00E200DC">
            <w:pPr>
              <w:rPr>
                <w:rFonts w:cs="Arial"/>
                <w:b/>
                <w:bCs/>
                <w:color w:val="000000"/>
                <w:sz w:val="22"/>
                <w:szCs w:val="22"/>
                <w:lang w:eastAsia="en-AU"/>
              </w:rPr>
            </w:pPr>
            <w:bookmarkStart w:id="129" w:name="Table_11"/>
            <w:bookmarkEnd w:id="129"/>
            <w:r w:rsidRPr="00E200DC">
              <w:rPr>
                <w:rFonts w:cs="Arial"/>
                <w:b/>
                <w:bCs/>
                <w:color w:val="000000"/>
                <w:sz w:val="22"/>
                <w:szCs w:val="22"/>
                <w:lang w:eastAsia="en-AU"/>
              </w:rPr>
              <w:t>Non-current liabilities</w:t>
            </w:r>
          </w:p>
        </w:tc>
        <w:tc>
          <w:tcPr>
            <w:tcW w:w="1184" w:type="dxa"/>
            <w:tcBorders>
              <w:top w:val="nil"/>
              <w:left w:val="nil"/>
              <w:bottom w:val="single" w:sz="4" w:space="0" w:color="auto"/>
              <w:right w:val="nil"/>
            </w:tcBorders>
            <w:shd w:val="clear" w:color="auto" w:fill="auto"/>
            <w:vAlign w:val="center"/>
            <w:hideMark/>
          </w:tcPr>
          <w:p w14:paraId="5EA73587" w14:textId="5B2730A1" w:rsidR="00245BD8" w:rsidRPr="00E200DC" w:rsidRDefault="00245BD8" w:rsidP="00E200DC">
            <w:pPr>
              <w:jc w:val="center"/>
              <w:rPr>
                <w:rFonts w:cs="Arial"/>
                <w:sz w:val="22"/>
                <w:szCs w:val="22"/>
                <w:lang w:eastAsia="en-AU"/>
              </w:rPr>
            </w:pPr>
            <w:r>
              <w:rPr>
                <w:rFonts w:cs="Arial"/>
                <w:sz w:val="22"/>
                <w:szCs w:val="22"/>
                <w:lang w:eastAsia="en-AU"/>
              </w:rPr>
              <w:t>NOTE</w:t>
            </w:r>
          </w:p>
        </w:tc>
        <w:tc>
          <w:tcPr>
            <w:tcW w:w="1684" w:type="dxa"/>
            <w:tcBorders>
              <w:top w:val="nil"/>
              <w:left w:val="nil"/>
              <w:bottom w:val="single" w:sz="4" w:space="0" w:color="auto"/>
              <w:right w:val="nil"/>
            </w:tcBorders>
            <w:shd w:val="clear" w:color="000000" w:fill="BFBFBF" w:themeFill="background1" w:themeFillShade="BF"/>
            <w:vAlign w:val="center"/>
          </w:tcPr>
          <w:p w14:paraId="5EA73589" w14:textId="7468EC2A" w:rsidR="00245BD8" w:rsidRPr="00E200DC" w:rsidRDefault="00245BD8" w:rsidP="00E200DC">
            <w:pPr>
              <w:jc w:val="right"/>
              <w:rPr>
                <w:rFonts w:cs="Arial"/>
                <w:color w:val="000000"/>
                <w:sz w:val="22"/>
                <w:szCs w:val="22"/>
                <w:lang w:eastAsia="en-AU"/>
              </w:rPr>
            </w:pPr>
            <w:r w:rsidRPr="00245BD8">
              <w:rPr>
                <w:rFonts w:cs="Arial"/>
                <w:b/>
                <w:color w:val="000000"/>
                <w:sz w:val="22"/>
                <w:szCs w:val="22"/>
                <w:lang w:eastAsia="en-AU"/>
              </w:rPr>
              <w:t>2015</w:t>
            </w:r>
          </w:p>
        </w:tc>
        <w:tc>
          <w:tcPr>
            <w:tcW w:w="1684" w:type="dxa"/>
            <w:tcBorders>
              <w:top w:val="nil"/>
              <w:left w:val="nil"/>
              <w:bottom w:val="single" w:sz="4" w:space="0" w:color="auto"/>
              <w:right w:val="nil"/>
            </w:tcBorders>
            <w:shd w:val="clear" w:color="auto" w:fill="auto"/>
            <w:vAlign w:val="center"/>
            <w:hideMark/>
          </w:tcPr>
          <w:p w14:paraId="5EA7358A" w14:textId="3F392788" w:rsidR="00245BD8" w:rsidRPr="00E200DC" w:rsidRDefault="00245BD8" w:rsidP="00E200DC">
            <w:pPr>
              <w:jc w:val="right"/>
              <w:rPr>
                <w:rFonts w:cs="Arial"/>
                <w:color w:val="000000"/>
                <w:sz w:val="22"/>
                <w:szCs w:val="22"/>
                <w:lang w:eastAsia="en-AU"/>
              </w:rPr>
            </w:pPr>
            <w:r>
              <w:rPr>
                <w:rFonts w:cs="Arial"/>
                <w:color w:val="000000"/>
                <w:sz w:val="22"/>
                <w:szCs w:val="22"/>
                <w:lang w:eastAsia="en-AU"/>
              </w:rPr>
              <w:t>2014</w:t>
            </w:r>
            <w:r w:rsidRPr="00E200DC">
              <w:rPr>
                <w:rFonts w:cs="Arial"/>
                <w:color w:val="000000"/>
                <w:sz w:val="22"/>
                <w:szCs w:val="22"/>
                <w:lang w:eastAsia="en-AU"/>
              </w:rPr>
              <w:t> </w:t>
            </w:r>
          </w:p>
        </w:tc>
      </w:tr>
      <w:tr w:rsidR="00245BD8" w:rsidRPr="00E200DC" w14:paraId="5EA73591" w14:textId="77777777" w:rsidTr="00245BD8">
        <w:trPr>
          <w:trHeight w:val="319"/>
        </w:trPr>
        <w:tc>
          <w:tcPr>
            <w:tcW w:w="4349" w:type="dxa"/>
            <w:tcBorders>
              <w:top w:val="nil"/>
              <w:left w:val="nil"/>
              <w:bottom w:val="nil"/>
              <w:right w:val="nil"/>
            </w:tcBorders>
            <w:shd w:val="clear" w:color="auto" w:fill="auto"/>
            <w:vAlign w:val="center"/>
            <w:hideMark/>
          </w:tcPr>
          <w:p w14:paraId="5EA7358C" w14:textId="77777777" w:rsidR="00245BD8" w:rsidRPr="00E200DC" w:rsidRDefault="00245BD8" w:rsidP="00E200DC">
            <w:pPr>
              <w:rPr>
                <w:rFonts w:cs="Arial"/>
                <w:color w:val="000000"/>
                <w:sz w:val="22"/>
                <w:szCs w:val="22"/>
                <w:lang w:eastAsia="en-AU"/>
              </w:rPr>
            </w:pPr>
            <w:r w:rsidRPr="00E200DC">
              <w:rPr>
                <w:rFonts w:cs="Arial"/>
                <w:color w:val="000000"/>
                <w:sz w:val="22"/>
                <w:szCs w:val="22"/>
                <w:lang w:eastAsia="en-AU"/>
              </w:rPr>
              <w:t>Trade and other payables</w:t>
            </w:r>
          </w:p>
        </w:tc>
        <w:tc>
          <w:tcPr>
            <w:tcW w:w="1184" w:type="dxa"/>
            <w:tcBorders>
              <w:top w:val="single" w:sz="4" w:space="0" w:color="auto"/>
              <w:left w:val="nil"/>
              <w:bottom w:val="nil"/>
              <w:right w:val="nil"/>
            </w:tcBorders>
            <w:shd w:val="clear" w:color="auto" w:fill="auto"/>
            <w:vAlign w:val="center"/>
            <w:hideMark/>
          </w:tcPr>
          <w:p w14:paraId="5EA7358D" w14:textId="77777777" w:rsidR="00245BD8" w:rsidRPr="00E200DC" w:rsidRDefault="00245BD8" w:rsidP="00E200DC">
            <w:pPr>
              <w:jc w:val="center"/>
              <w:rPr>
                <w:rFonts w:cs="Arial"/>
                <w:sz w:val="22"/>
                <w:szCs w:val="22"/>
                <w:lang w:eastAsia="en-AU"/>
              </w:rPr>
            </w:pPr>
            <w:hyperlink r:id="rId43" w:anchor="'Note 14,15,16'!A1" w:history="1">
              <w:r w:rsidRPr="00E200DC">
                <w:rPr>
                  <w:rFonts w:cs="Arial"/>
                  <w:sz w:val="22"/>
                  <w:szCs w:val="22"/>
                  <w:lang w:eastAsia="en-AU"/>
                </w:rPr>
                <w:t>15</w:t>
              </w:r>
            </w:hyperlink>
          </w:p>
        </w:tc>
        <w:tc>
          <w:tcPr>
            <w:tcW w:w="1684" w:type="dxa"/>
            <w:tcBorders>
              <w:top w:val="single" w:sz="4" w:space="0" w:color="auto"/>
              <w:left w:val="nil"/>
              <w:bottom w:val="nil"/>
              <w:right w:val="nil"/>
            </w:tcBorders>
            <w:shd w:val="clear" w:color="000000" w:fill="BFBFBF" w:themeFill="background1" w:themeFillShade="BF"/>
            <w:vAlign w:val="center"/>
          </w:tcPr>
          <w:p w14:paraId="5EA7358F"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3</w:t>
            </w:r>
          </w:p>
        </w:tc>
        <w:tc>
          <w:tcPr>
            <w:tcW w:w="1684" w:type="dxa"/>
            <w:tcBorders>
              <w:top w:val="single" w:sz="4" w:space="0" w:color="auto"/>
              <w:left w:val="nil"/>
              <w:bottom w:val="nil"/>
              <w:right w:val="nil"/>
            </w:tcBorders>
            <w:shd w:val="clear" w:color="auto" w:fill="auto"/>
            <w:vAlign w:val="center"/>
            <w:hideMark/>
          </w:tcPr>
          <w:p w14:paraId="5EA73590"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3</w:t>
            </w:r>
          </w:p>
        </w:tc>
      </w:tr>
      <w:tr w:rsidR="00245BD8" w:rsidRPr="00E200DC" w14:paraId="5EA73597" w14:textId="77777777" w:rsidTr="009D74ED">
        <w:trPr>
          <w:trHeight w:val="319"/>
        </w:trPr>
        <w:tc>
          <w:tcPr>
            <w:tcW w:w="4349" w:type="dxa"/>
            <w:tcBorders>
              <w:top w:val="nil"/>
              <w:left w:val="nil"/>
              <w:bottom w:val="nil"/>
              <w:right w:val="nil"/>
            </w:tcBorders>
            <w:shd w:val="clear" w:color="auto" w:fill="auto"/>
            <w:vAlign w:val="center"/>
            <w:hideMark/>
          </w:tcPr>
          <w:p w14:paraId="5EA73592" w14:textId="77777777" w:rsidR="00245BD8" w:rsidRPr="00E200DC" w:rsidRDefault="00245BD8" w:rsidP="00E200DC">
            <w:pPr>
              <w:rPr>
                <w:rFonts w:cs="Arial"/>
                <w:color w:val="000000"/>
                <w:sz w:val="22"/>
                <w:szCs w:val="22"/>
                <w:lang w:eastAsia="en-AU"/>
              </w:rPr>
            </w:pPr>
            <w:r w:rsidRPr="00E200DC">
              <w:rPr>
                <w:rFonts w:cs="Arial"/>
                <w:color w:val="000000"/>
                <w:sz w:val="22"/>
                <w:szCs w:val="22"/>
                <w:lang w:eastAsia="en-AU"/>
              </w:rPr>
              <w:t>Provisions</w:t>
            </w:r>
          </w:p>
        </w:tc>
        <w:tc>
          <w:tcPr>
            <w:tcW w:w="1184" w:type="dxa"/>
            <w:tcBorders>
              <w:top w:val="nil"/>
              <w:left w:val="nil"/>
              <w:bottom w:val="nil"/>
              <w:right w:val="nil"/>
            </w:tcBorders>
            <w:shd w:val="clear" w:color="auto" w:fill="auto"/>
            <w:vAlign w:val="center"/>
            <w:hideMark/>
          </w:tcPr>
          <w:p w14:paraId="5EA73593" w14:textId="77777777" w:rsidR="00245BD8" w:rsidRPr="00E200DC" w:rsidRDefault="00245BD8" w:rsidP="00E200DC">
            <w:pPr>
              <w:jc w:val="center"/>
              <w:rPr>
                <w:rFonts w:cs="Arial"/>
                <w:sz w:val="22"/>
                <w:szCs w:val="22"/>
                <w:lang w:eastAsia="en-AU"/>
              </w:rPr>
            </w:pPr>
            <w:hyperlink r:id="rId44" w:anchor="'Note 14,15,16'!A1" w:history="1">
              <w:r w:rsidRPr="00E200DC">
                <w:rPr>
                  <w:rFonts w:cs="Arial"/>
                  <w:sz w:val="22"/>
                  <w:szCs w:val="22"/>
                  <w:lang w:eastAsia="en-AU"/>
                </w:rPr>
                <w:t>16</w:t>
              </w:r>
            </w:hyperlink>
          </w:p>
        </w:tc>
        <w:tc>
          <w:tcPr>
            <w:tcW w:w="1684" w:type="dxa"/>
            <w:tcBorders>
              <w:top w:val="nil"/>
              <w:left w:val="nil"/>
              <w:bottom w:val="single" w:sz="8" w:space="0" w:color="auto"/>
              <w:right w:val="nil"/>
            </w:tcBorders>
            <w:shd w:val="clear" w:color="000000" w:fill="BFBFBF" w:themeFill="background1" w:themeFillShade="BF"/>
            <w:vAlign w:val="center"/>
          </w:tcPr>
          <w:p w14:paraId="5EA73595"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1,356</w:t>
            </w:r>
          </w:p>
        </w:tc>
        <w:tc>
          <w:tcPr>
            <w:tcW w:w="1684" w:type="dxa"/>
            <w:tcBorders>
              <w:top w:val="nil"/>
              <w:left w:val="nil"/>
              <w:bottom w:val="single" w:sz="8" w:space="0" w:color="auto"/>
              <w:right w:val="nil"/>
            </w:tcBorders>
            <w:shd w:val="clear" w:color="auto" w:fill="auto"/>
            <w:vAlign w:val="center"/>
            <w:hideMark/>
          </w:tcPr>
          <w:p w14:paraId="5EA73596"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1,402</w:t>
            </w:r>
          </w:p>
        </w:tc>
      </w:tr>
      <w:tr w:rsidR="00245BD8" w:rsidRPr="00E200DC" w14:paraId="5EA7359D" w14:textId="77777777" w:rsidTr="009D74ED">
        <w:trPr>
          <w:trHeight w:val="351"/>
        </w:trPr>
        <w:tc>
          <w:tcPr>
            <w:tcW w:w="4349" w:type="dxa"/>
            <w:tcBorders>
              <w:top w:val="nil"/>
              <w:left w:val="nil"/>
              <w:bottom w:val="nil"/>
              <w:right w:val="nil"/>
            </w:tcBorders>
            <w:shd w:val="clear" w:color="auto" w:fill="auto"/>
            <w:vAlign w:val="center"/>
            <w:hideMark/>
          </w:tcPr>
          <w:p w14:paraId="5EA73598" w14:textId="77777777" w:rsidR="00245BD8" w:rsidRPr="00E200DC" w:rsidRDefault="00245BD8" w:rsidP="00E200DC">
            <w:pPr>
              <w:rPr>
                <w:rFonts w:cs="Arial"/>
                <w:b/>
                <w:bCs/>
                <w:color w:val="000000"/>
                <w:sz w:val="22"/>
                <w:szCs w:val="22"/>
                <w:lang w:eastAsia="en-AU"/>
              </w:rPr>
            </w:pPr>
            <w:r w:rsidRPr="00E200DC">
              <w:rPr>
                <w:rFonts w:cs="Arial"/>
                <w:b/>
                <w:bCs/>
                <w:color w:val="000000"/>
                <w:sz w:val="22"/>
                <w:szCs w:val="22"/>
                <w:lang w:eastAsia="en-AU"/>
              </w:rPr>
              <w:t>Total non-current liabilities</w:t>
            </w:r>
          </w:p>
        </w:tc>
        <w:tc>
          <w:tcPr>
            <w:tcW w:w="1184" w:type="dxa"/>
            <w:tcBorders>
              <w:top w:val="nil"/>
              <w:left w:val="nil"/>
              <w:bottom w:val="nil"/>
              <w:right w:val="nil"/>
            </w:tcBorders>
            <w:shd w:val="clear" w:color="auto" w:fill="auto"/>
            <w:vAlign w:val="center"/>
            <w:hideMark/>
          </w:tcPr>
          <w:p w14:paraId="5EA73599" w14:textId="0EAE5936" w:rsidR="00245BD8" w:rsidRPr="00E200DC" w:rsidRDefault="00245BD8" w:rsidP="00E200DC">
            <w:pPr>
              <w:jc w:val="center"/>
              <w:rPr>
                <w:rFonts w:cs="Arial"/>
                <w:sz w:val="22"/>
                <w:szCs w:val="22"/>
                <w:lang w:eastAsia="en-AU"/>
              </w:rPr>
            </w:pPr>
            <w:r>
              <w:rPr>
                <w:rFonts w:cs="Arial"/>
                <w:sz w:val="22"/>
                <w:szCs w:val="22"/>
                <w:lang w:eastAsia="en-AU"/>
              </w:rPr>
              <w:t>None</w:t>
            </w:r>
          </w:p>
        </w:tc>
        <w:tc>
          <w:tcPr>
            <w:tcW w:w="1684" w:type="dxa"/>
            <w:tcBorders>
              <w:top w:val="nil"/>
              <w:left w:val="nil"/>
              <w:bottom w:val="single" w:sz="8" w:space="0" w:color="auto"/>
              <w:right w:val="nil"/>
            </w:tcBorders>
            <w:shd w:val="clear" w:color="000000" w:fill="BFBFBF" w:themeFill="background1" w:themeFillShade="BF"/>
            <w:vAlign w:val="center"/>
          </w:tcPr>
          <w:p w14:paraId="5EA7359B"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1,359</w:t>
            </w:r>
          </w:p>
        </w:tc>
        <w:tc>
          <w:tcPr>
            <w:tcW w:w="1684" w:type="dxa"/>
            <w:tcBorders>
              <w:top w:val="nil"/>
              <w:left w:val="nil"/>
              <w:bottom w:val="single" w:sz="8" w:space="0" w:color="auto"/>
              <w:right w:val="nil"/>
            </w:tcBorders>
            <w:shd w:val="clear" w:color="auto" w:fill="auto"/>
            <w:vAlign w:val="center"/>
            <w:hideMark/>
          </w:tcPr>
          <w:p w14:paraId="5EA7359C"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1,405</w:t>
            </w:r>
          </w:p>
        </w:tc>
      </w:tr>
      <w:tr w:rsidR="00245BD8" w:rsidRPr="00E200DC" w14:paraId="5EA735A3" w14:textId="77777777" w:rsidTr="009D74ED">
        <w:trPr>
          <w:trHeight w:val="478"/>
        </w:trPr>
        <w:tc>
          <w:tcPr>
            <w:tcW w:w="4349" w:type="dxa"/>
            <w:tcBorders>
              <w:top w:val="nil"/>
              <w:left w:val="nil"/>
              <w:bottom w:val="nil"/>
              <w:right w:val="nil"/>
            </w:tcBorders>
            <w:shd w:val="clear" w:color="auto" w:fill="auto"/>
            <w:vAlign w:val="center"/>
            <w:hideMark/>
          </w:tcPr>
          <w:p w14:paraId="5EA7359E" w14:textId="77777777" w:rsidR="00245BD8" w:rsidRPr="00E200DC" w:rsidRDefault="00245BD8" w:rsidP="00E200DC">
            <w:pPr>
              <w:rPr>
                <w:rFonts w:cs="Arial"/>
                <w:b/>
                <w:bCs/>
                <w:color w:val="000000"/>
                <w:sz w:val="22"/>
                <w:szCs w:val="22"/>
                <w:lang w:eastAsia="en-AU"/>
              </w:rPr>
            </w:pPr>
            <w:r w:rsidRPr="00E200DC">
              <w:rPr>
                <w:rFonts w:cs="Arial"/>
                <w:b/>
                <w:bCs/>
                <w:color w:val="000000"/>
                <w:sz w:val="22"/>
                <w:szCs w:val="22"/>
                <w:lang w:eastAsia="en-AU"/>
              </w:rPr>
              <w:t>Total liabilities</w:t>
            </w:r>
          </w:p>
        </w:tc>
        <w:tc>
          <w:tcPr>
            <w:tcW w:w="1184" w:type="dxa"/>
            <w:tcBorders>
              <w:top w:val="nil"/>
              <w:left w:val="nil"/>
              <w:bottom w:val="nil"/>
              <w:right w:val="nil"/>
            </w:tcBorders>
            <w:shd w:val="clear" w:color="auto" w:fill="auto"/>
            <w:vAlign w:val="center"/>
            <w:hideMark/>
          </w:tcPr>
          <w:p w14:paraId="5EA7359F" w14:textId="5037679C" w:rsidR="00245BD8" w:rsidRPr="00E200DC" w:rsidRDefault="00245BD8" w:rsidP="00E200DC">
            <w:pPr>
              <w:jc w:val="center"/>
              <w:rPr>
                <w:rFonts w:cs="Arial"/>
                <w:sz w:val="22"/>
                <w:szCs w:val="22"/>
                <w:lang w:eastAsia="en-AU"/>
              </w:rPr>
            </w:pPr>
            <w:r>
              <w:rPr>
                <w:rFonts w:cs="Arial"/>
                <w:sz w:val="22"/>
                <w:szCs w:val="22"/>
                <w:lang w:eastAsia="en-AU"/>
              </w:rPr>
              <w:t>None</w:t>
            </w:r>
          </w:p>
        </w:tc>
        <w:tc>
          <w:tcPr>
            <w:tcW w:w="1684" w:type="dxa"/>
            <w:tcBorders>
              <w:top w:val="nil"/>
              <w:left w:val="nil"/>
              <w:bottom w:val="nil"/>
              <w:right w:val="nil"/>
            </w:tcBorders>
            <w:shd w:val="clear" w:color="000000" w:fill="BFBFBF" w:themeFill="background1" w:themeFillShade="BF"/>
            <w:vAlign w:val="center"/>
          </w:tcPr>
          <w:p w14:paraId="5EA735A1" w14:textId="32643FA5" w:rsidR="00245BD8" w:rsidRPr="00E200DC" w:rsidRDefault="00245BD8">
            <w:pPr>
              <w:jc w:val="right"/>
              <w:rPr>
                <w:rFonts w:cs="Arial"/>
                <w:color w:val="000000"/>
                <w:sz w:val="22"/>
                <w:szCs w:val="22"/>
                <w:lang w:eastAsia="en-AU"/>
              </w:rPr>
            </w:pPr>
            <w:r>
              <w:rPr>
                <w:rFonts w:cs="Arial"/>
                <w:color w:val="000000"/>
                <w:sz w:val="22"/>
                <w:szCs w:val="22"/>
                <w:lang w:eastAsia="en-AU"/>
              </w:rPr>
              <w:t>18,972</w:t>
            </w:r>
          </w:p>
        </w:tc>
        <w:tc>
          <w:tcPr>
            <w:tcW w:w="1684" w:type="dxa"/>
            <w:tcBorders>
              <w:top w:val="nil"/>
              <w:left w:val="nil"/>
              <w:bottom w:val="nil"/>
              <w:right w:val="nil"/>
            </w:tcBorders>
            <w:shd w:val="clear" w:color="auto" w:fill="auto"/>
            <w:vAlign w:val="center"/>
            <w:hideMark/>
          </w:tcPr>
          <w:p w14:paraId="5EA735A2"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19,837</w:t>
            </w:r>
          </w:p>
        </w:tc>
      </w:tr>
    </w:tbl>
    <w:p w14:paraId="788E9985" w14:textId="77777777" w:rsidR="00245BD8" w:rsidRDefault="00245BD8"/>
    <w:tbl>
      <w:tblPr>
        <w:tblW w:w="8901" w:type="dxa"/>
        <w:tblInd w:w="108" w:type="dxa"/>
        <w:tblLook w:val="04A0" w:firstRow="1" w:lastRow="0" w:firstColumn="1" w:lastColumn="0" w:noHBand="0" w:noVBand="1"/>
      </w:tblPr>
      <w:tblGrid>
        <w:gridCol w:w="4349"/>
        <w:gridCol w:w="1184"/>
        <w:gridCol w:w="1684"/>
        <w:gridCol w:w="1684"/>
      </w:tblGrid>
      <w:tr w:rsidR="00245BD8" w:rsidRPr="00C5319C" w14:paraId="3E8C2193" w14:textId="77777777" w:rsidTr="00245BD8">
        <w:trPr>
          <w:trHeight w:val="446"/>
          <w:tblHeader/>
        </w:trPr>
        <w:tc>
          <w:tcPr>
            <w:tcW w:w="4349" w:type="dxa"/>
            <w:tcBorders>
              <w:top w:val="nil"/>
              <w:left w:val="nil"/>
              <w:bottom w:val="nil"/>
              <w:right w:val="nil"/>
            </w:tcBorders>
            <w:shd w:val="clear" w:color="auto" w:fill="auto"/>
            <w:vAlign w:val="center"/>
          </w:tcPr>
          <w:p w14:paraId="3D179241" w14:textId="22748ABA" w:rsidR="00245BD8" w:rsidRPr="00E200DC" w:rsidRDefault="00245BD8" w:rsidP="00E200DC">
            <w:pPr>
              <w:rPr>
                <w:rFonts w:cs="Arial"/>
                <w:b/>
                <w:bCs/>
                <w:color w:val="000000"/>
                <w:sz w:val="22"/>
                <w:szCs w:val="22"/>
                <w:lang w:eastAsia="en-AU"/>
              </w:rPr>
            </w:pPr>
            <w:bookmarkStart w:id="130" w:name="Table_12"/>
            <w:bookmarkEnd w:id="130"/>
            <w:r w:rsidRPr="00E200DC">
              <w:rPr>
                <w:rFonts w:cs="Arial"/>
                <w:b/>
                <w:bCs/>
                <w:color w:val="000000"/>
                <w:sz w:val="22"/>
                <w:szCs w:val="22"/>
                <w:lang w:eastAsia="en-AU"/>
              </w:rPr>
              <w:t>Net assets</w:t>
            </w:r>
          </w:p>
        </w:tc>
        <w:tc>
          <w:tcPr>
            <w:tcW w:w="1184" w:type="dxa"/>
            <w:tcBorders>
              <w:top w:val="nil"/>
              <w:left w:val="nil"/>
              <w:bottom w:val="nil"/>
              <w:right w:val="nil"/>
            </w:tcBorders>
            <w:shd w:val="clear" w:color="auto" w:fill="auto"/>
            <w:vAlign w:val="center"/>
          </w:tcPr>
          <w:p w14:paraId="4C528953" w14:textId="6BFACEAB" w:rsidR="00245BD8" w:rsidRPr="00E200DC" w:rsidRDefault="00245BD8" w:rsidP="00E200DC">
            <w:pPr>
              <w:jc w:val="center"/>
              <w:rPr>
                <w:rFonts w:cs="Arial"/>
                <w:sz w:val="22"/>
                <w:szCs w:val="22"/>
                <w:lang w:eastAsia="en-AU"/>
              </w:rPr>
            </w:pPr>
            <w:r>
              <w:rPr>
                <w:rFonts w:cs="Arial"/>
                <w:sz w:val="22"/>
                <w:szCs w:val="22"/>
                <w:lang w:eastAsia="en-AU"/>
              </w:rPr>
              <w:t>NOTE</w:t>
            </w:r>
          </w:p>
        </w:tc>
        <w:tc>
          <w:tcPr>
            <w:tcW w:w="1684" w:type="dxa"/>
            <w:tcBorders>
              <w:top w:val="single" w:sz="12" w:space="0" w:color="auto"/>
              <w:left w:val="nil"/>
              <w:bottom w:val="single" w:sz="12" w:space="0" w:color="auto"/>
              <w:right w:val="nil"/>
            </w:tcBorders>
            <w:shd w:val="clear" w:color="000000" w:fill="BFBFBF" w:themeFill="background1" w:themeFillShade="BF"/>
            <w:vAlign w:val="center"/>
          </w:tcPr>
          <w:p w14:paraId="156B1A75" w14:textId="0FD772CE" w:rsidR="00245BD8" w:rsidRPr="00C5319C" w:rsidRDefault="00245BD8" w:rsidP="00654E85">
            <w:pPr>
              <w:jc w:val="right"/>
              <w:rPr>
                <w:rFonts w:cs="Arial"/>
                <w:b/>
                <w:color w:val="000000"/>
                <w:sz w:val="22"/>
                <w:szCs w:val="22"/>
                <w:lang w:eastAsia="en-AU"/>
              </w:rPr>
            </w:pPr>
            <w:r>
              <w:rPr>
                <w:rFonts w:cs="Arial"/>
                <w:b/>
                <w:color w:val="000000"/>
                <w:sz w:val="22"/>
                <w:szCs w:val="22"/>
                <w:lang w:eastAsia="en-AU"/>
              </w:rPr>
              <w:t>2015</w:t>
            </w:r>
          </w:p>
        </w:tc>
        <w:tc>
          <w:tcPr>
            <w:tcW w:w="1684" w:type="dxa"/>
            <w:tcBorders>
              <w:top w:val="single" w:sz="12" w:space="0" w:color="auto"/>
              <w:left w:val="nil"/>
              <w:bottom w:val="single" w:sz="12" w:space="0" w:color="auto"/>
              <w:right w:val="nil"/>
            </w:tcBorders>
            <w:shd w:val="clear" w:color="auto" w:fill="auto"/>
            <w:vAlign w:val="center"/>
          </w:tcPr>
          <w:p w14:paraId="48E2C428" w14:textId="575C05E7" w:rsidR="00245BD8" w:rsidRPr="00C5319C" w:rsidRDefault="00245BD8" w:rsidP="00E200DC">
            <w:pPr>
              <w:jc w:val="right"/>
              <w:rPr>
                <w:rFonts w:cs="Arial"/>
                <w:b/>
                <w:color w:val="000000"/>
                <w:sz w:val="22"/>
                <w:szCs w:val="22"/>
                <w:lang w:eastAsia="en-AU"/>
              </w:rPr>
            </w:pPr>
            <w:r>
              <w:rPr>
                <w:rFonts w:cs="Arial"/>
                <w:b/>
                <w:color w:val="000000"/>
                <w:sz w:val="22"/>
                <w:szCs w:val="22"/>
                <w:lang w:eastAsia="en-AU"/>
              </w:rPr>
              <w:t>2014</w:t>
            </w:r>
          </w:p>
        </w:tc>
      </w:tr>
      <w:tr w:rsidR="00245BD8" w:rsidRPr="00C5319C" w14:paraId="5EA735A9" w14:textId="77777777" w:rsidTr="00245BD8">
        <w:trPr>
          <w:trHeight w:val="446"/>
        </w:trPr>
        <w:tc>
          <w:tcPr>
            <w:tcW w:w="4349" w:type="dxa"/>
            <w:tcBorders>
              <w:top w:val="nil"/>
              <w:left w:val="nil"/>
              <w:bottom w:val="nil"/>
              <w:right w:val="nil"/>
            </w:tcBorders>
            <w:shd w:val="clear" w:color="auto" w:fill="auto"/>
            <w:vAlign w:val="center"/>
          </w:tcPr>
          <w:p w14:paraId="5EA735A4" w14:textId="005B4A2F" w:rsidR="00245BD8" w:rsidRPr="00E200DC" w:rsidRDefault="00245BD8" w:rsidP="00E200DC">
            <w:pPr>
              <w:rPr>
                <w:rFonts w:cs="Arial"/>
                <w:b/>
                <w:bCs/>
                <w:color w:val="000000"/>
                <w:sz w:val="22"/>
                <w:szCs w:val="22"/>
                <w:lang w:eastAsia="en-AU"/>
              </w:rPr>
            </w:pPr>
            <w:r>
              <w:rPr>
                <w:rFonts w:cs="Arial"/>
                <w:b/>
                <w:bCs/>
                <w:color w:val="000000"/>
                <w:sz w:val="22"/>
                <w:szCs w:val="22"/>
                <w:lang w:eastAsia="en-AU"/>
              </w:rPr>
              <w:t>Net Assets Total</w:t>
            </w:r>
          </w:p>
        </w:tc>
        <w:tc>
          <w:tcPr>
            <w:tcW w:w="1184" w:type="dxa"/>
            <w:tcBorders>
              <w:top w:val="nil"/>
              <w:left w:val="nil"/>
              <w:bottom w:val="nil"/>
              <w:right w:val="nil"/>
            </w:tcBorders>
            <w:shd w:val="clear" w:color="auto" w:fill="auto"/>
            <w:vAlign w:val="center"/>
            <w:hideMark/>
          </w:tcPr>
          <w:p w14:paraId="5EA735A5" w14:textId="4939A9B1" w:rsidR="00245BD8" w:rsidRPr="00E200DC" w:rsidRDefault="00245BD8" w:rsidP="00E200DC">
            <w:pPr>
              <w:jc w:val="center"/>
              <w:rPr>
                <w:rFonts w:cs="Arial"/>
                <w:sz w:val="22"/>
                <w:szCs w:val="22"/>
                <w:lang w:eastAsia="en-AU"/>
              </w:rPr>
            </w:pPr>
            <w:r>
              <w:rPr>
                <w:rFonts w:cs="Arial"/>
                <w:sz w:val="22"/>
                <w:szCs w:val="22"/>
                <w:lang w:eastAsia="en-AU"/>
              </w:rPr>
              <w:t>None</w:t>
            </w:r>
          </w:p>
        </w:tc>
        <w:tc>
          <w:tcPr>
            <w:tcW w:w="1684" w:type="dxa"/>
            <w:tcBorders>
              <w:top w:val="single" w:sz="12" w:space="0" w:color="auto"/>
              <w:left w:val="nil"/>
              <w:bottom w:val="single" w:sz="12" w:space="0" w:color="auto"/>
              <w:right w:val="nil"/>
            </w:tcBorders>
            <w:shd w:val="clear" w:color="000000" w:fill="BFBFBF" w:themeFill="background1" w:themeFillShade="BF"/>
            <w:vAlign w:val="center"/>
          </w:tcPr>
          <w:p w14:paraId="5EA735A7" w14:textId="77777777" w:rsidR="00245BD8" w:rsidRPr="00C5319C" w:rsidRDefault="00245BD8" w:rsidP="00654E85">
            <w:pPr>
              <w:jc w:val="right"/>
              <w:rPr>
                <w:rFonts w:cs="Arial"/>
                <w:b/>
                <w:color w:val="000000"/>
                <w:sz w:val="22"/>
                <w:szCs w:val="22"/>
                <w:lang w:eastAsia="en-AU"/>
              </w:rPr>
            </w:pPr>
            <w:r w:rsidRPr="00C5319C">
              <w:rPr>
                <w:rFonts w:cs="Arial"/>
                <w:b/>
                <w:color w:val="000000"/>
                <w:sz w:val="22"/>
                <w:szCs w:val="22"/>
                <w:lang w:eastAsia="en-AU"/>
              </w:rPr>
              <w:t>200,840</w:t>
            </w:r>
          </w:p>
        </w:tc>
        <w:tc>
          <w:tcPr>
            <w:tcW w:w="1684" w:type="dxa"/>
            <w:tcBorders>
              <w:top w:val="single" w:sz="12" w:space="0" w:color="auto"/>
              <w:left w:val="nil"/>
              <w:bottom w:val="single" w:sz="12" w:space="0" w:color="auto"/>
              <w:right w:val="nil"/>
            </w:tcBorders>
            <w:shd w:val="clear" w:color="auto" w:fill="auto"/>
            <w:vAlign w:val="center"/>
            <w:hideMark/>
          </w:tcPr>
          <w:p w14:paraId="5EA735A8" w14:textId="77777777" w:rsidR="00245BD8" w:rsidRPr="00C5319C" w:rsidRDefault="00245BD8" w:rsidP="00E200DC">
            <w:pPr>
              <w:jc w:val="right"/>
              <w:rPr>
                <w:rFonts w:cs="Arial"/>
                <w:b/>
                <w:color w:val="000000"/>
                <w:sz w:val="22"/>
                <w:szCs w:val="22"/>
                <w:lang w:eastAsia="en-AU"/>
              </w:rPr>
            </w:pPr>
            <w:r w:rsidRPr="00C5319C">
              <w:rPr>
                <w:rFonts w:cs="Arial"/>
                <w:b/>
                <w:color w:val="000000"/>
                <w:sz w:val="22"/>
                <w:szCs w:val="22"/>
                <w:lang w:eastAsia="en-AU"/>
              </w:rPr>
              <w:t>194,438</w:t>
            </w:r>
          </w:p>
        </w:tc>
      </w:tr>
    </w:tbl>
    <w:p w14:paraId="442FC31E" w14:textId="77777777" w:rsidR="00245BD8" w:rsidRDefault="00245BD8"/>
    <w:tbl>
      <w:tblPr>
        <w:tblW w:w="8901" w:type="dxa"/>
        <w:tblInd w:w="108" w:type="dxa"/>
        <w:tblLook w:val="04A0" w:firstRow="1" w:lastRow="0" w:firstColumn="1" w:lastColumn="0" w:noHBand="0" w:noVBand="1"/>
      </w:tblPr>
      <w:tblGrid>
        <w:gridCol w:w="4349"/>
        <w:gridCol w:w="1184"/>
        <w:gridCol w:w="1684"/>
        <w:gridCol w:w="1684"/>
      </w:tblGrid>
      <w:tr w:rsidR="00245BD8" w:rsidRPr="00E200DC" w14:paraId="5EA735AF" w14:textId="77777777" w:rsidTr="00245BD8">
        <w:trPr>
          <w:trHeight w:val="319"/>
          <w:tblHeader/>
        </w:trPr>
        <w:tc>
          <w:tcPr>
            <w:tcW w:w="4349" w:type="dxa"/>
            <w:tcBorders>
              <w:top w:val="nil"/>
              <w:left w:val="nil"/>
              <w:bottom w:val="nil"/>
              <w:right w:val="nil"/>
            </w:tcBorders>
            <w:shd w:val="clear" w:color="auto" w:fill="auto"/>
            <w:vAlign w:val="center"/>
            <w:hideMark/>
          </w:tcPr>
          <w:p w14:paraId="5EA735AA" w14:textId="77777777" w:rsidR="00245BD8" w:rsidRPr="00E200DC" w:rsidRDefault="00245BD8" w:rsidP="00E200DC">
            <w:pPr>
              <w:rPr>
                <w:rFonts w:cs="Arial"/>
                <w:b/>
                <w:bCs/>
                <w:color w:val="000000"/>
                <w:sz w:val="22"/>
                <w:szCs w:val="22"/>
                <w:lang w:eastAsia="en-AU"/>
              </w:rPr>
            </w:pPr>
            <w:bookmarkStart w:id="131" w:name="Table_13"/>
            <w:bookmarkEnd w:id="131"/>
            <w:r w:rsidRPr="00E200DC">
              <w:rPr>
                <w:rFonts w:cs="Arial"/>
                <w:b/>
                <w:bCs/>
                <w:color w:val="000000"/>
                <w:sz w:val="22"/>
                <w:szCs w:val="22"/>
                <w:lang w:eastAsia="en-AU"/>
              </w:rPr>
              <w:t>Equity</w:t>
            </w:r>
          </w:p>
        </w:tc>
        <w:tc>
          <w:tcPr>
            <w:tcW w:w="1184" w:type="dxa"/>
            <w:tcBorders>
              <w:top w:val="nil"/>
              <w:left w:val="nil"/>
              <w:bottom w:val="single" w:sz="4" w:space="0" w:color="auto"/>
              <w:right w:val="nil"/>
            </w:tcBorders>
            <w:shd w:val="clear" w:color="auto" w:fill="auto"/>
            <w:vAlign w:val="center"/>
            <w:hideMark/>
          </w:tcPr>
          <w:p w14:paraId="5EA735AB" w14:textId="775D39A0" w:rsidR="00245BD8" w:rsidRPr="00E200DC" w:rsidRDefault="00245BD8" w:rsidP="00E200DC">
            <w:pPr>
              <w:jc w:val="center"/>
              <w:rPr>
                <w:rFonts w:cs="Arial"/>
                <w:sz w:val="22"/>
                <w:szCs w:val="22"/>
                <w:lang w:eastAsia="en-AU"/>
              </w:rPr>
            </w:pPr>
            <w:r>
              <w:rPr>
                <w:rFonts w:cs="Arial"/>
                <w:sz w:val="22"/>
                <w:szCs w:val="22"/>
                <w:lang w:eastAsia="en-AU"/>
              </w:rPr>
              <w:t>NOTE</w:t>
            </w:r>
          </w:p>
        </w:tc>
        <w:tc>
          <w:tcPr>
            <w:tcW w:w="1684" w:type="dxa"/>
            <w:tcBorders>
              <w:top w:val="nil"/>
              <w:left w:val="nil"/>
              <w:bottom w:val="single" w:sz="4" w:space="0" w:color="auto"/>
              <w:right w:val="nil"/>
            </w:tcBorders>
            <w:shd w:val="clear" w:color="000000" w:fill="BFBFBF" w:themeFill="background1" w:themeFillShade="BF"/>
            <w:vAlign w:val="center"/>
          </w:tcPr>
          <w:p w14:paraId="5EA735AD" w14:textId="4E78A643" w:rsidR="00245BD8" w:rsidRPr="00245BD8" w:rsidRDefault="00245BD8" w:rsidP="00E200DC">
            <w:pPr>
              <w:jc w:val="right"/>
              <w:rPr>
                <w:rFonts w:cs="Arial"/>
                <w:b/>
                <w:color w:val="000000"/>
                <w:sz w:val="22"/>
                <w:szCs w:val="22"/>
                <w:lang w:eastAsia="en-AU"/>
              </w:rPr>
            </w:pPr>
            <w:r w:rsidRPr="00245BD8">
              <w:rPr>
                <w:rFonts w:cs="Arial"/>
                <w:b/>
                <w:color w:val="000000"/>
                <w:sz w:val="22"/>
                <w:szCs w:val="22"/>
                <w:lang w:eastAsia="en-AU"/>
              </w:rPr>
              <w:t>2015</w:t>
            </w:r>
          </w:p>
        </w:tc>
        <w:tc>
          <w:tcPr>
            <w:tcW w:w="1684" w:type="dxa"/>
            <w:tcBorders>
              <w:top w:val="nil"/>
              <w:left w:val="nil"/>
              <w:bottom w:val="single" w:sz="4" w:space="0" w:color="auto"/>
              <w:right w:val="nil"/>
            </w:tcBorders>
            <w:shd w:val="clear" w:color="auto" w:fill="auto"/>
            <w:vAlign w:val="center"/>
            <w:hideMark/>
          </w:tcPr>
          <w:p w14:paraId="5EA735AE" w14:textId="11E072A1" w:rsidR="00245BD8" w:rsidRPr="00E200DC" w:rsidRDefault="00245BD8" w:rsidP="00E200DC">
            <w:pPr>
              <w:jc w:val="right"/>
              <w:rPr>
                <w:rFonts w:cs="Arial"/>
                <w:color w:val="000000"/>
                <w:sz w:val="22"/>
                <w:szCs w:val="22"/>
                <w:lang w:eastAsia="en-AU"/>
              </w:rPr>
            </w:pPr>
            <w:r>
              <w:rPr>
                <w:rFonts w:cs="Arial"/>
                <w:color w:val="000000"/>
                <w:sz w:val="22"/>
                <w:szCs w:val="22"/>
                <w:lang w:eastAsia="en-AU"/>
              </w:rPr>
              <w:t>2014</w:t>
            </w:r>
          </w:p>
        </w:tc>
      </w:tr>
      <w:tr w:rsidR="00245BD8" w:rsidRPr="00E200DC" w14:paraId="5EA735B5" w14:textId="77777777" w:rsidTr="00245BD8">
        <w:trPr>
          <w:trHeight w:val="319"/>
        </w:trPr>
        <w:tc>
          <w:tcPr>
            <w:tcW w:w="4349" w:type="dxa"/>
            <w:tcBorders>
              <w:top w:val="nil"/>
              <w:left w:val="nil"/>
              <w:bottom w:val="nil"/>
              <w:right w:val="nil"/>
            </w:tcBorders>
            <w:shd w:val="clear" w:color="auto" w:fill="auto"/>
            <w:vAlign w:val="center"/>
            <w:hideMark/>
          </w:tcPr>
          <w:p w14:paraId="5EA735B0" w14:textId="77777777" w:rsidR="00245BD8" w:rsidRPr="00E200DC" w:rsidRDefault="00245BD8" w:rsidP="00E200DC">
            <w:pPr>
              <w:rPr>
                <w:rFonts w:cs="Arial"/>
                <w:color w:val="000000"/>
                <w:sz w:val="22"/>
                <w:szCs w:val="22"/>
                <w:lang w:eastAsia="en-AU"/>
              </w:rPr>
            </w:pPr>
            <w:r w:rsidRPr="00E200DC">
              <w:rPr>
                <w:rFonts w:cs="Arial"/>
                <w:color w:val="000000"/>
                <w:sz w:val="22"/>
                <w:szCs w:val="22"/>
                <w:lang w:eastAsia="en-AU"/>
              </w:rPr>
              <w:t>Retained surplus</w:t>
            </w:r>
          </w:p>
        </w:tc>
        <w:tc>
          <w:tcPr>
            <w:tcW w:w="1184" w:type="dxa"/>
            <w:tcBorders>
              <w:top w:val="single" w:sz="4" w:space="0" w:color="auto"/>
              <w:left w:val="nil"/>
              <w:bottom w:val="nil"/>
              <w:right w:val="nil"/>
            </w:tcBorders>
            <w:shd w:val="clear" w:color="auto" w:fill="auto"/>
            <w:vAlign w:val="center"/>
            <w:hideMark/>
          </w:tcPr>
          <w:p w14:paraId="5EA735B1" w14:textId="77777777" w:rsidR="00245BD8" w:rsidRPr="00E200DC" w:rsidRDefault="00245BD8" w:rsidP="00E200DC">
            <w:pPr>
              <w:jc w:val="center"/>
              <w:rPr>
                <w:rFonts w:cs="Arial"/>
                <w:sz w:val="22"/>
                <w:szCs w:val="22"/>
                <w:lang w:eastAsia="en-AU"/>
              </w:rPr>
            </w:pPr>
            <w:hyperlink r:id="rId45" w:anchor="'Note 20, 21, 22'!A1" w:history="1">
              <w:r w:rsidRPr="00E200DC">
                <w:rPr>
                  <w:rFonts w:cs="Arial"/>
                  <w:sz w:val="22"/>
                  <w:szCs w:val="22"/>
                  <w:lang w:eastAsia="en-AU"/>
                </w:rPr>
                <w:t>20</w:t>
              </w:r>
            </w:hyperlink>
          </w:p>
        </w:tc>
        <w:tc>
          <w:tcPr>
            <w:tcW w:w="1684" w:type="dxa"/>
            <w:tcBorders>
              <w:top w:val="single" w:sz="4" w:space="0" w:color="auto"/>
              <w:left w:val="nil"/>
              <w:bottom w:val="nil"/>
              <w:right w:val="nil"/>
            </w:tcBorders>
            <w:shd w:val="clear" w:color="000000" w:fill="BFBFBF" w:themeFill="background1" w:themeFillShade="BF"/>
            <w:vAlign w:val="center"/>
          </w:tcPr>
          <w:p w14:paraId="5EA735B3" w14:textId="77777777" w:rsidR="00245BD8" w:rsidRPr="00E200DC" w:rsidRDefault="00245BD8" w:rsidP="000C4E42">
            <w:pPr>
              <w:jc w:val="right"/>
              <w:rPr>
                <w:rFonts w:cs="Arial"/>
                <w:color w:val="000000"/>
                <w:sz w:val="22"/>
                <w:szCs w:val="22"/>
                <w:lang w:eastAsia="en-AU"/>
              </w:rPr>
            </w:pPr>
            <w:r>
              <w:rPr>
                <w:rFonts w:cs="Arial"/>
                <w:color w:val="000000"/>
                <w:sz w:val="22"/>
                <w:szCs w:val="22"/>
                <w:lang w:eastAsia="en-AU"/>
              </w:rPr>
              <w:t>194,017</w:t>
            </w:r>
          </w:p>
        </w:tc>
        <w:tc>
          <w:tcPr>
            <w:tcW w:w="1684" w:type="dxa"/>
            <w:tcBorders>
              <w:top w:val="single" w:sz="4" w:space="0" w:color="auto"/>
              <w:left w:val="nil"/>
              <w:bottom w:val="nil"/>
              <w:right w:val="nil"/>
            </w:tcBorders>
            <w:shd w:val="clear" w:color="auto" w:fill="auto"/>
            <w:vAlign w:val="center"/>
            <w:hideMark/>
          </w:tcPr>
          <w:p w14:paraId="5EA735B4"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184,205</w:t>
            </w:r>
          </w:p>
        </w:tc>
      </w:tr>
      <w:tr w:rsidR="00245BD8" w:rsidRPr="00E200DC" w14:paraId="5EA735BB" w14:textId="77777777" w:rsidTr="009D74ED">
        <w:trPr>
          <w:trHeight w:val="319"/>
        </w:trPr>
        <w:tc>
          <w:tcPr>
            <w:tcW w:w="4349" w:type="dxa"/>
            <w:tcBorders>
              <w:top w:val="nil"/>
              <w:left w:val="nil"/>
              <w:bottom w:val="nil"/>
              <w:right w:val="nil"/>
            </w:tcBorders>
            <w:shd w:val="clear" w:color="auto" w:fill="auto"/>
            <w:vAlign w:val="center"/>
            <w:hideMark/>
          </w:tcPr>
          <w:p w14:paraId="5EA735B6" w14:textId="77777777" w:rsidR="00245BD8" w:rsidRPr="00E200DC" w:rsidRDefault="00245BD8" w:rsidP="00E200DC">
            <w:pPr>
              <w:rPr>
                <w:rFonts w:cs="Arial"/>
                <w:color w:val="000000"/>
                <w:sz w:val="22"/>
                <w:szCs w:val="22"/>
                <w:lang w:eastAsia="en-AU"/>
              </w:rPr>
            </w:pPr>
            <w:r w:rsidRPr="00E200DC">
              <w:rPr>
                <w:rFonts w:cs="Arial"/>
                <w:color w:val="000000"/>
                <w:sz w:val="22"/>
                <w:szCs w:val="22"/>
                <w:lang w:eastAsia="en-AU"/>
              </w:rPr>
              <w:t>Reserves</w:t>
            </w:r>
          </w:p>
        </w:tc>
        <w:tc>
          <w:tcPr>
            <w:tcW w:w="1184" w:type="dxa"/>
            <w:tcBorders>
              <w:top w:val="nil"/>
              <w:left w:val="nil"/>
              <w:bottom w:val="nil"/>
              <w:right w:val="nil"/>
            </w:tcBorders>
            <w:shd w:val="clear" w:color="auto" w:fill="auto"/>
            <w:vAlign w:val="center"/>
            <w:hideMark/>
          </w:tcPr>
          <w:p w14:paraId="5EA735B7" w14:textId="77777777" w:rsidR="00245BD8" w:rsidRPr="00E200DC" w:rsidRDefault="00245BD8" w:rsidP="00E200DC">
            <w:pPr>
              <w:jc w:val="center"/>
              <w:rPr>
                <w:rFonts w:cs="Arial"/>
                <w:sz w:val="22"/>
                <w:szCs w:val="22"/>
                <w:lang w:eastAsia="en-AU"/>
              </w:rPr>
            </w:pPr>
            <w:hyperlink r:id="rId46" w:anchor="'Note 17,19'!A1" w:history="1">
              <w:r w:rsidRPr="00E200DC">
                <w:rPr>
                  <w:rFonts w:cs="Arial"/>
                  <w:sz w:val="22"/>
                  <w:szCs w:val="22"/>
                  <w:lang w:eastAsia="en-AU"/>
                </w:rPr>
                <w:t>19</w:t>
              </w:r>
            </w:hyperlink>
          </w:p>
        </w:tc>
        <w:tc>
          <w:tcPr>
            <w:tcW w:w="1684" w:type="dxa"/>
            <w:tcBorders>
              <w:top w:val="nil"/>
              <w:left w:val="nil"/>
              <w:bottom w:val="nil"/>
              <w:right w:val="nil"/>
            </w:tcBorders>
            <w:shd w:val="clear" w:color="000000" w:fill="BFBFBF" w:themeFill="background1" w:themeFillShade="BF"/>
            <w:vAlign w:val="center"/>
          </w:tcPr>
          <w:p w14:paraId="5EA735B9"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6,823</w:t>
            </w:r>
          </w:p>
        </w:tc>
        <w:tc>
          <w:tcPr>
            <w:tcW w:w="1684" w:type="dxa"/>
            <w:tcBorders>
              <w:top w:val="nil"/>
              <w:left w:val="nil"/>
              <w:bottom w:val="nil"/>
              <w:right w:val="nil"/>
            </w:tcBorders>
            <w:shd w:val="clear" w:color="auto" w:fill="auto"/>
            <w:vAlign w:val="center"/>
            <w:hideMark/>
          </w:tcPr>
          <w:p w14:paraId="5EA735BA"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10,233</w:t>
            </w:r>
          </w:p>
        </w:tc>
      </w:tr>
      <w:tr w:rsidR="00245BD8" w:rsidRPr="00C5319C" w14:paraId="5EA735C1" w14:textId="77777777" w:rsidTr="009D74ED">
        <w:trPr>
          <w:trHeight w:val="446"/>
        </w:trPr>
        <w:tc>
          <w:tcPr>
            <w:tcW w:w="4349" w:type="dxa"/>
            <w:tcBorders>
              <w:top w:val="nil"/>
              <w:left w:val="nil"/>
              <w:bottom w:val="nil"/>
              <w:right w:val="nil"/>
            </w:tcBorders>
            <w:shd w:val="clear" w:color="auto" w:fill="auto"/>
            <w:vAlign w:val="center"/>
            <w:hideMark/>
          </w:tcPr>
          <w:p w14:paraId="5EA735BC" w14:textId="77777777" w:rsidR="00245BD8" w:rsidRPr="00E200DC" w:rsidRDefault="00245BD8" w:rsidP="00E200DC">
            <w:pPr>
              <w:rPr>
                <w:rFonts w:cs="Arial"/>
                <w:b/>
                <w:bCs/>
                <w:color w:val="000000"/>
                <w:sz w:val="22"/>
                <w:szCs w:val="22"/>
                <w:lang w:eastAsia="en-AU"/>
              </w:rPr>
            </w:pPr>
            <w:r w:rsidRPr="00E200DC">
              <w:rPr>
                <w:rFonts w:cs="Arial"/>
                <w:b/>
                <w:bCs/>
                <w:color w:val="000000"/>
                <w:sz w:val="22"/>
                <w:szCs w:val="22"/>
                <w:lang w:eastAsia="en-AU"/>
              </w:rPr>
              <w:t>Total equity</w:t>
            </w:r>
          </w:p>
        </w:tc>
        <w:tc>
          <w:tcPr>
            <w:tcW w:w="1184" w:type="dxa"/>
            <w:tcBorders>
              <w:top w:val="nil"/>
              <w:left w:val="nil"/>
              <w:bottom w:val="nil"/>
              <w:right w:val="nil"/>
            </w:tcBorders>
            <w:shd w:val="clear" w:color="auto" w:fill="auto"/>
            <w:vAlign w:val="center"/>
            <w:hideMark/>
          </w:tcPr>
          <w:p w14:paraId="5EA735BD" w14:textId="6A9A5617" w:rsidR="00245BD8" w:rsidRPr="00E200DC" w:rsidRDefault="00245BD8" w:rsidP="00E200DC">
            <w:pPr>
              <w:jc w:val="center"/>
              <w:rPr>
                <w:rFonts w:cs="Arial"/>
                <w:sz w:val="22"/>
                <w:szCs w:val="22"/>
                <w:lang w:eastAsia="en-AU"/>
              </w:rPr>
            </w:pPr>
            <w:r>
              <w:rPr>
                <w:rFonts w:cs="Arial"/>
                <w:sz w:val="22"/>
                <w:szCs w:val="22"/>
                <w:lang w:eastAsia="en-AU"/>
              </w:rPr>
              <w:t>None</w:t>
            </w:r>
          </w:p>
        </w:tc>
        <w:tc>
          <w:tcPr>
            <w:tcW w:w="1684" w:type="dxa"/>
            <w:tcBorders>
              <w:top w:val="single" w:sz="12" w:space="0" w:color="auto"/>
              <w:left w:val="nil"/>
              <w:bottom w:val="single" w:sz="12" w:space="0" w:color="auto"/>
              <w:right w:val="nil"/>
            </w:tcBorders>
            <w:shd w:val="clear" w:color="000000" w:fill="BFBFBF" w:themeFill="background1" w:themeFillShade="BF"/>
            <w:vAlign w:val="center"/>
          </w:tcPr>
          <w:p w14:paraId="5EA735BF" w14:textId="77777777" w:rsidR="00245BD8" w:rsidRPr="00C5319C" w:rsidRDefault="00245BD8" w:rsidP="00654E85">
            <w:pPr>
              <w:jc w:val="right"/>
              <w:rPr>
                <w:rFonts w:cs="Arial"/>
                <w:b/>
                <w:color w:val="000000"/>
                <w:sz w:val="22"/>
                <w:szCs w:val="22"/>
                <w:lang w:eastAsia="en-AU"/>
              </w:rPr>
            </w:pPr>
            <w:r w:rsidRPr="00C5319C">
              <w:rPr>
                <w:rFonts w:cs="Arial"/>
                <w:b/>
                <w:color w:val="000000"/>
                <w:sz w:val="22"/>
                <w:szCs w:val="22"/>
                <w:lang w:eastAsia="en-AU"/>
              </w:rPr>
              <w:t>200,840</w:t>
            </w:r>
          </w:p>
        </w:tc>
        <w:tc>
          <w:tcPr>
            <w:tcW w:w="1684" w:type="dxa"/>
            <w:tcBorders>
              <w:top w:val="single" w:sz="12" w:space="0" w:color="auto"/>
              <w:left w:val="nil"/>
              <w:bottom w:val="single" w:sz="12" w:space="0" w:color="auto"/>
              <w:right w:val="nil"/>
            </w:tcBorders>
            <w:shd w:val="clear" w:color="auto" w:fill="auto"/>
            <w:vAlign w:val="center"/>
            <w:hideMark/>
          </w:tcPr>
          <w:p w14:paraId="5EA735C0" w14:textId="77777777" w:rsidR="00245BD8" w:rsidRPr="00C5319C" w:rsidRDefault="00245BD8" w:rsidP="00E200DC">
            <w:pPr>
              <w:jc w:val="right"/>
              <w:rPr>
                <w:rFonts w:cs="Arial"/>
                <w:b/>
                <w:color w:val="000000"/>
                <w:sz w:val="22"/>
                <w:szCs w:val="22"/>
                <w:lang w:eastAsia="en-AU"/>
              </w:rPr>
            </w:pPr>
            <w:r w:rsidRPr="00C5319C">
              <w:rPr>
                <w:rFonts w:cs="Arial"/>
                <w:b/>
                <w:color w:val="000000"/>
                <w:sz w:val="22"/>
                <w:szCs w:val="22"/>
                <w:lang w:eastAsia="en-AU"/>
              </w:rPr>
              <w:t>194,438</w:t>
            </w:r>
          </w:p>
        </w:tc>
      </w:tr>
    </w:tbl>
    <w:p w14:paraId="5EA735CF" w14:textId="77777777" w:rsidR="006E093E" w:rsidRPr="007540D9" w:rsidRDefault="006E093E">
      <w:pPr>
        <w:rPr>
          <w:rFonts w:cs="Arial"/>
          <w:b/>
          <w:sz w:val="22"/>
          <w:szCs w:val="22"/>
          <w:highlight w:val="yellow"/>
        </w:rPr>
      </w:pPr>
    </w:p>
    <w:p w14:paraId="5EA735D0" w14:textId="77777777" w:rsidR="006E093E" w:rsidRPr="007540D9" w:rsidRDefault="006E093E">
      <w:pPr>
        <w:rPr>
          <w:rFonts w:cs="Arial"/>
          <w:b/>
          <w:sz w:val="22"/>
          <w:szCs w:val="22"/>
          <w:highlight w:val="yellow"/>
        </w:rPr>
        <w:sectPr w:rsidR="006E093E" w:rsidRPr="007540D9" w:rsidSect="00817B70">
          <w:headerReference w:type="first" r:id="rId47"/>
          <w:pgSz w:w="11907" w:h="16839" w:code="9"/>
          <w:pgMar w:top="1418" w:right="1440" w:bottom="993" w:left="1440" w:header="720" w:footer="720" w:gutter="0"/>
          <w:cols w:space="708"/>
          <w:titlePg/>
          <w:docGrid w:linePitch="360"/>
        </w:sectPr>
      </w:pPr>
    </w:p>
    <w:p w14:paraId="2CBE4DDE" w14:textId="77777777" w:rsidR="00245BD8" w:rsidRPr="00E200DC" w:rsidRDefault="00245BD8" w:rsidP="00245BD8">
      <w:pPr>
        <w:pStyle w:val="Heading1"/>
        <w:rPr>
          <w:lang w:eastAsia="en-AU"/>
        </w:rPr>
      </w:pPr>
      <w:r w:rsidRPr="00E200DC">
        <w:rPr>
          <w:lang w:eastAsia="en-AU"/>
        </w:rPr>
        <w:lastRenderedPageBreak/>
        <w:t>Consolidated Statement of Changes in Equity for the year ended 30 June 201</w:t>
      </w:r>
      <w:r>
        <w:rPr>
          <w:lang w:eastAsia="en-AU"/>
        </w:rPr>
        <w:t>5</w:t>
      </w:r>
    </w:p>
    <w:p w14:paraId="1929071A" w14:textId="77777777" w:rsidR="00245BD8" w:rsidRDefault="00245BD8"/>
    <w:tbl>
      <w:tblPr>
        <w:tblW w:w="9135" w:type="dxa"/>
        <w:tblInd w:w="108" w:type="dxa"/>
        <w:tblLook w:val="04A0" w:firstRow="1" w:lastRow="0" w:firstColumn="1" w:lastColumn="0" w:noHBand="0" w:noVBand="1"/>
      </w:tblPr>
      <w:tblGrid>
        <w:gridCol w:w="4214"/>
        <w:gridCol w:w="1192"/>
        <w:gridCol w:w="1073"/>
        <w:gridCol w:w="1463"/>
        <w:gridCol w:w="1193"/>
      </w:tblGrid>
      <w:tr w:rsidR="00E200DC" w:rsidRPr="00E200DC" w14:paraId="5EA735DF" w14:textId="77777777" w:rsidTr="00245BD8">
        <w:trPr>
          <w:trHeight w:val="913"/>
          <w:tblHeader/>
        </w:trPr>
        <w:tc>
          <w:tcPr>
            <w:tcW w:w="4214" w:type="dxa"/>
            <w:tcBorders>
              <w:top w:val="nil"/>
              <w:left w:val="nil"/>
              <w:bottom w:val="nil"/>
              <w:right w:val="nil"/>
            </w:tcBorders>
            <w:shd w:val="clear" w:color="auto" w:fill="auto"/>
            <w:vAlign w:val="center"/>
            <w:hideMark/>
          </w:tcPr>
          <w:p w14:paraId="5EA735DA" w14:textId="77777777" w:rsidR="00E200DC" w:rsidRPr="00E200DC" w:rsidRDefault="00E200DC" w:rsidP="00E200DC">
            <w:pPr>
              <w:rPr>
                <w:rFonts w:cs="Arial"/>
                <w:color w:val="000000"/>
                <w:sz w:val="22"/>
                <w:szCs w:val="22"/>
                <w:lang w:eastAsia="en-AU"/>
              </w:rPr>
            </w:pPr>
            <w:bookmarkStart w:id="132" w:name="Table_14"/>
            <w:bookmarkEnd w:id="132"/>
          </w:p>
        </w:tc>
        <w:tc>
          <w:tcPr>
            <w:tcW w:w="1192" w:type="dxa"/>
            <w:tcBorders>
              <w:top w:val="nil"/>
              <w:left w:val="nil"/>
              <w:bottom w:val="nil"/>
              <w:right w:val="nil"/>
            </w:tcBorders>
            <w:shd w:val="clear" w:color="auto" w:fill="auto"/>
            <w:vAlign w:val="center"/>
            <w:hideMark/>
          </w:tcPr>
          <w:p w14:paraId="5EA735DB" w14:textId="77777777" w:rsidR="00E200DC" w:rsidRPr="00245BD8" w:rsidRDefault="00E200DC" w:rsidP="00E200DC">
            <w:pPr>
              <w:jc w:val="center"/>
              <w:rPr>
                <w:rFonts w:cs="Arial"/>
                <w:b/>
                <w:color w:val="000000"/>
                <w:sz w:val="22"/>
                <w:szCs w:val="22"/>
                <w:lang w:eastAsia="en-AU"/>
              </w:rPr>
            </w:pPr>
            <w:r w:rsidRPr="00245BD8">
              <w:rPr>
                <w:rFonts w:cs="Arial"/>
                <w:b/>
                <w:color w:val="000000"/>
                <w:sz w:val="22"/>
                <w:szCs w:val="22"/>
                <w:lang w:eastAsia="en-AU"/>
              </w:rPr>
              <w:t>Retained Surplus</w:t>
            </w:r>
          </w:p>
        </w:tc>
        <w:tc>
          <w:tcPr>
            <w:tcW w:w="1073" w:type="dxa"/>
            <w:tcBorders>
              <w:top w:val="nil"/>
              <w:left w:val="nil"/>
              <w:bottom w:val="nil"/>
              <w:right w:val="nil"/>
            </w:tcBorders>
            <w:shd w:val="clear" w:color="auto" w:fill="auto"/>
            <w:vAlign w:val="center"/>
            <w:hideMark/>
          </w:tcPr>
          <w:p w14:paraId="5EA735DC" w14:textId="77777777" w:rsidR="00E200DC" w:rsidRPr="00245BD8" w:rsidRDefault="00E200DC" w:rsidP="00E200DC">
            <w:pPr>
              <w:jc w:val="center"/>
              <w:rPr>
                <w:rFonts w:cs="Arial"/>
                <w:b/>
                <w:color w:val="000000"/>
                <w:sz w:val="22"/>
                <w:szCs w:val="22"/>
                <w:lang w:eastAsia="en-AU"/>
              </w:rPr>
            </w:pPr>
            <w:r w:rsidRPr="00245BD8">
              <w:rPr>
                <w:rFonts w:cs="Arial"/>
                <w:b/>
                <w:color w:val="000000"/>
                <w:sz w:val="22"/>
                <w:szCs w:val="22"/>
                <w:lang w:eastAsia="en-AU"/>
              </w:rPr>
              <w:t>General Reserve</w:t>
            </w:r>
          </w:p>
        </w:tc>
        <w:tc>
          <w:tcPr>
            <w:tcW w:w="1463" w:type="dxa"/>
            <w:tcBorders>
              <w:top w:val="nil"/>
              <w:left w:val="nil"/>
              <w:bottom w:val="nil"/>
              <w:right w:val="nil"/>
            </w:tcBorders>
            <w:shd w:val="clear" w:color="auto" w:fill="auto"/>
            <w:vAlign w:val="center"/>
            <w:hideMark/>
          </w:tcPr>
          <w:p w14:paraId="5EA735DD" w14:textId="77777777" w:rsidR="00E200DC" w:rsidRPr="00245BD8" w:rsidRDefault="00E200DC" w:rsidP="00E200DC">
            <w:pPr>
              <w:jc w:val="center"/>
              <w:rPr>
                <w:rFonts w:cs="Arial"/>
                <w:b/>
                <w:color w:val="000000"/>
                <w:sz w:val="22"/>
                <w:szCs w:val="22"/>
                <w:lang w:eastAsia="en-AU"/>
              </w:rPr>
            </w:pPr>
            <w:r w:rsidRPr="00245BD8">
              <w:rPr>
                <w:rFonts w:cs="Arial"/>
                <w:b/>
                <w:color w:val="000000"/>
                <w:sz w:val="22"/>
                <w:szCs w:val="22"/>
                <w:lang w:eastAsia="en-AU"/>
              </w:rPr>
              <w:t>Asset Revaluation Reserve</w:t>
            </w:r>
          </w:p>
        </w:tc>
        <w:tc>
          <w:tcPr>
            <w:tcW w:w="1193" w:type="dxa"/>
            <w:tcBorders>
              <w:top w:val="single" w:sz="8" w:space="0" w:color="auto"/>
              <w:left w:val="nil"/>
              <w:bottom w:val="nil"/>
              <w:right w:val="nil"/>
            </w:tcBorders>
            <w:shd w:val="clear" w:color="000000" w:fill="BFBFBF" w:themeFill="background1" w:themeFillShade="BF"/>
            <w:vAlign w:val="center"/>
            <w:hideMark/>
          </w:tcPr>
          <w:p w14:paraId="5EA735DE" w14:textId="77777777" w:rsidR="00E200DC" w:rsidRPr="00245BD8" w:rsidRDefault="00E200DC" w:rsidP="00E200DC">
            <w:pPr>
              <w:jc w:val="center"/>
              <w:rPr>
                <w:rFonts w:cs="Arial"/>
                <w:b/>
                <w:color w:val="000000"/>
                <w:sz w:val="22"/>
                <w:szCs w:val="22"/>
                <w:lang w:eastAsia="en-AU"/>
              </w:rPr>
            </w:pPr>
            <w:r w:rsidRPr="00245BD8">
              <w:rPr>
                <w:rFonts w:cs="Arial"/>
                <w:b/>
                <w:color w:val="000000"/>
                <w:sz w:val="22"/>
                <w:szCs w:val="22"/>
                <w:lang w:eastAsia="en-AU"/>
              </w:rPr>
              <w:t>Total</w:t>
            </w:r>
          </w:p>
        </w:tc>
      </w:tr>
      <w:tr w:rsidR="00760161" w:rsidRPr="00E200DC" w14:paraId="5EA735EB" w14:textId="77777777" w:rsidTr="00245BD8">
        <w:trPr>
          <w:trHeight w:val="434"/>
        </w:trPr>
        <w:tc>
          <w:tcPr>
            <w:tcW w:w="4214" w:type="dxa"/>
            <w:tcBorders>
              <w:top w:val="nil"/>
              <w:left w:val="nil"/>
              <w:bottom w:val="nil"/>
              <w:right w:val="nil"/>
            </w:tcBorders>
            <w:shd w:val="clear" w:color="auto" w:fill="auto"/>
            <w:vAlign w:val="bottom"/>
            <w:hideMark/>
          </w:tcPr>
          <w:p w14:paraId="5EA735E6" w14:textId="77777777" w:rsidR="00760161" w:rsidRPr="00E200DC" w:rsidRDefault="00760161" w:rsidP="00760161">
            <w:pPr>
              <w:rPr>
                <w:rFonts w:cs="Arial"/>
                <w:b/>
                <w:bCs/>
                <w:color w:val="000000"/>
                <w:sz w:val="22"/>
                <w:szCs w:val="22"/>
                <w:lang w:eastAsia="en-AU"/>
              </w:rPr>
            </w:pPr>
            <w:r w:rsidRPr="00E200DC">
              <w:rPr>
                <w:rFonts w:cs="Arial"/>
                <w:b/>
                <w:bCs/>
                <w:color w:val="000000"/>
                <w:sz w:val="22"/>
                <w:szCs w:val="22"/>
                <w:lang w:eastAsia="en-AU"/>
              </w:rPr>
              <w:t>Balance at 30 June 201</w:t>
            </w:r>
            <w:r>
              <w:rPr>
                <w:rFonts w:cs="Arial"/>
                <w:b/>
                <w:bCs/>
                <w:color w:val="000000"/>
                <w:sz w:val="22"/>
                <w:szCs w:val="22"/>
                <w:lang w:eastAsia="en-AU"/>
              </w:rPr>
              <w:t>3</w:t>
            </w:r>
          </w:p>
        </w:tc>
        <w:tc>
          <w:tcPr>
            <w:tcW w:w="1192" w:type="dxa"/>
            <w:tcBorders>
              <w:top w:val="nil"/>
              <w:left w:val="nil"/>
              <w:bottom w:val="single" w:sz="4" w:space="0" w:color="auto"/>
              <w:right w:val="nil"/>
            </w:tcBorders>
            <w:shd w:val="clear" w:color="auto" w:fill="auto"/>
            <w:vAlign w:val="bottom"/>
            <w:hideMark/>
          </w:tcPr>
          <w:p w14:paraId="5EA735E7" w14:textId="77777777" w:rsidR="00760161" w:rsidRPr="00C5319C" w:rsidRDefault="00760161" w:rsidP="00E200DC">
            <w:pPr>
              <w:jc w:val="right"/>
              <w:rPr>
                <w:rFonts w:cs="Arial"/>
                <w:b/>
                <w:color w:val="000000"/>
                <w:sz w:val="22"/>
                <w:szCs w:val="22"/>
                <w:lang w:eastAsia="en-AU"/>
              </w:rPr>
            </w:pPr>
            <w:r w:rsidRPr="00C5319C">
              <w:rPr>
                <w:rFonts w:cs="Arial"/>
                <w:b/>
                <w:color w:val="000000"/>
                <w:sz w:val="22"/>
                <w:szCs w:val="22"/>
                <w:lang w:eastAsia="en-AU"/>
              </w:rPr>
              <w:t>179,342</w:t>
            </w:r>
          </w:p>
        </w:tc>
        <w:tc>
          <w:tcPr>
            <w:tcW w:w="1073" w:type="dxa"/>
            <w:tcBorders>
              <w:top w:val="nil"/>
              <w:left w:val="nil"/>
              <w:bottom w:val="single" w:sz="4" w:space="0" w:color="auto"/>
              <w:right w:val="nil"/>
            </w:tcBorders>
            <w:shd w:val="clear" w:color="auto" w:fill="auto"/>
            <w:vAlign w:val="bottom"/>
            <w:hideMark/>
          </w:tcPr>
          <w:p w14:paraId="5EA735E8" w14:textId="2F67B47C" w:rsidR="00760161" w:rsidRPr="00C5319C" w:rsidRDefault="00760161" w:rsidP="00245BD8">
            <w:pPr>
              <w:jc w:val="right"/>
              <w:rPr>
                <w:rFonts w:cs="Arial"/>
                <w:b/>
                <w:color w:val="000000"/>
                <w:sz w:val="22"/>
                <w:szCs w:val="22"/>
                <w:lang w:eastAsia="en-AU"/>
              </w:rPr>
            </w:pPr>
            <w:r w:rsidRPr="00C5319C">
              <w:rPr>
                <w:rFonts w:cs="Arial"/>
                <w:b/>
                <w:color w:val="000000"/>
                <w:sz w:val="22"/>
                <w:szCs w:val="22"/>
                <w:lang w:eastAsia="en-AU"/>
              </w:rPr>
              <w:t>850</w:t>
            </w:r>
          </w:p>
        </w:tc>
        <w:tc>
          <w:tcPr>
            <w:tcW w:w="1463" w:type="dxa"/>
            <w:tcBorders>
              <w:top w:val="nil"/>
              <w:left w:val="nil"/>
              <w:bottom w:val="single" w:sz="4" w:space="0" w:color="auto"/>
              <w:right w:val="nil"/>
            </w:tcBorders>
            <w:shd w:val="clear" w:color="auto" w:fill="auto"/>
            <w:vAlign w:val="bottom"/>
            <w:hideMark/>
          </w:tcPr>
          <w:p w14:paraId="5EA735E9" w14:textId="77777777" w:rsidR="00760161" w:rsidRPr="00C5319C" w:rsidRDefault="00760161" w:rsidP="00E200DC">
            <w:pPr>
              <w:jc w:val="right"/>
              <w:rPr>
                <w:rFonts w:cs="Arial"/>
                <w:b/>
                <w:color w:val="000000"/>
                <w:sz w:val="22"/>
                <w:szCs w:val="22"/>
                <w:lang w:eastAsia="en-AU"/>
              </w:rPr>
            </w:pPr>
            <w:r w:rsidRPr="00C5319C">
              <w:rPr>
                <w:rFonts w:cs="Arial"/>
                <w:b/>
                <w:color w:val="000000"/>
                <w:sz w:val="22"/>
                <w:szCs w:val="22"/>
                <w:lang w:eastAsia="en-AU"/>
              </w:rPr>
              <w:t>4,653</w:t>
            </w:r>
          </w:p>
        </w:tc>
        <w:tc>
          <w:tcPr>
            <w:tcW w:w="1193" w:type="dxa"/>
            <w:tcBorders>
              <w:top w:val="nil"/>
              <w:left w:val="nil"/>
              <w:bottom w:val="single" w:sz="4" w:space="0" w:color="auto"/>
              <w:right w:val="nil"/>
            </w:tcBorders>
            <w:shd w:val="clear" w:color="000000" w:fill="BFBFBF" w:themeFill="background1" w:themeFillShade="BF"/>
            <w:vAlign w:val="bottom"/>
            <w:hideMark/>
          </w:tcPr>
          <w:p w14:paraId="5EA735EA" w14:textId="77777777" w:rsidR="00760161" w:rsidRPr="00C5319C" w:rsidRDefault="00760161" w:rsidP="00E200DC">
            <w:pPr>
              <w:jc w:val="right"/>
              <w:rPr>
                <w:rFonts w:cs="Arial"/>
                <w:b/>
                <w:color w:val="000000"/>
                <w:sz w:val="22"/>
                <w:szCs w:val="22"/>
                <w:lang w:eastAsia="en-AU"/>
              </w:rPr>
            </w:pPr>
            <w:r w:rsidRPr="00C5319C">
              <w:rPr>
                <w:rFonts w:cs="Arial"/>
                <w:b/>
                <w:color w:val="000000"/>
                <w:sz w:val="22"/>
                <w:szCs w:val="22"/>
                <w:lang w:eastAsia="en-AU"/>
              </w:rPr>
              <w:t>184,845</w:t>
            </w:r>
          </w:p>
        </w:tc>
      </w:tr>
      <w:tr w:rsidR="00245BD8" w:rsidRPr="00E200DC" w14:paraId="5EA735F1" w14:textId="77777777" w:rsidTr="00245BD8">
        <w:trPr>
          <w:trHeight w:val="958"/>
        </w:trPr>
        <w:tc>
          <w:tcPr>
            <w:tcW w:w="4214" w:type="dxa"/>
            <w:tcBorders>
              <w:top w:val="nil"/>
              <w:left w:val="nil"/>
              <w:bottom w:val="nil"/>
              <w:right w:val="nil"/>
            </w:tcBorders>
            <w:shd w:val="clear" w:color="auto" w:fill="auto"/>
            <w:vAlign w:val="bottom"/>
            <w:hideMark/>
          </w:tcPr>
          <w:p w14:paraId="5EA735EC" w14:textId="77777777" w:rsidR="00245BD8" w:rsidRPr="00E200DC" w:rsidRDefault="00245BD8" w:rsidP="00E200DC">
            <w:pPr>
              <w:rPr>
                <w:rFonts w:cs="Arial"/>
                <w:color w:val="000000"/>
                <w:sz w:val="22"/>
                <w:szCs w:val="22"/>
                <w:lang w:eastAsia="en-AU"/>
              </w:rPr>
            </w:pPr>
            <w:r w:rsidRPr="00E200DC">
              <w:rPr>
                <w:rFonts w:cs="Arial"/>
                <w:color w:val="000000"/>
                <w:sz w:val="22"/>
                <w:szCs w:val="22"/>
                <w:lang w:eastAsia="en-AU"/>
              </w:rPr>
              <w:t>Adjustment for impairment loss on available for sale investments recognised as an expense in the current year</w:t>
            </w:r>
          </w:p>
        </w:tc>
        <w:tc>
          <w:tcPr>
            <w:tcW w:w="1192" w:type="dxa"/>
            <w:tcBorders>
              <w:top w:val="nil"/>
              <w:left w:val="nil"/>
              <w:bottom w:val="nil"/>
              <w:right w:val="nil"/>
            </w:tcBorders>
            <w:shd w:val="clear" w:color="auto" w:fill="auto"/>
            <w:noWrap/>
            <w:vAlign w:val="bottom"/>
            <w:hideMark/>
          </w:tcPr>
          <w:p w14:paraId="5EA735ED" w14:textId="568E15F3"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073" w:type="dxa"/>
            <w:tcBorders>
              <w:top w:val="nil"/>
              <w:left w:val="nil"/>
              <w:bottom w:val="nil"/>
              <w:right w:val="nil"/>
            </w:tcBorders>
            <w:shd w:val="clear" w:color="auto" w:fill="auto"/>
            <w:noWrap/>
            <w:vAlign w:val="bottom"/>
            <w:hideMark/>
          </w:tcPr>
          <w:p w14:paraId="5EA735EE" w14:textId="70A428B5"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463" w:type="dxa"/>
            <w:tcBorders>
              <w:top w:val="nil"/>
              <w:left w:val="nil"/>
              <w:bottom w:val="nil"/>
              <w:right w:val="nil"/>
            </w:tcBorders>
            <w:shd w:val="clear" w:color="auto" w:fill="auto"/>
            <w:noWrap/>
            <w:vAlign w:val="bottom"/>
            <w:hideMark/>
          </w:tcPr>
          <w:p w14:paraId="5EA735EF"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445</w:t>
            </w:r>
          </w:p>
        </w:tc>
        <w:tc>
          <w:tcPr>
            <w:tcW w:w="1193" w:type="dxa"/>
            <w:tcBorders>
              <w:top w:val="nil"/>
              <w:left w:val="nil"/>
              <w:bottom w:val="nil"/>
              <w:right w:val="nil"/>
            </w:tcBorders>
            <w:shd w:val="clear" w:color="000000" w:fill="BFBFBF" w:themeFill="background1" w:themeFillShade="BF"/>
            <w:vAlign w:val="bottom"/>
            <w:hideMark/>
          </w:tcPr>
          <w:p w14:paraId="5EA735F0"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445</w:t>
            </w:r>
          </w:p>
        </w:tc>
      </w:tr>
      <w:tr w:rsidR="00245BD8" w:rsidRPr="00E200DC" w14:paraId="5EA735FD" w14:textId="77777777" w:rsidTr="00245BD8">
        <w:trPr>
          <w:trHeight w:val="628"/>
        </w:trPr>
        <w:tc>
          <w:tcPr>
            <w:tcW w:w="4214" w:type="dxa"/>
            <w:tcBorders>
              <w:top w:val="nil"/>
              <w:left w:val="nil"/>
              <w:bottom w:val="nil"/>
              <w:right w:val="nil"/>
            </w:tcBorders>
            <w:shd w:val="clear" w:color="auto" w:fill="auto"/>
            <w:vAlign w:val="bottom"/>
            <w:hideMark/>
          </w:tcPr>
          <w:p w14:paraId="5EA735F8" w14:textId="79F0C785" w:rsidR="00245BD8" w:rsidRPr="00E200DC" w:rsidRDefault="00245BD8" w:rsidP="00E200DC">
            <w:pPr>
              <w:rPr>
                <w:rFonts w:cs="Arial"/>
                <w:color w:val="000000"/>
                <w:sz w:val="22"/>
                <w:szCs w:val="22"/>
                <w:lang w:eastAsia="en-AU"/>
              </w:rPr>
            </w:pPr>
            <w:r w:rsidRPr="0037207C">
              <w:rPr>
                <w:rFonts w:cs="Arial"/>
                <w:color w:val="000000"/>
                <w:sz w:val="22"/>
                <w:szCs w:val="22"/>
                <w:lang w:eastAsia="en-AU"/>
              </w:rPr>
              <w:t xml:space="preserve">Impairment loss derecognised on disposal of available for sale </w:t>
            </w:r>
            <w:r w:rsidRPr="00E200DC" w:rsidDel="00FD6CA3">
              <w:rPr>
                <w:rFonts w:cs="Arial"/>
                <w:color w:val="000000"/>
                <w:sz w:val="22"/>
                <w:szCs w:val="22"/>
                <w:lang w:eastAsia="en-AU"/>
              </w:rPr>
              <w:t>investments</w:t>
            </w:r>
          </w:p>
        </w:tc>
        <w:tc>
          <w:tcPr>
            <w:tcW w:w="1192" w:type="dxa"/>
            <w:tcBorders>
              <w:top w:val="nil"/>
              <w:left w:val="nil"/>
              <w:bottom w:val="nil"/>
              <w:right w:val="nil"/>
            </w:tcBorders>
            <w:shd w:val="clear" w:color="auto" w:fill="auto"/>
            <w:noWrap/>
            <w:vAlign w:val="bottom"/>
            <w:hideMark/>
          </w:tcPr>
          <w:p w14:paraId="5EA735F9" w14:textId="606D102E"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073" w:type="dxa"/>
            <w:tcBorders>
              <w:top w:val="nil"/>
              <w:left w:val="nil"/>
              <w:bottom w:val="nil"/>
              <w:right w:val="nil"/>
            </w:tcBorders>
            <w:shd w:val="clear" w:color="auto" w:fill="auto"/>
            <w:noWrap/>
            <w:vAlign w:val="bottom"/>
            <w:hideMark/>
          </w:tcPr>
          <w:p w14:paraId="5EA735FA" w14:textId="51F1B3C0"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463" w:type="dxa"/>
            <w:tcBorders>
              <w:top w:val="nil"/>
              <w:left w:val="nil"/>
              <w:bottom w:val="nil"/>
              <w:right w:val="nil"/>
            </w:tcBorders>
            <w:shd w:val="clear" w:color="auto" w:fill="auto"/>
            <w:noWrap/>
            <w:vAlign w:val="bottom"/>
            <w:hideMark/>
          </w:tcPr>
          <w:p w14:paraId="5EA735FB"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(1,394)</w:t>
            </w:r>
          </w:p>
        </w:tc>
        <w:tc>
          <w:tcPr>
            <w:tcW w:w="1193" w:type="dxa"/>
            <w:tcBorders>
              <w:top w:val="nil"/>
              <w:left w:val="nil"/>
              <w:bottom w:val="nil"/>
              <w:right w:val="nil"/>
            </w:tcBorders>
            <w:shd w:val="clear" w:color="000000" w:fill="BFBFBF" w:themeFill="background1" w:themeFillShade="BF"/>
            <w:vAlign w:val="bottom"/>
            <w:hideMark/>
          </w:tcPr>
          <w:p w14:paraId="5EA735FC"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(1,394)</w:t>
            </w:r>
          </w:p>
        </w:tc>
      </w:tr>
      <w:tr w:rsidR="00245BD8" w:rsidRPr="00E200DC" w14:paraId="5EA73609" w14:textId="77777777" w:rsidTr="00245BD8">
        <w:trPr>
          <w:trHeight w:val="299"/>
        </w:trPr>
        <w:tc>
          <w:tcPr>
            <w:tcW w:w="4214" w:type="dxa"/>
            <w:tcBorders>
              <w:top w:val="nil"/>
              <w:left w:val="nil"/>
              <w:bottom w:val="nil"/>
              <w:right w:val="nil"/>
            </w:tcBorders>
            <w:shd w:val="clear" w:color="auto" w:fill="auto"/>
            <w:vAlign w:val="bottom"/>
          </w:tcPr>
          <w:p w14:paraId="5EA73604" w14:textId="77777777" w:rsidR="00245BD8" w:rsidRPr="00E200DC" w:rsidRDefault="00245BD8" w:rsidP="00E200DC">
            <w:pPr>
              <w:rPr>
                <w:rFonts w:cs="Arial"/>
                <w:color w:val="000000"/>
                <w:sz w:val="22"/>
                <w:szCs w:val="22"/>
                <w:lang w:eastAsia="en-AU"/>
              </w:rPr>
            </w:pPr>
            <w:r w:rsidRPr="00E200DC">
              <w:rPr>
                <w:rFonts w:cs="Arial"/>
                <w:color w:val="000000"/>
                <w:sz w:val="22"/>
                <w:szCs w:val="22"/>
                <w:lang w:eastAsia="en-AU"/>
              </w:rPr>
              <w:t>Transfer of endowment fund to general reserve</w:t>
            </w:r>
          </w:p>
        </w:tc>
        <w:tc>
          <w:tcPr>
            <w:tcW w:w="1192" w:type="dxa"/>
            <w:tcBorders>
              <w:top w:val="nil"/>
              <w:left w:val="nil"/>
              <w:right w:val="nil"/>
            </w:tcBorders>
            <w:shd w:val="clear" w:color="auto" w:fill="auto"/>
            <w:noWrap/>
            <w:vAlign w:val="bottom"/>
          </w:tcPr>
          <w:p w14:paraId="5EA73605"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(2,650)</w:t>
            </w:r>
          </w:p>
        </w:tc>
        <w:tc>
          <w:tcPr>
            <w:tcW w:w="1073" w:type="dxa"/>
            <w:tcBorders>
              <w:top w:val="nil"/>
              <w:left w:val="nil"/>
              <w:right w:val="nil"/>
            </w:tcBorders>
            <w:shd w:val="clear" w:color="auto" w:fill="auto"/>
            <w:noWrap/>
            <w:vAlign w:val="bottom"/>
          </w:tcPr>
          <w:p w14:paraId="5EA73606" w14:textId="21A03B78" w:rsidR="00245BD8" w:rsidRPr="00E200DC" w:rsidRDefault="00245BD8" w:rsidP="00E200DC">
            <w:pPr>
              <w:jc w:val="right"/>
              <w:rPr>
                <w:rFonts w:cs="Arial"/>
                <w:color w:val="000000"/>
                <w:sz w:val="22"/>
                <w:szCs w:val="22"/>
                <w:lang w:eastAsia="en-AU"/>
              </w:rPr>
            </w:pPr>
            <w:r>
              <w:rPr>
                <w:rFonts w:cs="Arial"/>
                <w:color w:val="000000"/>
                <w:sz w:val="22"/>
                <w:szCs w:val="22"/>
                <w:lang w:eastAsia="en-AU"/>
              </w:rPr>
              <w:t>2,650</w:t>
            </w:r>
          </w:p>
        </w:tc>
        <w:tc>
          <w:tcPr>
            <w:tcW w:w="1463" w:type="dxa"/>
            <w:tcBorders>
              <w:top w:val="nil"/>
              <w:left w:val="nil"/>
              <w:right w:val="nil"/>
            </w:tcBorders>
            <w:shd w:val="clear" w:color="auto" w:fill="auto"/>
            <w:noWrap/>
            <w:vAlign w:val="bottom"/>
          </w:tcPr>
          <w:p w14:paraId="5EA73607" w14:textId="43E83D82"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193" w:type="dxa"/>
            <w:tcBorders>
              <w:top w:val="nil"/>
              <w:left w:val="nil"/>
              <w:right w:val="nil"/>
            </w:tcBorders>
            <w:shd w:val="clear" w:color="000000" w:fill="BFBFBF" w:themeFill="background1" w:themeFillShade="BF"/>
            <w:vAlign w:val="bottom"/>
          </w:tcPr>
          <w:p w14:paraId="5EA73608" w14:textId="06D07E4A" w:rsidR="00245BD8" w:rsidRPr="00E200DC" w:rsidRDefault="00245BD8" w:rsidP="00FC274B">
            <w:pPr>
              <w:jc w:val="right"/>
              <w:rPr>
                <w:rFonts w:cs="Arial"/>
                <w:color w:val="000000"/>
                <w:sz w:val="22"/>
                <w:szCs w:val="22"/>
                <w:lang w:eastAsia="en-AU"/>
              </w:rPr>
            </w:pPr>
            <w:r>
              <w:rPr>
                <w:rFonts w:cs="Arial"/>
                <w:color w:val="000000"/>
                <w:sz w:val="22"/>
                <w:szCs w:val="22"/>
                <w:lang w:eastAsia="en-AU"/>
              </w:rPr>
              <w:t>Nil</w:t>
            </w:r>
          </w:p>
        </w:tc>
      </w:tr>
      <w:tr w:rsidR="00245BD8" w:rsidRPr="00E200DC" w14:paraId="5EA7360F" w14:textId="77777777" w:rsidTr="00245BD8">
        <w:trPr>
          <w:trHeight w:val="299"/>
        </w:trPr>
        <w:tc>
          <w:tcPr>
            <w:tcW w:w="4214" w:type="dxa"/>
            <w:tcBorders>
              <w:top w:val="nil"/>
              <w:left w:val="nil"/>
              <w:bottom w:val="nil"/>
              <w:right w:val="nil"/>
            </w:tcBorders>
            <w:shd w:val="clear" w:color="auto" w:fill="auto"/>
            <w:vAlign w:val="bottom"/>
            <w:hideMark/>
          </w:tcPr>
          <w:p w14:paraId="5EA7360A" w14:textId="252333D3" w:rsidR="00245BD8" w:rsidRPr="00E200DC" w:rsidRDefault="00245BD8" w:rsidP="00E200DC">
            <w:pPr>
              <w:rPr>
                <w:rFonts w:cs="Arial"/>
                <w:color w:val="000000"/>
                <w:sz w:val="22"/>
                <w:szCs w:val="22"/>
                <w:lang w:eastAsia="en-AU"/>
              </w:rPr>
            </w:pPr>
            <w:r w:rsidRPr="0037207C">
              <w:rPr>
                <w:rFonts w:cs="Arial"/>
                <w:color w:val="000000"/>
                <w:sz w:val="22"/>
                <w:szCs w:val="22"/>
                <w:lang w:eastAsia="en-AU"/>
              </w:rPr>
              <w:t xml:space="preserve">Mark to market revaluation on available for sale </w:t>
            </w:r>
            <w:r w:rsidRPr="00E200DC" w:rsidDel="00FD6CA3">
              <w:rPr>
                <w:rFonts w:cs="Arial"/>
                <w:color w:val="000000"/>
                <w:sz w:val="22"/>
                <w:szCs w:val="22"/>
                <w:lang w:eastAsia="en-AU"/>
              </w:rPr>
              <w:t>investments</w:t>
            </w:r>
          </w:p>
        </w:tc>
        <w:tc>
          <w:tcPr>
            <w:tcW w:w="1192" w:type="dxa"/>
            <w:tcBorders>
              <w:left w:val="nil"/>
              <w:bottom w:val="single" w:sz="4" w:space="0" w:color="auto"/>
              <w:right w:val="nil"/>
            </w:tcBorders>
            <w:shd w:val="clear" w:color="auto" w:fill="auto"/>
            <w:noWrap/>
            <w:vAlign w:val="bottom"/>
            <w:hideMark/>
          </w:tcPr>
          <w:p w14:paraId="5EA7360B" w14:textId="2B3FA9F6"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073" w:type="dxa"/>
            <w:tcBorders>
              <w:left w:val="nil"/>
              <w:bottom w:val="single" w:sz="4" w:space="0" w:color="auto"/>
              <w:right w:val="nil"/>
            </w:tcBorders>
            <w:shd w:val="clear" w:color="auto" w:fill="auto"/>
            <w:noWrap/>
            <w:vAlign w:val="bottom"/>
            <w:hideMark/>
          </w:tcPr>
          <w:p w14:paraId="5EA7360C" w14:textId="5B4807C8"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463" w:type="dxa"/>
            <w:tcBorders>
              <w:left w:val="nil"/>
              <w:bottom w:val="single" w:sz="4" w:space="0" w:color="auto"/>
              <w:right w:val="nil"/>
            </w:tcBorders>
            <w:shd w:val="clear" w:color="auto" w:fill="auto"/>
            <w:noWrap/>
            <w:vAlign w:val="bottom"/>
            <w:hideMark/>
          </w:tcPr>
          <w:p w14:paraId="5EA7360D"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3,029</w:t>
            </w:r>
          </w:p>
        </w:tc>
        <w:tc>
          <w:tcPr>
            <w:tcW w:w="1193" w:type="dxa"/>
            <w:tcBorders>
              <w:left w:val="nil"/>
              <w:bottom w:val="single" w:sz="4" w:space="0" w:color="auto"/>
              <w:right w:val="nil"/>
            </w:tcBorders>
            <w:shd w:val="clear" w:color="000000" w:fill="BFBFBF" w:themeFill="background1" w:themeFillShade="BF"/>
            <w:vAlign w:val="bottom"/>
            <w:hideMark/>
          </w:tcPr>
          <w:p w14:paraId="5EA7360E"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3,029</w:t>
            </w:r>
          </w:p>
        </w:tc>
      </w:tr>
      <w:tr w:rsidR="00760161" w:rsidRPr="00E200DC" w14:paraId="5EA73615" w14:textId="77777777" w:rsidTr="00245BD8">
        <w:trPr>
          <w:trHeight w:val="518"/>
        </w:trPr>
        <w:tc>
          <w:tcPr>
            <w:tcW w:w="4214" w:type="dxa"/>
            <w:tcBorders>
              <w:top w:val="nil"/>
              <w:left w:val="nil"/>
              <w:bottom w:val="nil"/>
              <w:right w:val="nil"/>
            </w:tcBorders>
            <w:shd w:val="clear" w:color="auto" w:fill="auto"/>
            <w:vAlign w:val="bottom"/>
            <w:hideMark/>
          </w:tcPr>
          <w:p w14:paraId="5EA73610" w14:textId="77777777" w:rsidR="00760161" w:rsidRPr="00E200DC" w:rsidRDefault="00760161" w:rsidP="00E200DC">
            <w:pPr>
              <w:rPr>
                <w:rFonts w:cs="Arial"/>
                <w:color w:val="000000"/>
                <w:sz w:val="22"/>
                <w:szCs w:val="22"/>
                <w:lang w:eastAsia="en-AU"/>
              </w:rPr>
            </w:pPr>
            <w:r w:rsidRPr="00E200DC">
              <w:rPr>
                <w:rFonts w:cs="Arial"/>
                <w:color w:val="000000"/>
                <w:sz w:val="22"/>
                <w:szCs w:val="22"/>
                <w:lang w:eastAsia="en-AU"/>
              </w:rPr>
              <w:t>Other Comprehensive Income</w:t>
            </w:r>
          </w:p>
        </w:tc>
        <w:tc>
          <w:tcPr>
            <w:tcW w:w="1192" w:type="dxa"/>
            <w:tcBorders>
              <w:top w:val="nil"/>
              <w:left w:val="nil"/>
              <w:bottom w:val="nil"/>
              <w:right w:val="nil"/>
            </w:tcBorders>
            <w:shd w:val="clear" w:color="auto" w:fill="auto"/>
            <w:noWrap/>
            <w:vAlign w:val="bottom"/>
            <w:hideMark/>
          </w:tcPr>
          <w:p w14:paraId="5EA73611" w14:textId="77777777" w:rsidR="00760161" w:rsidRPr="00E200DC" w:rsidRDefault="00760161" w:rsidP="00E200DC">
            <w:pPr>
              <w:jc w:val="right"/>
              <w:rPr>
                <w:rFonts w:cs="Arial"/>
                <w:color w:val="000000"/>
                <w:sz w:val="22"/>
                <w:szCs w:val="22"/>
                <w:lang w:eastAsia="en-AU"/>
              </w:rPr>
            </w:pPr>
            <w:r w:rsidRPr="00E200DC">
              <w:rPr>
                <w:rFonts w:cs="Arial"/>
                <w:color w:val="000000"/>
                <w:sz w:val="22"/>
                <w:szCs w:val="22"/>
                <w:lang w:eastAsia="en-AU"/>
              </w:rPr>
              <w:t>(2,650)</w:t>
            </w:r>
          </w:p>
        </w:tc>
        <w:tc>
          <w:tcPr>
            <w:tcW w:w="1073" w:type="dxa"/>
            <w:tcBorders>
              <w:top w:val="nil"/>
              <w:left w:val="nil"/>
              <w:bottom w:val="nil"/>
              <w:right w:val="nil"/>
            </w:tcBorders>
            <w:shd w:val="clear" w:color="auto" w:fill="auto"/>
            <w:noWrap/>
            <w:vAlign w:val="bottom"/>
            <w:hideMark/>
          </w:tcPr>
          <w:p w14:paraId="5EA73612" w14:textId="20299D5B" w:rsidR="00760161" w:rsidRPr="00E200DC" w:rsidRDefault="00760161" w:rsidP="00E200DC">
            <w:pPr>
              <w:jc w:val="right"/>
              <w:rPr>
                <w:rFonts w:cs="Arial"/>
                <w:color w:val="000000"/>
                <w:sz w:val="22"/>
                <w:szCs w:val="22"/>
                <w:lang w:eastAsia="en-AU"/>
              </w:rPr>
            </w:pPr>
            <w:r w:rsidRPr="00E200DC">
              <w:rPr>
                <w:rFonts w:cs="Arial"/>
                <w:color w:val="000000"/>
                <w:sz w:val="22"/>
                <w:szCs w:val="22"/>
                <w:lang w:eastAsia="en-AU"/>
              </w:rPr>
              <w:t xml:space="preserve">2,650 </w:t>
            </w:r>
          </w:p>
        </w:tc>
        <w:tc>
          <w:tcPr>
            <w:tcW w:w="1463" w:type="dxa"/>
            <w:tcBorders>
              <w:top w:val="nil"/>
              <w:left w:val="nil"/>
              <w:bottom w:val="nil"/>
              <w:right w:val="nil"/>
            </w:tcBorders>
            <w:shd w:val="clear" w:color="auto" w:fill="auto"/>
            <w:vAlign w:val="bottom"/>
            <w:hideMark/>
          </w:tcPr>
          <w:p w14:paraId="5EA73613" w14:textId="77777777" w:rsidR="00760161" w:rsidRPr="00E200DC" w:rsidRDefault="00760161" w:rsidP="00E200DC">
            <w:pPr>
              <w:jc w:val="right"/>
              <w:rPr>
                <w:rFonts w:cs="Arial"/>
                <w:color w:val="000000"/>
                <w:sz w:val="22"/>
                <w:szCs w:val="22"/>
                <w:lang w:eastAsia="en-AU"/>
              </w:rPr>
            </w:pPr>
            <w:r w:rsidRPr="00E200DC">
              <w:rPr>
                <w:rFonts w:cs="Arial"/>
                <w:color w:val="000000"/>
                <w:sz w:val="22"/>
                <w:szCs w:val="22"/>
                <w:lang w:eastAsia="en-AU"/>
              </w:rPr>
              <w:t>2,080</w:t>
            </w:r>
          </w:p>
        </w:tc>
        <w:tc>
          <w:tcPr>
            <w:tcW w:w="1193" w:type="dxa"/>
            <w:tcBorders>
              <w:top w:val="nil"/>
              <w:left w:val="nil"/>
              <w:bottom w:val="nil"/>
              <w:right w:val="nil"/>
            </w:tcBorders>
            <w:shd w:val="clear" w:color="000000" w:fill="BFBFBF" w:themeFill="background1" w:themeFillShade="BF"/>
            <w:vAlign w:val="bottom"/>
            <w:hideMark/>
          </w:tcPr>
          <w:p w14:paraId="5EA73614" w14:textId="77777777" w:rsidR="00760161" w:rsidRPr="00E200DC" w:rsidRDefault="00760161" w:rsidP="00E200DC">
            <w:pPr>
              <w:jc w:val="right"/>
              <w:rPr>
                <w:rFonts w:cs="Arial"/>
                <w:color w:val="000000"/>
                <w:sz w:val="22"/>
                <w:szCs w:val="22"/>
                <w:lang w:eastAsia="en-AU"/>
              </w:rPr>
            </w:pPr>
            <w:r w:rsidRPr="00E200DC">
              <w:rPr>
                <w:rFonts w:cs="Arial"/>
                <w:color w:val="000000"/>
                <w:sz w:val="22"/>
                <w:szCs w:val="22"/>
                <w:lang w:eastAsia="en-AU"/>
              </w:rPr>
              <w:t>2,080</w:t>
            </w:r>
          </w:p>
        </w:tc>
      </w:tr>
      <w:tr w:rsidR="00245BD8" w:rsidRPr="00E200DC" w14:paraId="5EA7361B" w14:textId="77777777" w:rsidTr="00245BD8">
        <w:trPr>
          <w:trHeight w:val="422"/>
        </w:trPr>
        <w:tc>
          <w:tcPr>
            <w:tcW w:w="4214" w:type="dxa"/>
            <w:tcBorders>
              <w:top w:val="nil"/>
              <w:left w:val="nil"/>
              <w:bottom w:val="nil"/>
              <w:right w:val="nil"/>
            </w:tcBorders>
            <w:shd w:val="clear" w:color="auto" w:fill="auto"/>
            <w:vAlign w:val="bottom"/>
            <w:hideMark/>
          </w:tcPr>
          <w:p w14:paraId="5EA73616" w14:textId="77777777" w:rsidR="00245BD8" w:rsidRPr="00E200DC" w:rsidRDefault="00245BD8" w:rsidP="00E200DC">
            <w:pPr>
              <w:rPr>
                <w:rFonts w:cs="Arial"/>
                <w:color w:val="000000"/>
                <w:sz w:val="22"/>
                <w:szCs w:val="22"/>
                <w:lang w:eastAsia="en-AU"/>
              </w:rPr>
            </w:pPr>
            <w:r w:rsidRPr="00E200DC">
              <w:rPr>
                <w:rFonts w:cs="Arial"/>
                <w:color w:val="000000"/>
                <w:sz w:val="22"/>
                <w:szCs w:val="22"/>
                <w:lang w:eastAsia="en-AU"/>
              </w:rPr>
              <w:t>Surplus for the year</w:t>
            </w:r>
          </w:p>
        </w:tc>
        <w:tc>
          <w:tcPr>
            <w:tcW w:w="1192" w:type="dxa"/>
            <w:tcBorders>
              <w:top w:val="nil"/>
              <w:left w:val="nil"/>
              <w:bottom w:val="single" w:sz="4" w:space="0" w:color="auto"/>
              <w:right w:val="nil"/>
            </w:tcBorders>
            <w:shd w:val="clear" w:color="auto" w:fill="auto"/>
            <w:vAlign w:val="bottom"/>
            <w:hideMark/>
          </w:tcPr>
          <w:p w14:paraId="5EA73617"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7,513</w:t>
            </w:r>
          </w:p>
        </w:tc>
        <w:tc>
          <w:tcPr>
            <w:tcW w:w="1073" w:type="dxa"/>
            <w:tcBorders>
              <w:top w:val="nil"/>
              <w:left w:val="nil"/>
              <w:bottom w:val="nil"/>
              <w:right w:val="nil"/>
            </w:tcBorders>
            <w:shd w:val="clear" w:color="auto" w:fill="auto"/>
            <w:noWrap/>
            <w:vAlign w:val="bottom"/>
            <w:hideMark/>
          </w:tcPr>
          <w:p w14:paraId="5EA73618" w14:textId="7508CDA4"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463" w:type="dxa"/>
            <w:tcBorders>
              <w:top w:val="nil"/>
              <w:left w:val="nil"/>
              <w:bottom w:val="nil"/>
              <w:right w:val="nil"/>
            </w:tcBorders>
            <w:shd w:val="clear" w:color="auto" w:fill="auto"/>
            <w:noWrap/>
            <w:vAlign w:val="bottom"/>
            <w:hideMark/>
          </w:tcPr>
          <w:p w14:paraId="5EA73619" w14:textId="41CD5872"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193" w:type="dxa"/>
            <w:tcBorders>
              <w:top w:val="nil"/>
              <w:left w:val="nil"/>
              <w:bottom w:val="single" w:sz="4" w:space="0" w:color="auto"/>
              <w:right w:val="nil"/>
            </w:tcBorders>
            <w:shd w:val="clear" w:color="000000" w:fill="BFBFBF" w:themeFill="background1" w:themeFillShade="BF"/>
            <w:vAlign w:val="bottom"/>
            <w:hideMark/>
          </w:tcPr>
          <w:p w14:paraId="5EA7361A" w14:textId="77777777" w:rsidR="00245BD8" w:rsidRPr="00E200DC" w:rsidRDefault="00245BD8" w:rsidP="00E200DC">
            <w:pPr>
              <w:jc w:val="right"/>
              <w:rPr>
                <w:rFonts w:cs="Arial"/>
                <w:color w:val="000000"/>
                <w:sz w:val="22"/>
                <w:szCs w:val="22"/>
                <w:lang w:eastAsia="en-AU"/>
              </w:rPr>
            </w:pPr>
            <w:r w:rsidRPr="00E200DC">
              <w:rPr>
                <w:rFonts w:cs="Arial"/>
                <w:color w:val="000000"/>
                <w:sz w:val="22"/>
                <w:szCs w:val="22"/>
                <w:lang w:eastAsia="en-AU"/>
              </w:rPr>
              <w:t>7,513</w:t>
            </w:r>
          </w:p>
        </w:tc>
      </w:tr>
      <w:tr w:rsidR="00760161" w:rsidRPr="00E200DC" w14:paraId="5EA73621" w14:textId="77777777" w:rsidTr="00245BD8">
        <w:trPr>
          <w:trHeight w:val="299"/>
        </w:trPr>
        <w:tc>
          <w:tcPr>
            <w:tcW w:w="4214" w:type="dxa"/>
            <w:tcBorders>
              <w:top w:val="nil"/>
              <w:left w:val="nil"/>
              <w:bottom w:val="nil"/>
              <w:right w:val="nil"/>
            </w:tcBorders>
            <w:shd w:val="clear" w:color="auto" w:fill="auto"/>
            <w:vAlign w:val="bottom"/>
            <w:hideMark/>
          </w:tcPr>
          <w:p w14:paraId="5EA7361C" w14:textId="77777777" w:rsidR="00760161" w:rsidRPr="00E200DC" w:rsidRDefault="00760161" w:rsidP="00E200DC">
            <w:pPr>
              <w:rPr>
                <w:rFonts w:cs="Arial"/>
                <w:color w:val="000000"/>
                <w:sz w:val="22"/>
                <w:szCs w:val="22"/>
                <w:lang w:eastAsia="en-AU"/>
              </w:rPr>
            </w:pPr>
            <w:r w:rsidRPr="00E200DC">
              <w:rPr>
                <w:rFonts w:cs="Arial"/>
                <w:color w:val="000000"/>
                <w:sz w:val="22"/>
                <w:szCs w:val="22"/>
                <w:lang w:eastAsia="en-AU"/>
              </w:rPr>
              <w:t>Total comprehensive income for the year</w:t>
            </w:r>
          </w:p>
        </w:tc>
        <w:tc>
          <w:tcPr>
            <w:tcW w:w="1192" w:type="dxa"/>
            <w:tcBorders>
              <w:top w:val="nil"/>
              <w:left w:val="nil"/>
              <w:bottom w:val="single" w:sz="8" w:space="0" w:color="auto"/>
              <w:right w:val="nil"/>
            </w:tcBorders>
            <w:shd w:val="clear" w:color="auto" w:fill="auto"/>
            <w:vAlign w:val="bottom"/>
            <w:hideMark/>
          </w:tcPr>
          <w:p w14:paraId="5EA7361D" w14:textId="77777777" w:rsidR="00760161" w:rsidRPr="00E200DC" w:rsidRDefault="00760161" w:rsidP="00E200DC">
            <w:pPr>
              <w:jc w:val="right"/>
              <w:rPr>
                <w:rFonts w:cs="Arial"/>
                <w:color w:val="000000"/>
                <w:sz w:val="22"/>
                <w:szCs w:val="22"/>
                <w:lang w:eastAsia="en-AU"/>
              </w:rPr>
            </w:pPr>
            <w:r w:rsidRPr="00E200DC">
              <w:rPr>
                <w:rFonts w:cs="Arial"/>
                <w:color w:val="000000"/>
                <w:sz w:val="22"/>
                <w:szCs w:val="22"/>
                <w:lang w:eastAsia="en-AU"/>
              </w:rPr>
              <w:t>4,863</w:t>
            </w:r>
          </w:p>
        </w:tc>
        <w:tc>
          <w:tcPr>
            <w:tcW w:w="1073" w:type="dxa"/>
            <w:tcBorders>
              <w:top w:val="single" w:sz="4" w:space="0" w:color="auto"/>
              <w:left w:val="nil"/>
              <w:bottom w:val="single" w:sz="8" w:space="0" w:color="auto"/>
              <w:right w:val="nil"/>
            </w:tcBorders>
            <w:shd w:val="clear" w:color="auto" w:fill="auto"/>
            <w:noWrap/>
            <w:vAlign w:val="bottom"/>
            <w:hideMark/>
          </w:tcPr>
          <w:p w14:paraId="5EA7361E" w14:textId="709CF806" w:rsidR="00760161" w:rsidRPr="00E200DC" w:rsidRDefault="00245BD8" w:rsidP="00E200DC">
            <w:pPr>
              <w:jc w:val="right"/>
              <w:rPr>
                <w:rFonts w:cs="Arial"/>
                <w:color w:val="000000"/>
                <w:sz w:val="22"/>
                <w:szCs w:val="22"/>
                <w:lang w:eastAsia="en-AU"/>
              </w:rPr>
            </w:pPr>
            <w:r>
              <w:rPr>
                <w:rFonts w:cs="Arial"/>
                <w:color w:val="000000"/>
                <w:sz w:val="22"/>
                <w:szCs w:val="22"/>
                <w:lang w:eastAsia="en-AU"/>
              </w:rPr>
              <w:t>2,650</w:t>
            </w:r>
          </w:p>
        </w:tc>
        <w:tc>
          <w:tcPr>
            <w:tcW w:w="1463" w:type="dxa"/>
            <w:tcBorders>
              <w:top w:val="single" w:sz="4" w:space="0" w:color="auto"/>
              <w:left w:val="nil"/>
              <w:bottom w:val="single" w:sz="8" w:space="0" w:color="auto"/>
              <w:right w:val="nil"/>
            </w:tcBorders>
            <w:shd w:val="clear" w:color="auto" w:fill="auto"/>
            <w:vAlign w:val="bottom"/>
            <w:hideMark/>
          </w:tcPr>
          <w:p w14:paraId="5EA7361F" w14:textId="77777777" w:rsidR="00760161" w:rsidRPr="00E200DC" w:rsidRDefault="00760161" w:rsidP="00E200DC">
            <w:pPr>
              <w:jc w:val="right"/>
              <w:rPr>
                <w:rFonts w:cs="Arial"/>
                <w:color w:val="000000"/>
                <w:sz w:val="22"/>
                <w:szCs w:val="22"/>
                <w:lang w:eastAsia="en-AU"/>
              </w:rPr>
            </w:pPr>
            <w:r w:rsidRPr="00E200DC">
              <w:rPr>
                <w:rFonts w:cs="Arial"/>
                <w:color w:val="000000"/>
                <w:sz w:val="22"/>
                <w:szCs w:val="22"/>
                <w:lang w:eastAsia="en-AU"/>
              </w:rPr>
              <w:t>2,080</w:t>
            </w:r>
          </w:p>
        </w:tc>
        <w:tc>
          <w:tcPr>
            <w:tcW w:w="1193" w:type="dxa"/>
            <w:tcBorders>
              <w:top w:val="nil"/>
              <w:left w:val="nil"/>
              <w:bottom w:val="single" w:sz="8" w:space="0" w:color="auto"/>
              <w:right w:val="nil"/>
            </w:tcBorders>
            <w:shd w:val="clear" w:color="000000" w:fill="BFBFBF" w:themeFill="background1" w:themeFillShade="BF"/>
            <w:vAlign w:val="bottom"/>
            <w:hideMark/>
          </w:tcPr>
          <w:p w14:paraId="5EA73620" w14:textId="77777777" w:rsidR="00760161" w:rsidRPr="00E200DC" w:rsidRDefault="00760161" w:rsidP="00E200DC">
            <w:pPr>
              <w:jc w:val="right"/>
              <w:rPr>
                <w:rFonts w:cs="Arial"/>
                <w:color w:val="000000"/>
                <w:sz w:val="22"/>
                <w:szCs w:val="22"/>
                <w:lang w:eastAsia="en-AU"/>
              </w:rPr>
            </w:pPr>
            <w:r w:rsidRPr="00E200DC">
              <w:rPr>
                <w:rFonts w:cs="Arial"/>
                <w:color w:val="000000"/>
                <w:sz w:val="22"/>
                <w:szCs w:val="22"/>
                <w:lang w:eastAsia="en-AU"/>
              </w:rPr>
              <w:t>9,593</w:t>
            </w:r>
          </w:p>
        </w:tc>
      </w:tr>
      <w:tr w:rsidR="00760161" w:rsidRPr="00E200DC" w14:paraId="5EA73627" w14:textId="77777777" w:rsidTr="00245BD8">
        <w:trPr>
          <w:trHeight w:val="449"/>
        </w:trPr>
        <w:tc>
          <w:tcPr>
            <w:tcW w:w="4214" w:type="dxa"/>
            <w:tcBorders>
              <w:top w:val="nil"/>
              <w:left w:val="nil"/>
              <w:bottom w:val="nil"/>
              <w:right w:val="nil"/>
            </w:tcBorders>
            <w:shd w:val="clear" w:color="auto" w:fill="auto"/>
            <w:vAlign w:val="bottom"/>
            <w:hideMark/>
          </w:tcPr>
          <w:p w14:paraId="5EA73622" w14:textId="77777777" w:rsidR="00760161" w:rsidRPr="00E200DC" w:rsidRDefault="00760161" w:rsidP="00760161">
            <w:pPr>
              <w:rPr>
                <w:rFonts w:cs="Arial"/>
                <w:b/>
                <w:bCs/>
                <w:color w:val="000000"/>
                <w:sz w:val="22"/>
                <w:szCs w:val="22"/>
                <w:lang w:eastAsia="en-AU"/>
              </w:rPr>
            </w:pPr>
            <w:r w:rsidRPr="00E200DC">
              <w:rPr>
                <w:rFonts w:cs="Arial"/>
                <w:b/>
                <w:bCs/>
                <w:color w:val="000000"/>
                <w:sz w:val="22"/>
                <w:szCs w:val="22"/>
                <w:lang w:eastAsia="en-AU"/>
              </w:rPr>
              <w:t>Balance at 30 June 201</w:t>
            </w:r>
            <w:r>
              <w:rPr>
                <w:rFonts w:cs="Arial"/>
                <w:b/>
                <w:bCs/>
                <w:color w:val="000000"/>
                <w:sz w:val="22"/>
                <w:szCs w:val="22"/>
                <w:lang w:eastAsia="en-AU"/>
              </w:rPr>
              <w:t>4</w:t>
            </w:r>
          </w:p>
        </w:tc>
        <w:tc>
          <w:tcPr>
            <w:tcW w:w="1192" w:type="dxa"/>
            <w:tcBorders>
              <w:top w:val="nil"/>
              <w:left w:val="nil"/>
              <w:bottom w:val="single" w:sz="8" w:space="0" w:color="auto"/>
              <w:right w:val="nil"/>
            </w:tcBorders>
            <w:shd w:val="clear" w:color="auto" w:fill="auto"/>
            <w:vAlign w:val="bottom"/>
            <w:hideMark/>
          </w:tcPr>
          <w:p w14:paraId="5EA73623" w14:textId="77777777" w:rsidR="00760161" w:rsidRPr="00C5319C" w:rsidRDefault="00760161" w:rsidP="00E200DC">
            <w:pPr>
              <w:jc w:val="right"/>
              <w:rPr>
                <w:rFonts w:cs="Arial"/>
                <w:b/>
                <w:color w:val="000000"/>
                <w:sz w:val="22"/>
                <w:szCs w:val="22"/>
                <w:lang w:eastAsia="en-AU"/>
              </w:rPr>
            </w:pPr>
            <w:r w:rsidRPr="00C5319C">
              <w:rPr>
                <w:rFonts w:cs="Arial"/>
                <w:b/>
                <w:color w:val="000000"/>
                <w:sz w:val="22"/>
                <w:szCs w:val="22"/>
                <w:lang w:eastAsia="en-AU"/>
              </w:rPr>
              <w:t>184,205</w:t>
            </w:r>
          </w:p>
        </w:tc>
        <w:tc>
          <w:tcPr>
            <w:tcW w:w="1073" w:type="dxa"/>
            <w:tcBorders>
              <w:top w:val="single" w:sz="4" w:space="0" w:color="auto"/>
              <w:left w:val="nil"/>
              <w:bottom w:val="single" w:sz="8" w:space="0" w:color="auto"/>
              <w:right w:val="nil"/>
            </w:tcBorders>
            <w:shd w:val="clear" w:color="auto" w:fill="auto"/>
            <w:noWrap/>
            <w:vAlign w:val="bottom"/>
            <w:hideMark/>
          </w:tcPr>
          <w:p w14:paraId="5EA73624" w14:textId="77777777" w:rsidR="00760161" w:rsidRPr="00C5319C" w:rsidRDefault="00760161" w:rsidP="00E200DC">
            <w:pPr>
              <w:jc w:val="right"/>
              <w:rPr>
                <w:rFonts w:cs="Arial"/>
                <w:b/>
                <w:color w:val="000000"/>
                <w:sz w:val="22"/>
                <w:szCs w:val="22"/>
                <w:lang w:eastAsia="en-AU"/>
              </w:rPr>
            </w:pPr>
            <w:r w:rsidRPr="00C5319C">
              <w:rPr>
                <w:rFonts w:cs="Arial"/>
                <w:b/>
                <w:color w:val="000000"/>
                <w:sz w:val="22"/>
                <w:szCs w:val="22"/>
                <w:lang w:eastAsia="en-AU"/>
              </w:rPr>
              <w:t>3,500</w:t>
            </w:r>
          </w:p>
        </w:tc>
        <w:tc>
          <w:tcPr>
            <w:tcW w:w="1463" w:type="dxa"/>
            <w:tcBorders>
              <w:top w:val="nil"/>
              <w:left w:val="nil"/>
              <w:bottom w:val="single" w:sz="8" w:space="0" w:color="auto"/>
              <w:right w:val="nil"/>
            </w:tcBorders>
            <w:shd w:val="clear" w:color="auto" w:fill="auto"/>
            <w:vAlign w:val="bottom"/>
            <w:hideMark/>
          </w:tcPr>
          <w:p w14:paraId="5EA73625" w14:textId="77777777" w:rsidR="00760161" w:rsidRPr="00C5319C" w:rsidRDefault="00760161" w:rsidP="00E200DC">
            <w:pPr>
              <w:jc w:val="right"/>
              <w:rPr>
                <w:rFonts w:cs="Arial"/>
                <w:b/>
                <w:color w:val="000000"/>
                <w:sz w:val="22"/>
                <w:szCs w:val="22"/>
                <w:lang w:eastAsia="en-AU"/>
              </w:rPr>
            </w:pPr>
            <w:r w:rsidRPr="00C5319C">
              <w:rPr>
                <w:rFonts w:cs="Arial"/>
                <w:b/>
                <w:color w:val="000000"/>
                <w:sz w:val="22"/>
                <w:szCs w:val="22"/>
                <w:lang w:eastAsia="en-AU"/>
              </w:rPr>
              <w:t>6,733</w:t>
            </w:r>
          </w:p>
        </w:tc>
        <w:tc>
          <w:tcPr>
            <w:tcW w:w="1193" w:type="dxa"/>
            <w:tcBorders>
              <w:top w:val="nil"/>
              <w:left w:val="nil"/>
              <w:bottom w:val="single" w:sz="8" w:space="0" w:color="auto"/>
              <w:right w:val="nil"/>
            </w:tcBorders>
            <w:shd w:val="clear" w:color="000000" w:fill="BFBFBF" w:themeFill="background1" w:themeFillShade="BF"/>
            <w:vAlign w:val="bottom"/>
            <w:hideMark/>
          </w:tcPr>
          <w:p w14:paraId="5EA73626" w14:textId="77777777" w:rsidR="00760161" w:rsidRPr="00C5319C" w:rsidRDefault="00760161" w:rsidP="00E200DC">
            <w:pPr>
              <w:jc w:val="right"/>
              <w:rPr>
                <w:rFonts w:cs="Arial"/>
                <w:b/>
                <w:color w:val="000000"/>
                <w:sz w:val="22"/>
                <w:szCs w:val="22"/>
                <w:lang w:eastAsia="en-AU"/>
              </w:rPr>
            </w:pPr>
            <w:r w:rsidRPr="00C5319C">
              <w:rPr>
                <w:rFonts w:cs="Arial"/>
                <w:b/>
                <w:color w:val="000000"/>
                <w:sz w:val="22"/>
                <w:szCs w:val="22"/>
                <w:lang w:eastAsia="en-AU"/>
              </w:rPr>
              <w:t>194,438</w:t>
            </w:r>
          </w:p>
        </w:tc>
      </w:tr>
      <w:tr w:rsidR="00245BD8" w:rsidRPr="00E200DC" w14:paraId="5EA7362D" w14:textId="77777777" w:rsidTr="00245BD8">
        <w:trPr>
          <w:trHeight w:val="958"/>
        </w:trPr>
        <w:tc>
          <w:tcPr>
            <w:tcW w:w="4214" w:type="dxa"/>
            <w:tcBorders>
              <w:top w:val="nil"/>
              <w:left w:val="nil"/>
              <w:bottom w:val="nil"/>
              <w:right w:val="nil"/>
            </w:tcBorders>
            <w:shd w:val="clear" w:color="auto" w:fill="auto"/>
            <w:vAlign w:val="bottom"/>
            <w:hideMark/>
          </w:tcPr>
          <w:p w14:paraId="5EA73628" w14:textId="77777777" w:rsidR="00245BD8" w:rsidRPr="00E200DC" w:rsidRDefault="00245BD8" w:rsidP="00E200DC">
            <w:pPr>
              <w:rPr>
                <w:rFonts w:cs="Arial"/>
                <w:color w:val="000000"/>
                <w:sz w:val="22"/>
                <w:szCs w:val="22"/>
                <w:lang w:eastAsia="en-AU"/>
              </w:rPr>
            </w:pPr>
            <w:r w:rsidRPr="00E200DC">
              <w:rPr>
                <w:rFonts w:cs="Arial"/>
                <w:color w:val="000000"/>
                <w:sz w:val="22"/>
                <w:szCs w:val="22"/>
                <w:lang w:eastAsia="en-AU"/>
              </w:rPr>
              <w:t>Adjustment for impairment loss on available for sale investments recognised as an expense in the current year</w:t>
            </w:r>
          </w:p>
        </w:tc>
        <w:tc>
          <w:tcPr>
            <w:tcW w:w="1192" w:type="dxa"/>
            <w:tcBorders>
              <w:top w:val="nil"/>
              <w:left w:val="nil"/>
              <w:bottom w:val="nil"/>
              <w:right w:val="nil"/>
            </w:tcBorders>
            <w:shd w:val="clear" w:color="auto" w:fill="auto"/>
            <w:noWrap/>
            <w:vAlign w:val="bottom"/>
          </w:tcPr>
          <w:p w14:paraId="5EA73629" w14:textId="59093AD4"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073" w:type="dxa"/>
            <w:tcBorders>
              <w:top w:val="nil"/>
              <w:left w:val="nil"/>
              <w:bottom w:val="nil"/>
              <w:right w:val="nil"/>
            </w:tcBorders>
            <w:shd w:val="clear" w:color="auto" w:fill="auto"/>
            <w:noWrap/>
            <w:vAlign w:val="bottom"/>
          </w:tcPr>
          <w:p w14:paraId="5EA7362A" w14:textId="61C21BC1"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463" w:type="dxa"/>
            <w:tcBorders>
              <w:top w:val="nil"/>
              <w:left w:val="nil"/>
              <w:bottom w:val="nil"/>
              <w:right w:val="nil"/>
            </w:tcBorders>
            <w:shd w:val="clear" w:color="auto" w:fill="auto"/>
            <w:noWrap/>
            <w:vAlign w:val="bottom"/>
          </w:tcPr>
          <w:p w14:paraId="5EA7362B" w14:textId="77777777" w:rsidR="00245BD8" w:rsidRPr="00E200DC" w:rsidRDefault="00245BD8" w:rsidP="00C84E5B">
            <w:pPr>
              <w:jc w:val="right"/>
              <w:rPr>
                <w:rFonts w:cs="Arial"/>
                <w:color w:val="000000"/>
                <w:sz w:val="22"/>
                <w:szCs w:val="22"/>
                <w:lang w:eastAsia="en-AU"/>
              </w:rPr>
            </w:pPr>
            <w:r>
              <w:rPr>
                <w:rFonts w:cs="Arial"/>
                <w:color w:val="000000"/>
                <w:sz w:val="22"/>
                <w:szCs w:val="22"/>
                <w:lang w:eastAsia="en-AU"/>
              </w:rPr>
              <w:t>244</w:t>
            </w:r>
          </w:p>
        </w:tc>
        <w:tc>
          <w:tcPr>
            <w:tcW w:w="1193" w:type="dxa"/>
            <w:tcBorders>
              <w:top w:val="nil"/>
              <w:left w:val="nil"/>
              <w:bottom w:val="nil"/>
              <w:right w:val="nil"/>
            </w:tcBorders>
            <w:shd w:val="clear" w:color="000000" w:fill="BFBFBF" w:themeFill="background1" w:themeFillShade="BF"/>
            <w:vAlign w:val="bottom"/>
          </w:tcPr>
          <w:p w14:paraId="5EA7362C"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244</w:t>
            </w:r>
          </w:p>
        </w:tc>
      </w:tr>
      <w:tr w:rsidR="00245BD8" w:rsidRPr="00E200DC" w14:paraId="5EA73633" w14:textId="77777777" w:rsidTr="00245BD8">
        <w:trPr>
          <w:trHeight w:val="880"/>
        </w:trPr>
        <w:tc>
          <w:tcPr>
            <w:tcW w:w="4214" w:type="dxa"/>
            <w:tcBorders>
              <w:top w:val="nil"/>
              <w:left w:val="nil"/>
              <w:bottom w:val="nil"/>
              <w:right w:val="nil"/>
            </w:tcBorders>
            <w:shd w:val="clear" w:color="auto" w:fill="auto"/>
            <w:vAlign w:val="bottom"/>
            <w:hideMark/>
          </w:tcPr>
          <w:p w14:paraId="5EA7362E" w14:textId="5287FEE4" w:rsidR="00245BD8" w:rsidRPr="00E200DC" w:rsidRDefault="00245BD8" w:rsidP="00E200DC">
            <w:pPr>
              <w:rPr>
                <w:rFonts w:cs="Arial"/>
                <w:color w:val="000000"/>
                <w:sz w:val="22"/>
                <w:szCs w:val="22"/>
                <w:lang w:eastAsia="en-AU"/>
              </w:rPr>
            </w:pPr>
            <w:r w:rsidRPr="0037207C">
              <w:rPr>
                <w:rFonts w:cs="Arial"/>
                <w:color w:val="000000"/>
                <w:sz w:val="22"/>
                <w:szCs w:val="22"/>
                <w:lang w:eastAsia="en-AU"/>
              </w:rPr>
              <w:t xml:space="preserve">Impairment loss derecognised on disposal of available for sale </w:t>
            </w:r>
            <w:r w:rsidRPr="00E200DC" w:rsidDel="00FD6CA3">
              <w:rPr>
                <w:rFonts w:cs="Arial"/>
                <w:color w:val="000000"/>
                <w:sz w:val="22"/>
                <w:szCs w:val="22"/>
                <w:lang w:eastAsia="en-AU"/>
              </w:rPr>
              <w:t>investments</w:t>
            </w:r>
          </w:p>
        </w:tc>
        <w:tc>
          <w:tcPr>
            <w:tcW w:w="1192" w:type="dxa"/>
            <w:tcBorders>
              <w:top w:val="nil"/>
              <w:left w:val="nil"/>
              <w:bottom w:val="nil"/>
              <w:right w:val="nil"/>
            </w:tcBorders>
            <w:shd w:val="clear" w:color="auto" w:fill="auto"/>
            <w:noWrap/>
            <w:vAlign w:val="bottom"/>
          </w:tcPr>
          <w:p w14:paraId="5EA7362F" w14:textId="724FC61C"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073" w:type="dxa"/>
            <w:tcBorders>
              <w:top w:val="nil"/>
              <w:left w:val="nil"/>
              <w:bottom w:val="nil"/>
              <w:right w:val="nil"/>
            </w:tcBorders>
            <w:shd w:val="clear" w:color="auto" w:fill="auto"/>
            <w:noWrap/>
            <w:vAlign w:val="bottom"/>
          </w:tcPr>
          <w:p w14:paraId="5EA73630" w14:textId="446F9039"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463" w:type="dxa"/>
            <w:tcBorders>
              <w:top w:val="nil"/>
              <w:left w:val="nil"/>
              <w:bottom w:val="nil"/>
              <w:right w:val="nil"/>
            </w:tcBorders>
            <w:shd w:val="clear" w:color="auto" w:fill="auto"/>
            <w:noWrap/>
            <w:vAlign w:val="bottom"/>
          </w:tcPr>
          <w:p w14:paraId="5EA73631"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(935)</w:t>
            </w:r>
          </w:p>
        </w:tc>
        <w:tc>
          <w:tcPr>
            <w:tcW w:w="1193" w:type="dxa"/>
            <w:tcBorders>
              <w:top w:val="nil"/>
              <w:left w:val="nil"/>
              <w:bottom w:val="nil"/>
              <w:right w:val="nil"/>
            </w:tcBorders>
            <w:shd w:val="clear" w:color="000000" w:fill="BFBFBF" w:themeFill="background1" w:themeFillShade="BF"/>
            <w:vAlign w:val="bottom"/>
          </w:tcPr>
          <w:p w14:paraId="5EA73632"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(935)</w:t>
            </w:r>
          </w:p>
        </w:tc>
      </w:tr>
      <w:tr w:rsidR="00245BD8" w:rsidRPr="00E200DC" w14:paraId="5EA7363F" w14:textId="77777777" w:rsidTr="00245BD8">
        <w:trPr>
          <w:trHeight w:val="344"/>
        </w:trPr>
        <w:tc>
          <w:tcPr>
            <w:tcW w:w="4214" w:type="dxa"/>
            <w:tcBorders>
              <w:top w:val="nil"/>
              <w:left w:val="nil"/>
              <w:bottom w:val="nil"/>
              <w:right w:val="nil"/>
            </w:tcBorders>
            <w:shd w:val="clear" w:color="auto" w:fill="auto"/>
            <w:vAlign w:val="bottom"/>
            <w:hideMark/>
          </w:tcPr>
          <w:p w14:paraId="5EA7363A" w14:textId="77777777" w:rsidR="00245BD8" w:rsidRPr="00E200DC" w:rsidRDefault="00245BD8" w:rsidP="00E200DC">
            <w:pPr>
              <w:rPr>
                <w:rFonts w:cs="Arial"/>
                <w:color w:val="000000"/>
                <w:sz w:val="22"/>
                <w:szCs w:val="22"/>
                <w:lang w:eastAsia="en-AU"/>
              </w:rPr>
            </w:pPr>
            <w:r w:rsidRPr="00E200DC">
              <w:rPr>
                <w:rFonts w:cs="Arial"/>
                <w:color w:val="000000"/>
                <w:sz w:val="22"/>
                <w:szCs w:val="22"/>
                <w:lang w:eastAsia="en-AU"/>
              </w:rPr>
              <w:t>Transfer of endowment fund to general reserve</w:t>
            </w:r>
          </w:p>
        </w:tc>
        <w:tc>
          <w:tcPr>
            <w:tcW w:w="1192" w:type="dxa"/>
            <w:tcBorders>
              <w:top w:val="nil"/>
              <w:left w:val="nil"/>
              <w:bottom w:val="nil"/>
              <w:right w:val="nil"/>
            </w:tcBorders>
            <w:shd w:val="clear" w:color="auto" w:fill="auto"/>
            <w:noWrap/>
            <w:vAlign w:val="bottom"/>
          </w:tcPr>
          <w:p w14:paraId="5EA7363B"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(447)</w:t>
            </w:r>
          </w:p>
        </w:tc>
        <w:tc>
          <w:tcPr>
            <w:tcW w:w="1073" w:type="dxa"/>
            <w:tcBorders>
              <w:top w:val="nil"/>
              <w:left w:val="nil"/>
              <w:bottom w:val="nil"/>
              <w:right w:val="nil"/>
            </w:tcBorders>
            <w:shd w:val="clear" w:color="auto" w:fill="auto"/>
            <w:noWrap/>
            <w:vAlign w:val="bottom"/>
          </w:tcPr>
          <w:p w14:paraId="5EA7363C"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447</w:t>
            </w:r>
          </w:p>
        </w:tc>
        <w:tc>
          <w:tcPr>
            <w:tcW w:w="1463" w:type="dxa"/>
            <w:tcBorders>
              <w:top w:val="nil"/>
              <w:left w:val="nil"/>
              <w:bottom w:val="nil"/>
              <w:right w:val="nil"/>
            </w:tcBorders>
            <w:shd w:val="clear" w:color="auto" w:fill="auto"/>
            <w:noWrap/>
            <w:vAlign w:val="bottom"/>
          </w:tcPr>
          <w:p w14:paraId="5EA7363D" w14:textId="62BBC246"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193" w:type="dxa"/>
            <w:tcBorders>
              <w:top w:val="nil"/>
              <w:left w:val="nil"/>
              <w:bottom w:val="nil"/>
              <w:right w:val="nil"/>
            </w:tcBorders>
            <w:shd w:val="clear" w:color="000000" w:fill="BFBFBF" w:themeFill="background1" w:themeFillShade="BF"/>
            <w:vAlign w:val="bottom"/>
          </w:tcPr>
          <w:p w14:paraId="5EA7363E" w14:textId="5319AF43"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r>
      <w:tr w:rsidR="00245BD8" w:rsidRPr="00E200DC" w14:paraId="5EA7364B" w14:textId="77777777" w:rsidTr="00245BD8">
        <w:trPr>
          <w:trHeight w:val="359"/>
        </w:trPr>
        <w:tc>
          <w:tcPr>
            <w:tcW w:w="4214" w:type="dxa"/>
            <w:tcBorders>
              <w:top w:val="nil"/>
              <w:left w:val="nil"/>
              <w:bottom w:val="nil"/>
              <w:right w:val="nil"/>
            </w:tcBorders>
            <w:shd w:val="clear" w:color="auto" w:fill="auto"/>
            <w:vAlign w:val="bottom"/>
            <w:hideMark/>
          </w:tcPr>
          <w:p w14:paraId="5EA73646" w14:textId="464A577B" w:rsidR="00245BD8" w:rsidRPr="00E200DC" w:rsidRDefault="00245BD8" w:rsidP="00E200DC">
            <w:pPr>
              <w:rPr>
                <w:rFonts w:cs="Arial"/>
                <w:color w:val="000000"/>
                <w:sz w:val="22"/>
                <w:szCs w:val="22"/>
                <w:lang w:eastAsia="en-AU"/>
              </w:rPr>
            </w:pPr>
            <w:r w:rsidRPr="0037207C">
              <w:rPr>
                <w:rFonts w:cs="Arial"/>
                <w:color w:val="000000"/>
                <w:sz w:val="22"/>
                <w:szCs w:val="22"/>
                <w:lang w:eastAsia="en-AU"/>
              </w:rPr>
              <w:t xml:space="preserve">Mark to market revaluation on available for sale </w:t>
            </w:r>
            <w:r w:rsidRPr="00E200DC" w:rsidDel="00FD6CA3">
              <w:rPr>
                <w:rFonts w:cs="Arial"/>
                <w:color w:val="000000"/>
                <w:sz w:val="22"/>
                <w:szCs w:val="22"/>
                <w:lang w:eastAsia="en-AU"/>
              </w:rPr>
              <w:t>investments</w:t>
            </w:r>
          </w:p>
        </w:tc>
        <w:tc>
          <w:tcPr>
            <w:tcW w:w="1192" w:type="dxa"/>
            <w:tcBorders>
              <w:top w:val="nil"/>
              <w:left w:val="nil"/>
              <w:bottom w:val="single" w:sz="4" w:space="0" w:color="auto"/>
              <w:right w:val="nil"/>
            </w:tcBorders>
            <w:shd w:val="clear" w:color="auto" w:fill="auto"/>
            <w:noWrap/>
            <w:vAlign w:val="bottom"/>
          </w:tcPr>
          <w:p w14:paraId="5EA73647" w14:textId="2DBAC635"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073" w:type="dxa"/>
            <w:tcBorders>
              <w:top w:val="nil"/>
              <w:left w:val="nil"/>
              <w:bottom w:val="single" w:sz="4" w:space="0" w:color="auto"/>
              <w:right w:val="nil"/>
            </w:tcBorders>
            <w:shd w:val="clear" w:color="auto" w:fill="auto"/>
            <w:noWrap/>
            <w:vAlign w:val="bottom"/>
          </w:tcPr>
          <w:p w14:paraId="5EA73648" w14:textId="2398AA79"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463" w:type="dxa"/>
            <w:tcBorders>
              <w:top w:val="nil"/>
              <w:left w:val="nil"/>
              <w:bottom w:val="single" w:sz="4" w:space="0" w:color="auto"/>
              <w:right w:val="nil"/>
            </w:tcBorders>
            <w:shd w:val="clear" w:color="auto" w:fill="auto"/>
            <w:noWrap/>
            <w:vAlign w:val="bottom"/>
          </w:tcPr>
          <w:p w14:paraId="5EA73649" w14:textId="77777777" w:rsidR="00245BD8" w:rsidRPr="00E200DC" w:rsidRDefault="00245BD8" w:rsidP="00C84E5B">
            <w:pPr>
              <w:jc w:val="right"/>
              <w:rPr>
                <w:rFonts w:cs="Arial"/>
                <w:color w:val="000000"/>
                <w:sz w:val="22"/>
                <w:szCs w:val="22"/>
                <w:lang w:eastAsia="en-AU"/>
              </w:rPr>
            </w:pPr>
            <w:r>
              <w:rPr>
                <w:rFonts w:cs="Arial"/>
                <w:color w:val="000000"/>
                <w:sz w:val="22"/>
                <w:szCs w:val="22"/>
                <w:lang w:eastAsia="en-AU"/>
              </w:rPr>
              <w:t>(3,166)</w:t>
            </w:r>
          </w:p>
        </w:tc>
        <w:tc>
          <w:tcPr>
            <w:tcW w:w="1193" w:type="dxa"/>
            <w:tcBorders>
              <w:top w:val="nil"/>
              <w:left w:val="nil"/>
              <w:bottom w:val="single" w:sz="4" w:space="0" w:color="auto"/>
              <w:right w:val="nil"/>
            </w:tcBorders>
            <w:shd w:val="clear" w:color="000000" w:fill="BFBFBF" w:themeFill="background1" w:themeFillShade="BF"/>
            <w:vAlign w:val="bottom"/>
          </w:tcPr>
          <w:p w14:paraId="5EA7364A" w14:textId="77777777" w:rsidR="00245BD8" w:rsidRPr="00E200DC" w:rsidRDefault="00245BD8" w:rsidP="00C84E5B">
            <w:pPr>
              <w:jc w:val="right"/>
              <w:rPr>
                <w:rFonts w:cs="Arial"/>
                <w:color w:val="000000"/>
                <w:sz w:val="22"/>
                <w:szCs w:val="22"/>
                <w:lang w:eastAsia="en-AU"/>
              </w:rPr>
            </w:pPr>
            <w:r>
              <w:rPr>
                <w:rFonts w:cs="Arial"/>
                <w:color w:val="000000"/>
                <w:sz w:val="22"/>
                <w:szCs w:val="22"/>
                <w:lang w:eastAsia="en-AU"/>
              </w:rPr>
              <w:t>(3,166)</w:t>
            </w:r>
          </w:p>
        </w:tc>
      </w:tr>
      <w:tr w:rsidR="00E200DC" w:rsidRPr="00E200DC" w14:paraId="5EA73651" w14:textId="77777777" w:rsidTr="00245BD8">
        <w:trPr>
          <w:trHeight w:val="419"/>
        </w:trPr>
        <w:tc>
          <w:tcPr>
            <w:tcW w:w="4214" w:type="dxa"/>
            <w:tcBorders>
              <w:top w:val="nil"/>
              <w:left w:val="nil"/>
              <w:bottom w:val="nil"/>
              <w:right w:val="nil"/>
            </w:tcBorders>
            <w:shd w:val="clear" w:color="auto" w:fill="auto"/>
            <w:vAlign w:val="bottom"/>
            <w:hideMark/>
          </w:tcPr>
          <w:p w14:paraId="5EA7364C" w14:textId="77777777" w:rsidR="00E200DC" w:rsidRPr="00E200DC" w:rsidRDefault="00E200DC" w:rsidP="00E200DC">
            <w:pPr>
              <w:rPr>
                <w:rFonts w:cs="Arial"/>
                <w:color w:val="000000"/>
                <w:sz w:val="22"/>
                <w:szCs w:val="22"/>
                <w:lang w:eastAsia="en-AU"/>
              </w:rPr>
            </w:pPr>
            <w:r w:rsidRPr="00E200DC">
              <w:rPr>
                <w:rFonts w:cs="Arial"/>
                <w:color w:val="000000"/>
                <w:sz w:val="22"/>
                <w:szCs w:val="22"/>
                <w:lang w:eastAsia="en-AU"/>
              </w:rPr>
              <w:t>Other Comprehensive Income</w:t>
            </w:r>
          </w:p>
        </w:tc>
        <w:tc>
          <w:tcPr>
            <w:tcW w:w="1192" w:type="dxa"/>
            <w:tcBorders>
              <w:top w:val="nil"/>
              <w:left w:val="nil"/>
              <w:bottom w:val="nil"/>
              <w:right w:val="nil"/>
            </w:tcBorders>
            <w:shd w:val="clear" w:color="auto" w:fill="auto"/>
            <w:noWrap/>
            <w:vAlign w:val="bottom"/>
          </w:tcPr>
          <w:p w14:paraId="5EA7364D" w14:textId="77777777" w:rsidR="00E200DC" w:rsidRPr="00E200DC" w:rsidRDefault="00F561B2" w:rsidP="00E200DC">
            <w:pPr>
              <w:jc w:val="right"/>
              <w:rPr>
                <w:rFonts w:cs="Arial"/>
                <w:color w:val="000000"/>
                <w:sz w:val="22"/>
                <w:szCs w:val="22"/>
                <w:lang w:eastAsia="en-AU"/>
              </w:rPr>
            </w:pPr>
            <w:r>
              <w:rPr>
                <w:rFonts w:cs="Arial"/>
                <w:color w:val="000000"/>
                <w:sz w:val="22"/>
                <w:szCs w:val="22"/>
                <w:lang w:eastAsia="en-AU"/>
              </w:rPr>
              <w:t>(447)</w:t>
            </w:r>
          </w:p>
        </w:tc>
        <w:tc>
          <w:tcPr>
            <w:tcW w:w="1073" w:type="dxa"/>
            <w:tcBorders>
              <w:top w:val="nil"/>
              <w:left w:val="nil"/>
              <w:bottom w:val="nil"/>
              <w:right w:val="nil"/>
            </w:tcBorders>
            <w:shd w:val="clear" w:color="auto" w:fill="auto"/>
            <w:noWrap/>
            <w:vAlign w:val="bottom"/>
          </w:tcPr>
          <w:p w14:paraId="5EA7364E" w14:textId="77777777" w:rsidR="00E200DC" w:rsidRPr="00E200DC" w:rsidRDefault="00F561B2" w:rsidP="00E200DC">
            <w:pPr>
              <w:jc w:val="right"/>
              <w:rPr>
                <w:rFonts w:cs="Arial"/>
                <w:color w:val="000000"/>
                <w:sz w:val="22"/>
                <w:szCs w:val="22"/>
                <w:lang w:eastAsia="en-AU"/>
              </w:rPr>
            </w:pPr>
            <w:r>
              <w:rPr>
                <w:rFonts w:cs="Arial"/>
                <w:color w:val="000000"/>
                <w:sz w:val="22"/>
                <w:szCs w:val="22"/>
                <w:lang w:eastAsia="en-AU"/>
              </w:rPr>
              <w:t>447</w:t>
            </w:r>
          </w:p>
        </w:tc>
        <w:tc>
          <w:tcPr>
            <w:tcW w:w="1463" w:type="dxa"/>
            <w:tcBorders>
              <w:top w:val="nil"/>
              <w:left w:val="nil"/>
              <w:bottom w:val="nil"/>
              <w:right w:val="nil"/>
            </w:tcBorders>
            <w:shd w:val="clear" w:color="auto" w:fill="auto"/>
            <w:noWrap/>
            <w:vAlign w:val="bottom"/>
          </w:tcPr>
          <w:p w14:paraId="5EA7364F" w14:textId="77777777" w:rsidR="00E200DC" w:rsidRPr="00E200DC" w:rsidRDefault="00F561B2" w:rsidP="00C84E5B">
            <w:pPr>
              <w:jc w:val="right"/>
              <w:rPr>
                <w:rFonts w:cs="Arial"/>
                <w:color w:val="000000"/>
                <w:sz w:val="22"/>
                <w:szCs w:val="22"/>
                <w:lang w:eastAsia="en-AU"/>
              </w:rPr>
            </w:pPr>
            <w:r>
              <w:rPr>
                <w:rFonts w:cs="Arial"/>
                <w:color w:val="000000"/>
                <w:sz w:val="22"/>
                <w:szCs w:val="22"/>
                <w:lang w:eastAsia="en-AU"/>
              </w:rPr>
              <w:t>(3,</w:t>
            </w:r>
            <w:r w:rsidR="00C84E5B">
              <w:rPr>
                <w:rFonts w:cs="Arial"/>
                <w:color w:val="000000"/>
                <w:sz w:val="22"/>
                <w:szCs w:val="22"/>
                <w:lang w:eastAsia="en-AU"/>
              </w:rPr>
              <w:t>857</w:t>
            </w:r>
            <w:r>
              <w:rPr>
                <w:rFonts w:cs="Arial"/>
                <w:color w:val="000000"/>
                <w:sz w:val="22"/>
                <w:szCs w:val="22"/>
                <w:lang w:eastAsia="en-AU"/>
              </w:rPr>
              <w:t>)</w:t>
            </w:r>
          </w:p>
        </w:tc>
        <w:tc>
          <w:tcPr>
            <w:tcW w:w="1193" w:type="dxa"/>
            <w:tcBorders>
              <w:top w:val="nil"/>
              <w:left w:val="nil"/>
              <w:bottom w:val="nil"/>
              <w:right w:val="nil"/>
            </w:tcBorders>
            <w:shd w:val="clear" w:color="000000" w:fill="BFBFBF" w:themeFill="background1" w:themeFillShade="BF"/>
            <w:vAlign w:val="bottom"/>
          </w:tcPr>
          <w:p w14:paraId="5EA73650" w14:textId="77777777" w:rsidR="00E200DC" w:rsidRPr="00E200DC" w:rsidRDefault="00F561B2" w:rsidP="00C84E5B">
            <w:pPr>
              <w:jc w:val="right"/>
              <w:rPr>
                <w:rFonts w:cs="Arial"/>
                <w:color w:val="000000"/>
                <w:sz w:val="22"/>
                <w:szCs w:val="22"/>
                <w:lang w:eastAsia="en-AU"/>
              </w:rPr>
            </w:pPr>
            <w:r>
              <w:rPr>
                <w:rFonts w:cs="Arial"/>
                <w:color w:val="000000"/>
                <w:sz w:val="22"/>
                <w:szCs w:val="22"/>
                <w:lang w:eastAsia="en-AU"/>
              </w:rPr>
              <w:t>(3,</w:t>
            </w:r>
            <w:r w:rsidR="00C84E5B">
              <w:rPr>
                <w:rFonts w:cs="Arial"/>
                <w:color w:val="000000"/>
                <w:sz w:val="22"/>
                <w:szCs w:val="22"/>
                <w:lang w:eastAsia="en-AU"/>
              </w:rPr>
              <w:t>857</w:t>
            </w:r>
            <w:r>
              <w:rPr>
                <w:rFonts w:cs="Arial"/>
                <w:color w:val="000000"/>
                <w:sz w:val="22"/>
                <w:szCs w:val="22"/>
                <w:lang w:eastAsia="en-AU"/>
              </w:rPr>
              <w:t>)</w:t>
            </w:r>
          </w:p>
        </w:tc>
      </w:tr>
      <w:tr w:rsidR="00245BD8" w:rsidRPr="00E200DC" w14:paraId="5EA73657" w14:textId="77777777" w:rsidTr="00245BD8">
        <w:trPr>
          <w:trHeight w:val="509"/>
        </w:trPr>
        <w:tc>
          <w:tcPr>
            <w:tcW w:w="4214" w:type="dxa"/>
            <w:tcBorders>
              <w:top w:val="nil"/>
              <w:left w:val="nil"/>
              <w:bottom w:val="nil"/>
              <w:right w:val="nil"/>
            </w:tcBorders>
            <w:shd w:val="clear" w:color="auto" w:fill="auto"/>
            <w:vAlign w:val="bottom"/>
            <w:hideMark/>
          </w:tcPr>
          <w:p w14:paraId="5EA73652" w14:textId="77777777" w:rsidR="00245BD8" w:rsidRPr="00E200DC" w:rsidRDefault="00245BD8" w:rsidP="00E200DC">
            <w:pPr>
              <w:rPr>
                <w:rFonts w:cs="Arial"/>
                <w:color w:val="000000"/>
                <w:sz w:val="22"/>
                <w:szCs w:val="22"/>
                <w:lang w:eastAsia="en-AU"/>
              </w:rPr>
            </w:pPr>
            <w:r w:rsidRPr="00E200DC">
              <w:rPr>
                <w:rFonts w:cs="Arial"/>
                <w:color w:val="000000"/>
                <w:sz w:val="22"/>
                <w:szCs w:val="22"/>
                <w:lang w:eastAsia="en-AU"/>
              </w:rPr>
              <w:t>Surplus for the year</w:t>
            </w:r>
          </w:p>
        </w:tc>
        <w:tc>
          <w:tcPr>
            <w:tcW w:w="1192" w:type="dxa"/>
            <w:tcBorders>
              <w:top w:val="nil"/>
              <w:left w:val="nil"/>
              <w:bottom w:val="single" w:sz="4" w:space="0" w:color="auto"/>
              <w:right w:val="nil"/>
            </w:tcBorders>
            <w:shd w:val="clear" w:color="auto" w:fill="auto"/>
            <w:vAlign w:val="bottom"/>
          </w:tcPr>
          <w:p w14:paraId="5EA73653"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10,259</w:t>
            </w:r>
          </w:p>
        </w:tc>
        <w:tc>
          <w:tcPr>
            <w:tcW w:w="1073" w:type="dxa"/>
            <w:tcBorders>
              <w:top w:val="nil"/>
              <w:left w:val="nil"/>
              <w:bottom w:val="single" w:sz="4" w:space="0" w:color="auto"/>
              <w:right w:val="nil"/>
            </w:tcBorders>
            <w:shd w:val="clear" w:color="auto" w:fill="auto"/>
            <w:noWrap/>
            <w:vAlign w:val="bottom"/>
          </w:tcPr>
          <w:p w14:paraId="5EA73654" w14:textId="66853C34"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463" w:type="dxa"/>
            <w:tcBorders>
              <w:top w:val="nil"/>
              <w:left w:val="nil"/>
              <w:bottom w:val="nil"/>
              <w:right w:val="nil"/>
            </w:tcBorders>
            <w:shd w:val="clear" w:color="auto" w:fill="auto"/>
            <w:noWrap/>
            <w:vAlign w:val="bottom"/>
          </w:tcPr>
          <w:p w14:paraId="5EA73655" w14:textId="7BC66B5E" w:rsidR="00245BD8" w:rsidRPr="00E200DC" w:rsidRDefault="00245BD8" w:rsidP="00E200DC">
            <w:pPr>
              <w:jc w:val="right"/>
              <w:rPr>
                <w:rFonts w:cs="Arial"/>
                <w:color w:val="000000"/>
                <w:sz w:val="22"/>
                <w:szCs w:val="22"/>
                <w:lang w:eastAsia="en-AU"/>
              </w:rPr>
            </w:pPr>
            <w:r>
              <w:rPr>
                <w:rFonts w:cs="Arial"/>
                <w:color w:val="000000"/>
                <w:sz w:val="22"/>
                <w:szCs w:val="22"/>
                <w:lang w:eastAsia="en-AU"/>
              </w:rPr>
              <w:t>Nil</w:t>
            </w:r>
          </w:p>
        </w:tc>
        <w:tc>
          <w:tcPr>
            <w:tcW w:w="1193" w:type="dxa"/>
            <w:tcBorders>
              <w:top w:val="nil"/>
              <w:left w:val="nil"/>
              <w:bottom w:val="single" w:sz="4" w:space="0" w:color="auto"/>
              <w:right w:val="nil"/>
            </w:tcBorders>
            <w:shd w:val="clear" w:color="000000" w:fill="BFBFBF" w:themeFill="background1" w:themeFillShade="BF"/>
            <w:vAlign w:val="bottom"/>
          </w:tcPr>
          <w:p w14:paraId="5EA73656" w14:textId="77777777" w:rsidR="00245BD8" w:rsidRPr="00E200DC" w:rsidRDefault="00245BD8" w:rsidP="00E200DC">
            <w:pPr>
              <w:jc w:val="right"/>
              <w:rPr>
                <w:rFonts w:cs="Arial"/>
                <w:color w:val="000000"/>
                <w:sz w:val="22"/>
                <w:szCs w:val="22"/>
                <w:lang w:eastAsia="en-AU"/>
              </w:rPr>
            </w:pPr>
            <w:r>
              <w:rPr>
                <w:rFonts w:cs="Arial"/>
                <w:color w:val="000000"/>
                <w:sz w:val="22"/>
                <w:szCs w:val="22"/>
                <w:lang w:eastAsia="en-AU"/>
              </w:rPr>
              <w:t>10,259</w:t>
            </w:r>
          </w:p>
        </w:tc>
      </w:tr>
      <w:tr w:rsidR="00E200DC" w:rsidRPr="00E200DC" w14:paraId="5EA7365D" w14:textId="77777777" w:rsidTr="00245BD8">
        <w:trPr>
          <w:trHeight w:val="299"/>
        </w:trPr>
        <w:tc>
          <w:tcPr>
            <w:tcW w:w="4214" w:type="dxa"/>
            <w:tcBorders>
              <w:top w:val="nil"/>
              <w:left w:val="nil"/>
              <w:bottom w:val="nil"/>
              <w:right w:val="nil"/>
            </w:tcBorders>
            <w:shd w:val="clear" w:color="auto" w:fill="auto"/>
            <w:vAlign w:val="bottom"/>
            <w:hideMark/>
          </w:tcPr>
          <w:p w14:paraId="5EA73658" w14:textId="77777777" w:rsidR="00E200DC" w:rsidRPr="00E200DC" w:rsidRDefault="00E200DC" w:rsidP="00E200DC">
            <w:pPr>
              <w:rPr>
                <w:rFonts w:cs="Arial"/>
                <w:color w:val="000000"/>
                <w:sz w:val="22"/>
                <w:szCs w:val="22"/>
                <w:lang w:eastAsia="en-AU"/>
              </w:rPr>
            </w:pPr>
            <w:r w:rsidRPr="00E200DC">
              <w:rPr>
                <w:rFonts w:cs="Arial"/>
                <w:color w:val="000000"/>
                <w:sz w:val="22"/>
                <w:szCs w:val="22"/>
                <w:lang w:eastAsia="en-AU"/>
              </w:rPr>
              <w:t>Total comprehensive income for the year</w:t>
            </w:r>
          </w:p>
        </w:tc>
        <w:tc>
          <w:tcPr>
            <w:tcW w:w="1192" w:type="dxa"/>
            <w:tcBorders>
              <w:top w:val="nil"/>
              <w:left w:val="nil"/>
              <w:bottom w:val="single" w:sz="8" w:space="0" w:color="auto"/>
              <w:right w:val="nil"/>
            </w:tcBorders>
            <w:shd w:val="clear" w:color="auto" w:fill="auto"/>
            <w:vAlign w:val="bottom"/>
          </w:tcPr>
          <w:p w14:paraId="5EA73659" w14:textId="77777777" w:rsidR="00E200DC" w:rsidRPr="00E200DC" w:rsidRDefault="00C84E5B" w:rsidP="00E200DC">
            <w:pPr>
              <w:jc w:val="right"/>
              <w:rPr>
                <w:rFonts w:cs="Arial"/>
                <w:color w:val="000000"/>
                <w:sz w:val="22"/>
                <w:szCs w:val="22"/>
                <w:lang w:eastAsia="en-AU"/>
              </w:rPr>
            </w:pPr>
            <w:r>
              <w:rPr>
                <w:rFonts w:cs="Arial"/>
                <w:color w:val="000000"/>
                <w:sz w:val="22"/>
                <w:szCs w:val="22"/>
                <w:lang w:eastAsia="en-AU"/>
              </w:rPr>
              <w:t>9,812</w:t>
            </w:r>
          </w:p>
        </w:tc>
        <w:tc>
          <w:tcPr>
            <w:tcW w:w="1073" w:type="dxa"/>
            <w:tcBorders>
              <w:top w:val="nil"/>
              <w:left w:val="nil"/>
              <w:bottom w:val="single" w:sz="4" w:space="0" w:color="auto"/>
              <w:right w:val="nil"/>
            </w:tcBorders>
            <w:shd w:val="clear" w:color="auto" w:fill="auto"/>
            <w:noWrap/>
            <w:vAlign w:val="bottom"/>
          </w:tcPr>
          <w:p w14:paraId="5EA7365A" w14:textId="77777777" w:rsidR="00E200DC" w:rsidRPr="00E200DC" w:rsidRDefault="00F561B2" w:rsidP="00E200DC">
            <w:pPr>
              <w:jc w:val="right"/>
              <w:rPr>
                <w:rFonts w:cs="Arial"/>
                <w:color w:val="000000"/>
                <w:sz w:val="22"/>
                <w:szCs w:val="22"/>
                <w:lang w:eastAsia="en-AU"/>
              </w:rPr>
            </w:pPr>
            <w:r>
              <w:rPr>
                <w:rFonts w:cs="Arial"/>
                <w:color w:val="000000"/>
                <w:sz w:val="22"/>
                <w:szCs w:val="22"/>
                <w:lang w:eastAsia="en-AU"/>
              </w:rPr>
              <w:t>447</w:t>
            </w:r>
          </w:p>
        </w:tc>
        <w:tc>
          <w:tcPr>
            <w:tcW w:w="1463" w:type="dxa"/>
            <w:tcBorders>
              <w:top w:val="single" w:sz="4" w:space="0" w:color="auto"/>
              <w:left w:val="nil"/>
              <w:bottom w:val="single" w:sz="8" w:space="0" w:color="auto"/>
              <w:right w:val="nil"/>
            </w:tcBorders>
            <w:shd w:val="clear" w:color="auto" w:fill="auto"/>
            <w:vAlign w:val="bottom"/>
          </w:tcPr>
          <w:p w14:paraId="5EA7365B" w14:textId="77777777" w:rsidR="00E200DC" w:rsidRPr="00E200DC" w:rsidRDefault="00F561B2" w:rsidP="00C84E5B">
            <w:pPr>
              <w:jc w:val="right"/>
              <w:rPr>
                <w:rFonts w:cs="Arial"/>
                <w:color w:val="000000"/>
                <w:sz w:val="22"/>
                <w:szCs w:val="22"/>
                <w:lang w:eastAsia="en-AU"/>
              </w:rPr>
            </w:pPr>
            <w:r>
              <w:rPr>
                <w:rFonts w:cs="Arial"/>
                <w:color w:val="000000"/>
                <w:sz w:val="22"/>
                <w:szCs w:val="22"/>
                <w:lang w:eastAsia="en-AU"/>
              </w:rPr>
              <w:t>(3,</w:t>
            </w:r>
            <w:r w:rsidR="00C84E5B">
              <w:rPr>
                <w:rFonts w:cs="Arial"/>
                <w:color w:val="000000"/>
                <w:sz w:val="22"/>
                <w:szCs w:val="22"/>
                <w:lang w:eastAsia="en-AU"/>
              </w:rPr>
              <w:t>857</w:t>
            </w:r>
            <w:r>
              <w:rPr>
                <w:rFonts w:cs="Arial"/>
                <w:color w:val="000000"/>
                <w:sz w:val="22"/>
                <w:szCs w:val="22"/>
                <w:lang w:eastAsia="en-AU"/>
              </w:rPr>
              <w:t>)</w:t>
            </w:r>
          </w:p>
        </w:tc>
        <w:tc>
          <w:tcPr>
            <w:tcW w:w="1193" w:type="dxa"/>
            <w:tcBorders>
              <w:top w:val="nil"/>
              <w:left w:val="nil"/>
              <w:bottom w:val="single" w:sz="8" w:space="0" w:color="auto"/>
              <w:right w:val="nil"/>
            </w:tcBorders>
            <w:shd w:val="clear" w:color="000000" w:fill="BFBFBF" w:themeFill="background1" w:themeFillShade="BF"/>
            <w:vAlign w:val="bottom"/>
          </w:tcPr>
          <w:p w14:paraId="5EA7365C" w14:textId="77777777" w:rsidR="00E200DC" w:rsidRPr="00E200DC" w:rsidRDefault="00F561B2" w:rsidP="00E200DC">
            <w:pPr>
              <w:jc w:val="right"/>
              <w:rPr>
                <w:rFonts w:cs="Arial"/>
                <w:color w:val="000000"/>
                <w:sz w:val="22"/>
                <w:szCs w:val="22"/>
                <w:lang w:eastAsia="en-AU"/>
              </w:rPr>
            </w:pPr>
            <w:r>
              <w:rPr>
                <w:rFonts w:cs="Arial"/>
                <w:color w:val="000000"/>
                <w:sz w:val="22"/>
                <w:szCs w:val="22"/>
                <w:lang w:eastAsia="en-AU"/>
              </w:rPr>
              <w:t>6,40</w:t>
            </w:r>
            <w:r w:rsidR="00C84E5B">
              <w:rPr>
                <w:rFonts w:cs="Arial"/>
                <w:color w:val="000000"/>
                <w:sz w:val="22"/>
                <w:szCs w:val="22"/>
                <w:lang w:eastAsia="en-AU"/>
              </w:rPr>
              <w:t>2</w:t>
            </w:r>
          </w:p>
        </w:tc>
      </w:tr>
      <w:tr w:rsidR="00E200DC" w:rsidRPr="00C5319C" w14:paraId="5EA73663" w14:textId="77777777" w:rsidTr="00245BD8">
        <w:trPr>
          <w:trHeight w:val="449"/>
        </w:trPr>
        <w:tc>
          <w:tcPr>
            <w:tcW w:w="4214" w:type="dxa"/>
            <w:tcBorders>
              <w:top w:val="nil"/>
              <w:left w:val="nil"/>
              <w:bottom w:val="nil"/>
              <w:right w:val="nil"/>
            </w:tcBorders>
            <w:shd w:val="clear" w:color="auto" w:fill="auto"/>
            <w:vAlign w:val="bottom"/>
            <w:hideMark/>
          </w:tcPr>
          <w:p w14:paraId="5EA7365E" w14:textId="77777777" w:rsidR="00E200DC" w:rsidRPr="00E200DC" w:rsidRDefault="00E200DC" w:rsidP="00760161">
            <w:pPr>
              <w:rPr>
                <w:rFonts w:cs="Arial"/>
                <w:b/>
                <w:bCs/>
                <w:color w:val="000000"/>
                <w:sz w:val="22"/>
                <w:szCs w:val="22"/>
                <w:lang w:eastAsia="en-AU"/>
              </w:rPr>
            </w:pPr>
            <w:r w:rsidRPr="00E200DC">
              <w:rPr>
                <w:rFonts w:cs="Arial"/>
                <w:b/>
                <w:bCs/>
                <w:color w:val="000000"/>
                <w:sz w:val="22"/>
                <w:szCs w:val="22"/>
                <w:lang w:eastAsia="en-AU"/>
              </w:rPr>
              <w:t>Balance at 30 June 201</w:t>
            </w:r>
            <w:r w:rsidR="00760161">
              <w:rPr>
                <w:rFonts w:cs="Arial"/>
                <w:b/>
                <w:bCs/>
                <w:color w:val="000000"/>
                <w:sz w:val="22"/>
                <w:szCs w:val="22"/>
                <w:lang w:eastAsia="en-AU"/>
              </w:rPr>
              <w:t>5</w:t>
            </w:r>
          </w:p>
        </w:tc>
        <w:tc>
          <w:tcPr>
            <w:tcW w:w="1192" w:type="dxa"/>
            <w:tcBorders>
              <w:top w:val="nil"/>
              <w:left w:val="nil"/>
              <w:bottom w:val="single" w:sz="8" w:space="0" w:color="auto"/>
              <w:right w:val="nil"/>
            </w:tcBorders>
            <w:shd w:val="clear" w:color="auto" w:fill="auto"/>
            <w:vAlign w:val="bottom"/>
          </w:tcPr>
          <w:p w14:paraId="5EA7365F" w14:textId="77777777" w:rsidR="00E200DC" w:rsidRPr="00C5319C" w:rsidRDefault="00C84E5B" w:rsidP="00E200DC">
            <w:pPr>
              <w:jc w:val="right"/>
              <w:rPr>
                <w:rFonts w:cs="Arial"/>
                <w:b/>
                <w:color w:val="000000"/>
                <w:sz w:val="22"/>
                <w:szCs w:val="22"/>
                <w:lang w:eastAsia="en-AU"/>
              </w:rPr>
            </w:pPr>
            <w:r w:rsidRPr="00C5319C">
              <w:rPr>
                <w:rFonts w:cs="Arial"/>
                <w:b/>
                <w:color w:val="000000"/>
                <w:sz w:val="22"/>
                <w:szCs w:val="22"/>
                <w:lang w:eastAsia="en-AU"/>
              </w:rPr>
              <w:t>194,017</w:t>
            </w:r>
          </w:p>
        </w:tc>
        <w:tc>
          <w:tcPr>
            <w:tcW w:w="1073" w:type="dxa"/>
            <w:tcBorders>
              <w:top w:val="single" w:sz="8" w:space="0" w:color="auto"/>
              <w:left w:val="nil"/>
              <w:bottom w:val="single" w:sz="8" w:space="0" w:color="auto"/>
              <w:right w:val="nil"/>
            </w:tcBorders>
            <w:shd w:val="clear" w:color="auto" w:fill="auto"/>
            <w:vAlign w:val="bottom"/>
          </w:tcPr>
          <w:p w14:paraId="5EA73660" w14:textId="77777777" w:rsidR="00E200DC" w:rsidRPr="00C5319C" w:rsidRDefault="00F561B2" w:rsidP="00E200DC">
            <w:pPr>
              <w:jc w:val="right"/>
              <w:rPr>
                <w:rFonts w:cs="Arial"/>
                <w:b/>
                <w:color w:val="000000"/>
                <w:sz w:val="22"/>
                <w:szCs w:val="22"/>
                <w:lang w:eastAsia="en-AU"/>
              </w:rPr>
            </w:pPr>
            <w:r w:rsidRPr="00C5319C">
              <w:rPr>
                <w:rFonts w:cs="Arial"/>
                <w:b/>
                <w:color w:val="000000"/>
                <w:sz w:val="22"/>
                <w:szCs w:val="22"/>
                <w:lang w:eastAsia="en-AU"/>
              </w:rPr>
              <w:t>3,947</w:t>
            </w:r>
          </w:p>
        </w:tc>
        <w:tc>
          <w:tcPr>
            <w:tcW w:w="1463" w:type="dxa"/>
            <w:tcBorders>
              <w:top w:val="nil"/>
              <w:left w:val="nil"/>
              <w:bottom w:val="single" w:sz="8" w:space="0" w:color="auto"/>
              <w:right w:val="nil"/>
            </w:tcBorders>
            <w:shd w:val="clear" w:color="auto" w:fill="auto"/>
            <w:vAlign w:val="bottom"/>
          </w:tcPr>
          <w:p w14:paraId="5EA73661" w14:textId="77777777" w:rsidR="00E200DC" w:rsidRPr="00C5319C" w:rsidRDefault="00C84E5B" w:rsidP="00E200DC">
            <w:pPr>
              <w:jc w:val="right"/>
              <w:rPr>
                <w:rFonts w:cs="Arial"/>
                <w:b/>
                <w:color w:val="000000"/>
                <w:sz w:val="22"/>
                <w:szCs w:val="22"/>
                <w:lang w:eastAsia="en-AU"/>
              </w:rPr>
            </w:pPr>
            <w:r w:rsidRPr="00C5319C">
              <w:rPr>
                <w:rFonts w:cs="Arial"/>
                <w:b/>
                <w:color w:val="000000"/>
                <w:sz w:val="22"/>
                <w:szCs w:val="22"/>
                <w:lang w:eastAsia="en-AU"/>
              </w:rPr>
              <w:t>2,876</w:t>
            </w:r>
          </w:p>
        </w:tc>
        <w:tc>
          <w:tcPr>
            <w:tcW w:w="1193" w:type="dxa"/>
            <w:tcBorders>
              <w:top w:val="nil"/>
              <w:left w:val="nil"/>
              <w:bottom w:val="single" w:sz="8" w:space="0" w:color="auto"/>
              <w:right w:val="nil"/>
            </w:tcBorders>
            <w:shd w:val="clear" w:color="000000" w:fill="BFBFBF" w:themeFill="background1" w:themeFillShade="BF"/>
            <w:vAlign w:val="bottom"/>
          </w:tcPr>
          <w:p w14:paraId="5EA73662" w14:textId="77777777" w:rsidR="00E200DC" w:rsidRPr="00C5319C" w:rsidRDefault="00F561B2" w:rsidP="00C84E5B">
            <w:pPr>
              <w:jc w:val="right"/>
              <w:rPr>
                <w:rFonts w:cs="Arial"/>
                <w:b/>
                <w:color w:val="000000"/>
                <w:sz w:val="22"/>
                <w:szCs w:val="22"/>
                <w:lang w:eastAsia="en-AU"/>
              </w:rPr>
            </w:pPr>
            <w:r w:rsidRPr="00C5319C">
              <w:rPr>
                <w:rFonts w:cs="Arial"/>
                <w:b/>
                <w:color w:val="000000"/>
                <w:sz w:val="22"/>
                <w:szCs w:val="22"/>
                <w:lang w:eastAsia="en-AU"/>
              </w:rPr>
              <w:t>200,84</w:t>
            </w:r>
            <w:r w:rsidR="00C84E5B" w:rsidRPr="00C5319C">
              <w:rPr>
                <w:rFonts w:cs="Arial"/>
                <w:b/>
                <w:color w:val="000000"/>
                <w:sz w:val="22"/>
                <w:szCs w:val="22"/>
                <w:lang w:eastAsia="en-AU"/>
              </w:rPr>
              <w:t>0</w:t>
            </w:r>
          </w:p>
        </w:tc>
      </w:tr>
    </w:tbl>
    <w:p w14:paraId="5EA7366D" w14:textId="77777777" w:rsidR="006E093E" w:rsidRDefault="006E093E" w:rsidP="00CB641F">
      <w:pPr>
        <w:rPr>
          <w:rFonts w:cs="Arial"/>
          <w:b/>
          <w:sz w:val="22"/>
          <w:szCs w:val="22"/>
        </w:rPr>
      </w:pPr>
    </w:p>
    <w:p w14:paraId="3A7590F2" w14:textId="68E1ABCA" w:rsidR="00245BD8" w:rsidRPr="00245BD8" w:rsidRDefault="00245BD8" w:rsidP="00CB641F">
      <w:pPr>
        <w:rPr>
          <w:rFonts w:cs="Arial"/>
          <w:b/>
          <w:sz w:val="22"/>
          <w:szCs w:val="22"/>
        </w:rPr>
      </w:pPr>
      <w:r w:rsidRPr="00E200DC">
        <w:rPr>
          <w:rFonts w:cs="Arial"/>
          <w:color w:val="000000"/>
          <w:sz w:val="22"/>
          <w:szCs w:val="22"/>
          <w:lang w:eastAsia="en-AU"/>
        </w:rPr>
        <w:t>The accompanying notes form part of these financial statements</w:t>
      </w:r>
      <w:r>
        <w:rPr>
          <w:rFonts w:cs="Arial"/>
          <w:b/>
          <w:color w:val="000000"/>
          <w:sz w:val="22"/>
          <w:szCs w:val="22"/>
          <w:lang w:eastAsia="en-AU"/>
        </w:rPr>
        <w:t>.</w:t>
      </w:r>
    </w:p>
    <w:p w14:paraId="4ACD20F1" w14:textId="77777777" w:rsidR="00245BD8" w:rsidRPr="007540D9" w:rsidRDefault="00245BD8" w:rsidP="00CB641F">
      <w:pPr>
        <w:rPr>
          <w:rFonts w:cs="Arial"/>
          <w:b/>
          <w:sz w:val="22"/>
          <w:szCs w:val="22"/>
        </w:rPr>
      </w:pPr>
    </w:p>
    <w:p w14:paraId="5EA7366E" w14:textId="77777777" w:rsidR="006E093E" w:rsidRPr="007540D9" w:rsidRDefault="006E093E" w:rsidP="00CB641F">
      <w:pPr>
        <w:rPr>
          <w:rFonts w:cs="Arial"/>
          <w:b/>
          <w:sz w:val="22"/>
          <w:szCs w:val="22"/>
        </w:rPr>
        <w:sectPr w:rsidR="006E093E" w:rsidRPr="007540D9" w:rsidSect="00E200DC">
          <w:pgSz w:w="11907" w:h="16839" w:code="9"/>
          <w:pgMar w:top="1418" w:right="1440" w:bottom="993" w:left="1440" w:header="720" w:footer="720" w:gutter="0"/>
          <w:cols w:space="708"/>
          <w:titlePg/>
          <w:docGrid w:linePitch="360"/>
        </w:sectPr>
      </w:pPr>
    </w:p>
    <w:p w14:paraId="2C20CB26" w14:textId="3E422500" w:rsidR="00245BD8" w:rsidRPr="00245BD8" w:rsidRDefault="00245BD8">
      <w:pPr>
        <w:rPr>
          <w:b/>
        </w:rPr>
      </w:pPr>
      <w:bookmarkStart w:id="133" w:name="_Toc430613707"/>
      <w:r w:rsidRPr="00245BD8">
        <w:rPr>
          <w:b/>
          <w:lang w:eastAsia="en-AU"/>
        </w:rPr>
        <w:lastRenderedPageBreak/>
        <w:t>Consolidated Statement of Cash Flows for the year ended 30 June 2015</w:t>
      </w:r>
      <w:bookmarkEnd w:id="133"/>
    </w:p>
    <w:p w14:paraId="5AADF2FA" w14:textId="77777777" w:rsidR="00C443A5" w:rsidRDefault="00C443A5">
      <w:pPr>
        <w:rPr>
          <w:rFonts w:cs="Arial"/>
          <w:b/>
          <w:bCs/>
          <w:color w:val="000000"/>
          <w:sz w:val="22"/>
          <w:szCs w:val="22"/>
          <w:lang w:eastAsia="en-AU"/>
        </w:rPr>
      </w:pPr>
    </w:p>
    <w:p w14:paraId="0C629D88" w14:textId="2096F7D2" w:rsidR="00245BD8" w:rsidRDefault="00C443A5">
      <w:r w:rsidRPr="00EE4F57">
        <w:rPr>
          <w:rFonts w:cs="Arial"/>
          <w:b/>
          <w:bCs/>
          <w:color w:val="000000"/>
          <w:sz w:val="22"/>
          <w:szCs w:val="22"/>
          <w:lang w:eastAsia="en-AU"/>
        </w:rPr>
        <w:t>Cash flows from operating activities</w:t>
      </w:r>
    </w:p>
    <w:tbl>
      <w:tblPr>
        <w:tblW w:w="9121" w:type="dxa"/>
        <w:tblInd w:w="108" w:type="dxa"/>
        <w:tblLook w:val="04A0" w:firstRow="1" w:lastRow="0" w:firstColumn="1" w:lastColumn="0" w:noHBand="0" w:noVBand="1"/>
      </w:tblPr>
      <w:tblGrid>
        <w:gridCol w:w="4924"/>
        <w:gridCol w:w="1060"/>
        <w:gridCol w:w="1482"/>
        <w:gridCol w:w="1655"/>
      </w:tblGrid>
      <w:tr w:rsidR="00C443A5" w:rsidRPr="00EE4F57" w14:paraId="5EA73681" w14:textId="77777777" w:rsidTr="00C443A5">
        <w:trPr>
          <w:trHeight w:val="300"/>
          <w:tblHeader/>
        </w:trPr>
        <w:tc>
          <w:tcPr>
            <w:tcW w:w="4924" w:type="dxa"/>
            <w:tcBorders>
              <w:top w:val="nil"/>
              <w:left w:val="nil"/>
              <w:bottom w:val="nil"/>
              <w:right w:val="nil"/>
            </w:tcBorders>
            <w:shd w:val="clear" w:color="auto" w:fill="auto"/>
            <w:vAlign w:val="center"/>
            <w:hideMark/>
          </w:tcPr>
          <w:p w14:paraId="5EA7367C" w14:textId="4C59802C" w:rsidR="00C443A5" w:rsidRPr="00EE4F57" w:rsidRDefault="00C443A5" w:rsidP="00EE4F57">
            <w:pPr>
              <w:rPr>
                <w:rFonts w:cs="Arial"/>
                <w:color w:val="000000"/>
                <w:sz w:val="22"/>
                <w:szCs w:val="22"/>
                <w:lang w:eastAsia="en-AU"/>
              </w:rPr>
            </w:pPr>
            <w:bookmarkStart w:id="134" w:name="Table_15"/>
            <w:bookmarkEnd w:id="134"/>
          </w:p>
        </w:tc>
        <w:tc>
          <w:tcPr>
            <w:tcW w:w="1060" w:type="dxa"/>
            <w:tcBorders>
              <w:top w:val="nil"/>
              <w:left w:val="nil"/>
              <w:bottom w:val="single" w:sz="4" w:space="0" w:color="auto"/>
              <w:right w:val="nil"/>
            </w:tcBorders>
            <w:shd w:val="clear" w:color="auto" w:fill="auto"/>
            <w:vAlign w:val="center"/>
            <w:hideMark/>
          </w:tcPr>
          <w:p w14:paraId="5EA7367D" w14:textId="77777777" w:rsidR="00C443A5" w:rsidRPr="00EE4F57" w:rsidRDefault="00C443A5" w:rsidP="00EE4F57">
            <w:pPr>
              <w:jc w:val="center"/>
              <w:rPr>
                <w:rFonts w:cs="Arial"/>
                <w:b/>
                <w:bCs/>
                <w:color w:val="000000"/>
                <w:sz w:val="22"/>
                <w:szCs w:val="22"/>
                <w:lang w:eastAsia="en-AU"/>
              </w:rPr>
            </w:pPr>
            <w:r w:rsidRPr="00EE4F57">
              <w:rPr>
                <w:rFonts w:cs="Arial"/>
                <w:b/>
                <w:bCs/>
                <w:color w:val="000000"/>
                <w:sz w:val="22"/>
                <w:szCs w:val="22"/>
                <w:lang w:eastAsia="en-AU"/>
              </w:rPr>
              <w:t>Note</w:t>
            </w:r>
          </w:p>
        </w:tc>
        <w:tc>
          <w:tcPr>
            <w:tcW w:w="1482" w:type="dxa"/>
            <w:tcBorders>
              <w:top w:val="nil"/>
              <w:left w:val="nil"/>
              <w:bottom w:val="single" w:sz="4" w:space="0" w:color="auto"/>
              <w:right w:val="nil"/>
            </w:tcBorders>
            <w:shd w:val="clear" w:color="000000" w:fill="BFBFBF" w:themeFill="background1" w:themeFillShade="BF"/>
            <w:vAlign w:val="center"/>
            <w:hideMark/>
          </w:tcPr>
          <w:p w14:paraId="5EA7367F" w14:textId="77777777" w:rsidR="00C443A5" w:rsidRPr="006C0CC6" w:rsidRDefault="00C443A5" w:rsidP="006C0CC6">
            <w:pPr>
              <w:jc w:val="right"/>
              <w:rPr>
                <w:rFonts w:cs="Arial"/>
                <w:b/>
                <w:color w:val="000000"/>
                <w:sz w:val="22"/>
                <w:szCs w:val="22"/>
                <w:lang w:eastAsia="en-AU"/>
              </w:rPr>
            </w:pPr>
            <w:r w:rsidRPr="006C0CC6">
              <w:rPr>
                <w:rFonts w:cs="Arial"/>
                <w:b/>
                <w:color w:val="000000"/>
                <w:sz w:val="22"/>
                <w:szCs w:val="22"/>
                <w:lang w:eastAsia="en-AU"/>
              </w:rPr>
              <w:t>2015</w:t>
            </w:r>
          </w:p>
        </w:tc>
        <w:tc>
          <w:tcPr>
            <w:tcW w:w="1655" w:type="dxa"/>
            <w:tcBorders>
              <w:top w:val="nil"/>
              <w:left w:val="nil"/>
              <w:bottom w:val="single" w:sz="4" w:space="0" w:color="auto"/>
              <w:right w:val="nil"/>
            </w:tcBorders>
            <w:shd w:val="clear" w:color="auto" w:fill="auto"/>
            <w:vAlign w:val="center"/>
            <w:hideMark/>
          </w:tcPr>
          <w:p w14:paraId="5EA73680" w14:textId="77777777" w:rsidR="00C443A5" w:rsidRPr="00EE4F57" w:rsidRDefault="00C443A5" w:rsidP="006C0CC6">
            <w:pPr>
              <w:jc w:val="right"/>
              <w:rPr>
                <w:rFonts w:cs="Arial"/>
                <w:color w:val="000000"/>
                <w:sz w:val="22"/>
                <w:szCs w:val="22"/>
                <w:lang w:eastAsia="en-AU"/>
              </w:rPr>
            </w:pPr>
            <w:r w:rsidRPr="00EE4F57">
              <w:rPr>
                <w:rFonts w:cs="Arial"/>
                <w:color w:val="000000"/>
                <w:sz w:val="22"/>
                <w:szCs w:val="22"/>
                <w:lang w:eastAsia="en-AU"/>
              </w:rPr>
              <w:t>2014</w:t>
            </w:r>
          </w:p>
        </w:tc>
      </w:tr>
      <w:tr w:rsidR="00C443A5" w:rsidRPr="00EE4F57" w14:paraId="5EA73693" w14:textId="77777777" w:rsidTr="00C443A5">
        <w:trPr>
          <w:trHeight w:val="360"/>
        </w:trPr>
        <w:tc>
          <w:tcPr>
            <w:tcW w:w="4924" w:type="dxa"/>
            <w:tcBorders>
              <w:top w:val="nil"/>
              <w:left w:val="nil"/>
              <w:bottom w:val="nil"/>
              <w:right w:val="nil"/>
            </w:tcBorders>
            <w:shd w:val="clear" w:color="auto" w:fill="auto"/>
            <w:vAlign w:val="bottom"/>
            <w:hideMark/>
          </w:tcPr>
          <w:p w14:paraId="5EA7368E" w14:textId="77777777" w:rsidR="00C443A5" w:rsidRPr="00EE4F57" w:rsidRDefault="00C443A5" w:rsidP="00EE4F57">
            <w:pPr>
              <w:rPr>
                <w:rFonts w:cs="Arial"/>
                <w:color w:val="000000"/>
                <w:sz w:val="22"/>
                <w:szCs w:val="22"/>
                <w:lang w:eastAsia="en-AU"/>
              </w:rPr>
            </w:pPr>
            <w:r w:rsidRPr="00EE4F57">
              <w:rPr>
                <w:rFonts w:cs="Arial"/>
                <w:color w:val="000000"/>
                <w:sz w:val="22"/>
                <w:szCs w:val="22"/>
                <w:lang w:eastAsia="en-AU"/>
              </w:rPr>
              <w:t>Cash receipts from operations</w:t>
            </w:r>
          </w:p>
        </w:tc>
        <w:tc>
          <w:tcPr>
            <w:tcW w:w="1060" w:type="dxa"/>
            <w:tcBorders>
              <w:top w:val="nil"/>
              <w:left w:val="nil"/>
              <w:bottom w:val="nil"/>
              <w:right w:val="nil"/>
            </w:tcBorders>
            <w:shd w:val="clear" w:color="auto" w:fill="auto"/>
            <w:vAlign w:val="center"/>
            <w:hideMark/>
          </w:tcPr>
          <w:p w14:paraId="5EA7368F" w14:textId="5340CC52"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nil"/>
              <w:right w:val="nil"/>
            </w:tcBorders>
            <w:shd w:val="clear" w:color="000000" w:fill="BFBFBF" w:themeFill="background1" w:themeFillShade="BF"/>
            <w:vAlign w:val="bottom"/>
          </w:tcPr>
          <w:p w14:paraId="5EA73691" w14:textId="77777777" w:rsidR="00C443A5" w:rsidRPr="00EE4F57" w:rsidRDefault="00C443A5" w:rsidP="00EE4F57">
            <w:pPr>
              <w:jc w:val="right"/>
              <w:rPr>
                <w:rFonts w:cs="Arial"/>
                <w:color w:val="000000"/>
                <w:sz w:val="22"/>
                <w:szCs w:val="22"/>
                <w:lang w:eastAsia="en-AU"/>
              </w:rPr>
            </w:pPr>
            <w:r>
              <w:rPr>
                <w:rFonts w:cs="Arial"/>
                <w:color w:val="000000"/>
                <w:sz w:val="22"/>
                <w:szCs w:val="22"/>
                <w:lang w:eastAsia="en-AU"/>
              </w:rPr>
              <w:t>86,342</w:t>
            </w:r>
          </w:p>
        </w:tc>
        <w:tc>
          <w:tcPr>
            <w:tcW w:w="1655" w:type="dxa"/>
            <w:tcBorders>
              <w:top w:val="nil"/>
              <w:left w:val="nil"/>
              <w:bottom w:val="nil"/>
              <w:right w:val="nil"/>
            </w:tcBorders>
            <w:shd w:val="clear" w:color="auto" w:fill="auto"/>
            <w:vAlign w:val="bottom"/>
            <w:hideMark/>
          </w:tcPr>
          <w:p w14:paraId="5EA73692"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82,825</w:t>
            </w:r>
          </w:p>
        </w:tc>
      </w:tr>
      <w:tr w:rsidR="00C443A5" w:rsidRPr="00EE4F57" w14:paraId="5EA73699" w14:textId="77777777" w:rsidTr="00C443A5">
        <w:trPr>
          <w:trHeight w:val="360"/>
        </w:trPr>
        <w:tc>
          <w:tcPr>
            <w:tcW w:w="4924" w:type="dxa"/>
            <w:tcBorders>
              <w:top w:val="nil"/>
              <w:left w:val="nil"/>
              <w:bottom w:val="nil"/>
              <w:right w:val="nil"/>
            </w:tcBorders>
            <w:shd w:val="clear" w:color="auto" w:fill="auto"/>
            <w:vAlign w:val="bottom"/>
            <w:hideMark/>
          </w:tcPr>
          <w:p w14:paraId="5EA73694" w14:textId="77777777" w:rsidR="00C443A5" w:rsidRPr="00EE4F57" w:rsidRDefault="00C443A5" w:rsidP="00EE4F57">
            <w:pPr>
              <w:rPr>
                <w:rFonts w:cs="Arial"/>
                <w:color w:val="000000"/>
                <w:sz w:val="22"/>
                <w:szCs w:val="22"/>
                <w:lang w:eastAsia="en-AU"/>
              </w:rPr>
            </w:pPr>
            <w:r w:rsidRPr="00EE4F57">
              <w:rPr>
                <w:rFonts w:cs="Arial"/>
                <w:color w:val="000000"/>
                <w:sz w:val="22"/>
                <w:szCs w:val="22"/>
                <w:lang w:eastAsia="en-AU"/>
              </w:rPr>
              <w:t>Interest received</w:t>
            </w:r>
          </w:p>
        </w:tc>
        <w:tc>
          <w:tcPr>
            <w:tcW w:w="1060" w:type="dxa"/>
            <w:tcBorders>
              <w:top w:val="nil"/>
              <w:left w:val="nil"/>
              <w:bottom w:val="nil"/>
              <w:right w:val="nil"/>
            </w:tcBorders>
            <w:shd w:val="clear" w:color="auto" w:fill="auto"/>
            <w:vAlign w:val="bottom"/>
            <w:hideMark/>
          </w:tcPr>
          <w:p w14:paraId="5EA73695" w14:textId="77EB3E34"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nil"/>
              <w:right w:val="nil"/>
            </w:tcBorders>
            <w:shd w:val="clear" w:color="000000" w:fill="BFBFBF" w:themeFill="background1" w:themeFillShade="BF"/>
            <w:vAlign w:val="bottom"/>
          </w:tcPr>
          <w:p w14:paraId="5EA73697" w14:textId="77777777" w:rsidR="00C443A5" w:rsidRPr="00EE4F57" w:rsidRDefault="00C443A5" w:rsidP="00EE4F57">
            <w:pPr>
              <w:jc w:val="right"/>
              <w:rPr>
                <w:rFonts w:cs="Arial"/>
                <w:color w:val="000000"/>
                <w:sz w:val="22"/>
                <w:szCs w:val="22"/>
                <w:lang w:eastAsia="en-AU"/>
              </w:rPr>
            </w:pPr>
            <w:r>
              <w:rPr>
                <w:rFonts w:cs="Arial"/>
                <w:color w:val="000000"/>
                <w:sz w:val="22"/>
                <w:szCs w:val="22"/>
                <w:lang w:eastAsia="en-AU"/>
              </w:rPr>
              <w:t>842</w:t>
            </w:r>
          </w:p>
        </w:tc>
        <w:tc>
          <w:tcPr>
            <w:tcW w:w="1655" w:type="dxa"/>
            <w:tcBorders>
              <w:top w:val="nil"/>
              <w:left w:val="nil"/>
              <w:bottom w:val="nil"/>
              <w:right w:val="nil"/>
            </w:tcBorders>
            <w:shd w:val="clear" w:color="auto" w:fill="auto"/>
            <w:vAlign w:val="bottom"/>
            <w:hideMark/>
          </w:tcPr>
          <w:p w14:paraId="5EA73698"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1,074</w:t>
            </w:r>
          </w:p>
        </w:tc>
      </w:tr>
      <w:tr w:rsidR="00C443A5" w:rsidRPr="00EE4F57" w14:paraId="5EA7369F" w14:textId="77777777" w:rsidTr="00C443A5">
        <w:trPr>
          <w:trHeight w:val="360"/>
        </w:trPr>
        <w:tc>
          <w:tcPr>
            <w:tcW w:w="4924" w:type="dxa"/>
            <w:tcBorders>
              <w:top w:val="nil"/>
              <w:left w:val="nil"/>
              <w:bottom w:val="nil"/>
              <w:right w:val="nil"/>
            </w:tcBorders>
            <w:shd w:val="clear" w:color="auto" w:fill="auto"/>
            <w:vAlign w:val="bottom"/>
            <w:hideMark/>
          </w:tcPr>
          <w:p w14:paraId="5EA7369A" w14:textId="77777777" w:rsidR="00C443A5" w:rsidRPr="00EE4F57" w:rsidRDefault="00C443A5" w:rsidP="00EE4F57">
            <w:pPr>
              <w:rPr>
                <w:rFonts w:cs="Arial"/>
                <w:color w:val="000000"/>
                <w:sz w:val="22"/>
                <w:szCs w:val="22"/>
                <w:lang w:eastAsia="en-AU"/>
              </w:rPr>
            </w:pPr>
            <w:r w:rsidRPr="00EE4F57">
              <w:rPr>
                <w:rFonts w:cs="Arial"/>
                <w:color w:val="000000"/>
                <w:sz w:val="22"/>
                <w:szCs w:val="22"/>
                <w:lang w:eastAsia="en-AU"/>
              </w:rPr>
              <w:t>Dividends received</w:t>
            </w:r>
          </w:p>
        </w:tc>
        <w:tc>
          <w:tcPr>
            <w:tcW w:w="1060" w:type="dxa"/>
            <w:tcBorders>
              <w:top w:val="nil"/>
              <w:left w:val="nil"/>
              <w:bottom w:val="nil"/>
              <w:right w:val="nil"/>
            </w:tcBorders>
            <w:shd w:val="clear" w:color="auto" w:fill="auto"/>
            <w:vAlign w:val="bottom"/>
            <w:hideMark/>
          </w:tcPr>
          <w:p w14:paraId="5EA7369B" w14:textId="16BE379F"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nil"/>
              <w:right w:val="nil"/>
            </w:tcBorders>
            <w:shd w:val="clear" w:color="000000" w:fill="BFBFBF" w:themeFill="background1" w:themeFillShade="BF"/>
            <w:vAlign w:val="bottom"/>
          </w:tcPr>
          <w:p w14:paraId="5EA7369D" w14:textId="77777777" w:rsidR="00C443A5" w:rsidRPr="00EE4F57" w:rsidRDefault="00C443A5" w:rsidP="00073C4E">
            <w:pPr>
              <w:jc w:val="right"/>
              <w:rPr>
                <w:rFonts w:cs="Arial"/>
                <w:color w:val="000000"/>
                <w:sz w:val="22"/>
                <w:szCs w:val="22"/>
                <w:lang w:eastAsia="en-AU"/>
              </w:rPr>
            </w:pPr>
            <w:r>
              <w:rPr>
                <w:rFonts w:cs="Arial"/>
                <w:color w:val="000000"/>
                <w:sz w:val="22"/>
                <w:szCs w:val="22"/>
                <w:lang w:eastAsia="en-AU"/>
              </w:rPr>
              <w:t>4,882</w:t>
            </w:r>
          </w:p>
        </w:tc>
        <w:tc>
          <w:tcPr>
            <w:tcW w:w="1655" w:type="dxa"/>
            <w:tcBorders>
              <w:top w:val="nil"/>
              <w:left w:val="nil"/>
              <w:bottom w:val="nil"/>
              <w:right w:val="nil"/>
            </w:tcBorders>
            <w:shd w:val="clear" w:color="auto" w:fill="auto"/>
            <w:vAlign w:val="bottom"/>
            <w:hideMark/>
          </w:tcPr>
          <w:p w14:paraId="5EA7369E"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4,164</w:t>
            </w:r>
          </w:p>
        </w:tc>
      </w:tr>
      <w:tr w:rsidR="00C443A5" w:rsidRPr="00EE4F57" w14:paraId="5EA736A5" w14:textId="77777777" w:rsidTr="00C443A5">
        <w:trPr>
          <w:trHeight w:val="360"/>
        </w:trPr>
        <w:tc>
          <w:tcPr>
            <w:tcW w:w="4924" w:type="dxa"/>
            <w:tcBorders>
              <w:top w:val="nil"/>
              <w:left w:val="nil"/>
              <w:bottom w:val="nil"/>
              <w:right w:val="nil"/>
            </w:tcBorders>
            <w:shd w:val="clear" w:color="auto" w:fill="auto"/>
            <w:vAlign w:val="bottom"/>
            <w:hideMark/>
          </w:tcPr>
          <w:p w14:paraId="5EA736A0" w14:textId="77777777" w:rsidR="00C443A5" w:rsidRPr="00EE4F57" w:rsidRDefault="00C443A5" w:rsidP="00EE4F57">
            <w:pPr>
              <w:rPr>
                <w:rFonts w:cs="Arial"/>
                <w:color w:val="000000"/>
                <w:sz w:val="22"/>
                <w:szCs w:val="22"/>
                <w:lang w:eastAsia="en-AU"/>
              </w:rPr>
            </w:pPr>
            <w:r w:rsidRPr="00EE4F57">
              <w:rPr>
                <w:rFonts w:cs="Arial"/>
                <w:color w:val="000000"/>
                <w:sz w:val="22"/>
                <w:szCs w:val="22"/>
                <w:lang w:eastAsia="en-AU"/>
              </w:rPr>
              <w:t>Payments to suppliers and employees</w:t>
            </w:r>
          </w:p>
        </w:tc>
        <w:tc>
          <w:tcPr>
            <w:tcW w:w="1060" w:type="dxa"/>
            <w:tcBorders>
              <w:top w:val="nil"/>
              <w:left w:val="nil"/>
              <w:bottom w:val="nil"/>
              <w:right w:val="nil"/>
            </w:tcBorders>
            <w:shd w:val="clear" w:color="auto" w:fill="auto"/>
            <w:vAlign w:val="bottom"/>
            <w:hideMark/>
          </w:tcPr>
          <w:p w14:paraId="5EA736A1" w14:textId="1A688370"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nil"/>
              <w:right w:val="nil"/>
            </w:tcBorders>
            <w:shd w:val="clear" w:color="000000" w:fill="BFBFBF" w:themeFill="background1" w:themeFillShade="BF"/>
            <w:vAlign w:val="bottom"/>
          </w:tcPr>
          <w:p w14:paraId="5EA736A3" w14:textId="4AEA670C" w:rsidR="00C443A5" w:rsidRPr="00EE4F57" w:rsidRDefault="00C443A5">
            <w:pPr>
              <w:jc w:val="right"/>
              <w:rPr>
                <w:rFonts w:cs="Arial"/>
                <w:color w:val="000000"/>
                <w:sz w:val="22"/>
                <w:szCs w:val="22"/>
                <w:lang w:eastAsia="en-AU"/>
              </w:rPr>
            </w:pPr>
            <w:r>
              <w:rPr>
                <w:rFonts w:cs="Arial"/>
                <w:color w:val="000000"/>
                <w:sz w:val="22"/>
                <w:szCs w:val="22"/>
                <w:lang w:eastAsia="en-AU"/>
              </w:rPr>
              <w:t>(84,012)</w:t>
            </w:r>
          </w:p>
        </w:tc>
        <w:tc>
          <w:tcPr>
            <w:tcW w:w="1655" w:type="dxa"/>
            <w:tcBorders>
              <w:top w:val="nil"/>
              <w:left w:val="nil"/>
              <w:bottom w:val="nil"/>
              <w:right w:val="nil"/>
            </w:tcBorders>
            <w:shd w:val="clear" w:color="auto" w:fill="auto"/>
            <w:vAlign w:val="bottom"/>
            <w:hideMark/>
          </w:tcPr>
          <w:p w14:paraId="5EA736A4"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(80,798)</w:t>
            </w:r>
          </w:p>
        </w:tc>
      </w:tr>
      <w:tr w:rsidR="00C443A5" w:rsidRPr="00EE4F57" w14:paraId="5EA736AB" w14:textId="77777777" w:rsidTr="00C443A5">
        <w:trPr>
          <w:trHeight w:val="360"/>
        </w:trPr>
        <w:tc>
          <w:tcPr>
            <w:tcW w:w="4924" w:type="dxa"/>
            <w:tcBorders>
              <w:top w:val="nil"/>
              <w:left w:val="nil"/>
              <w:bottom w:val="nil"/>
              <w:right w:val="nil"/>
            </w:tcBorders>
            <w:shd w:val="clear" w:color="auto" w:fill="auto"/>
            <w:vAlign w:val="bottom"/>
            <w:hideMark/>
          </w:tcPr>
          <w:p w14:paraId="5EA736A6" w14:textId="77777777" w:rsidR="00C443A5" w:rsidRPr="00EE4F57" w:rsidRDefault="00C443A5" w:rsidP="00EE4F57">
            <w:pPr>
              <w:rPr>
                <w:rFonts w:cs="Arial"/>
                <w:color w:val="000000"/>
                <w:sz w:val="22"/>
                <w:szCs w:val="22"/>
                <w:lang w:eastAsia="en-AU"/>
              </w:rPr>
            </w:pPr>
            <w:r w:rsidRPr="00EE4F57">
              <w:rPr>
                <w:rFonts w:cs="Arial"/>
                <w:color w:val="000000"/>
                <w:sz w:val="22"/>
                <w:szCs w:val="22"/>
                <w:lang w:eastAsia="en-AU"/>
              </w:rPr>
              <w:t>Bank charges and borrowing costs</w:t>
            </w:r>
          </w:p>
        </w:tc>
        <w:tc>
          <w:tcPr>
            <w:tcW w:w="1060" w:type="dxa"/>
            <w:tcBorders>
              <w:top w:val="nil"/>
              <w:left w:val="nil"/>
              <w:bottom w:val="nil"/>
              <w:right w:val="nil"/>
            </w:tcBorders>
            <w:shd w:val="clear" w:color="auto" w:fill="auto"/>
            <w:vAlign w:val="bottom"/>
            <w:hideMark/>
          </w:tcPr>
          <w:p w14:paraId="5EA736A7" w14:textId="36872DC4"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single" w:sz="8" w:space="0" w:color="auto"/>
              <w:right w:val="nil"/>
            </w:tcBorders>
            <w:shd w:val="clear" w:color="000000" w:fill="BFBFBF" w:themeFill="background1" w:themeFillShade="BF"/>
            <w:vAlign w:val="bottom"/>
          </w:tcPr>
          <w:p w14:paraId="5EA736A9" w14:textId="0BCC02EE" w:rsidR="00C443A5" w:rsidRPr="00EE4F57" w:rsidRDefault="00C443A5">
            <w:pPr>
              <w:jc w:val="right"/>
              <w:rPr>
                <w:rFonts w:cs="Arial"/>
                <w:color w:val="000000"/>
                <w:sz w:val="22"/>
                <w:szCs w:val="22"/>
                <w:lang w:eastAsia="en-AU"/>
              </w:rPr>
            </w:pPr>
            <w:r>
              <w:rPr>
                <w:rFonts w:cs="Arial"/>
                <w:color w:val="000000"/>
                <w:sz w:val="22"/>
                <w:szCs w:val="22"/>
                <w:lang w:eastAsia="en-AU"/>
              </w:rPr>
              <w:t>(284)</w:t>
            </w:r>
          </w:p>
        </w:tc>
        <w:tc>
          <w:tcPr>
            <w:tcW w:w="1655" w:type="dxa"/>
            <w:tcBorders>
              <w:top w:val="nil"/>
              <w:left w:val="nil"/>
              <w:bottom w:val="single" w:sz="8" w:space="0" w:color="auto"/>
              <w:right w:val="nil"/>
            </w:tcBorders>
            <w:shd w:val="clear" w:color="auto" w:fill="auto"/>
            <w:vAlign w:val="bottom"/>
            <w:hideMark/>
          </w:tcPr>
          <w:p w14:paraId="5EA736AA"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(217)</w:t>
            </w:r>
          </w:p>
        </w:tc>
      </w:tr>
      <w:tr w:rsidR="00C443A5" w:rsidRPr="00EE4F57" w14:paraId="5EA736B1" w14:textId="77777777" w:rsidTr="00C443A5">
        <w:trPr>
          <w:trHeight w:val="510"/>
        </w:trPr>
        <w:tc>
          <w:tcPr>
            <w:tcW w:w="4924" w:type="dxa"/>
            <w:tcBorders>
              <w:top w:val="nil"/>
              <w:left w:val="nil"/>
              <w:bottom w:val="nil"/>
              <w:right w:val="nil"/>
            </w:tcBorders>
            <w:shd w:val="clear" w:color="auto" w:fill="auto"/>
            <w:vAlign w:val="bottom"/>
            <w:hideMark/>
          </w:tcPr>
          <w:p w14:paraId="5EA736AC" w14:textId="77777777" w:rsidR="00C443A5" w:rsidRPr="00EE4F57" w:rsidRDefault="00C443A5" w:rsidP="00710408">
            <w:pPr>
              <w:rPr>
                <w:rFonts w:cs="Arial"/>
                <w:color w:val="000000"/>
                <w:sz w:val="22"/>
                <w:szCs w:val="22"/>
                <w:lang w:eastAsia="en-AU"/>
              </w:rPr>
            </w:pPr>
            <w:r w:rsidRPr="00EE4F57">
              <w:rPr>
                <w:rFonts w:cs="Arial"/>
                <w:color w:val="000000"/>
                <w:sz w:val="22"/>
                <w:szCs w:val="22"/>
                <w:lang w:eastAsia="en-AU"/>
              </w:rPr>
              <w:t>Net cash</w:t>
            </w:r>
            <w:r>
              <w:rPr>
                <w:rFonts w:cs="Arial"/>
                <w:color w:val="000000"/>
                <w:sz w:val="22"/>
                <w:szCs w:val="22"/>
                <w:lang w:eastAsia="en-AU"/>
              </w:rPr>
              <w:t xml:space="preserve"> </w:t>
            </w:r>
            <w:r w:rsidRPr="00EE4F57">
              <w:rPr>
                <w:rFonts w:cs="Arial"/>
                <w:color w:val="000000"/>
                <w:sz w:val="22"/>
                <w:szCs w:val="22"/>
                <w:lang w:eastAsia="en-AU"/>
              </w:rPr>
              <w:t>provided by operating activities</w:t>
            </w:r>
          </w:p>
        </w:tc>
        <w:tc>
          <w:tcPr>
            <w:tcW w:w="1060" w:type="dxa"/>
            <w:tcBorders>
              <w:top w:val="nil"/>
              <w:left w:val="nil"/>
              <w:bottom w:val="nil"/>
              <w:right w:val="nil"/>
            </w:tcBorders>
            <w:shd w:val="clear" w:color="auto" w:fill="auto"/>
            <w:vAlign w:val="bottom"/>
            <w:hideMark/>
          </w:tcPr>
          <w:p w14:paraId="5EA736AD" w14:textId="670BB6A9" w:rsidR="00C443A5" w:rsidRPr="00EE4F57" w:rsidRDefault="00C443A5" w:rsidP="00EE4F57">
            <w:pPr>
              <w:jc w:val="center"/>
              <w:rPr>
                <w:rFonts w:cs="Arial"/>
                <w:color w:val="000000"/>
                <w:sz w:val="22"/>
                <w:szCs w:val="22"/>
                <w:lang w:eastAsia="en-AU"/>
              </w:rPr>
            </w:pPr>
            <w:r w:rsidRPr="00EE4F57">
              <w:rPr>
                <w:rFonts w:cs="Arial"/>
                <w:color w:val="000000"/>
                <w:sz w:val="22"/>
                <w:szCs w:val="22"/>
                <w:lang w:eastAsia="en-AU"/>
              </w:rPr>
              <w:t>2</w:t>
            </w:r>
            <w:r>
              <w:rPr>
                <w:rFonts w:cs="Arial"/>
                <w:color w:val="000000"/>
                <w:sz w:val="22"/>
                <w:szCs w:val="22"/>
                <w:lang w:eastAsia="en-AU"/>
              </w:rPr>
              <w:t>3</w:t>
            </w:r>
            <w:r w:rsidRPr="00EE4F57">
              <w:rPr>
                <w:rFonts w:cs="Arial"/>
                <w:color w:val="000000"/>
                <w:sz w:val="22"/>
                <w:szCs w:val="22"/>
                <w:lang w:eastAsia="en-AU"/>
              </w:rPr>
              <w:t>(b)</w:t>
            </w:r>
          </w:p>
        </w:tc>
        <w:tc>
          <w:tcPr>
            <w:tcW w:w="1482" w:type="dxa"/>
            <w:tcBorders>
              <w:top w:val="nil"/>
              <w:left w:val="nil"/>
              <w:bottom w:val="single" w:sz="8" w:space="0" w:color="auto"/>
              <w:right w:val="nil"/>
            </w:tcBorders>
            <w:shd w:val="clear" w:color="000000" w:fill="BFBFBF" w:themeFill="background1" w:themeFillShade="BF"/>
            <w:vAlign w:val="bottom"/>
          </w:tcPr>
          <w:p w14:paraId="5EA736AF" w14:textId="2C1121A2" w:rsidR="00C443A5" w:rsidRPr="00EE4F57" w:rsidRDefault="00C443A5">
            <w:pPr>
              <w:jc w:val="right"/>
              <w:rPr>
                <w:rFonts w:cs="Arial"/>
                <w:color w:val="000000"/>
                <w:sz w:val="22"/>
                <w:szCs w:val="22"/>
                <w:lang w:eastAsia="en-AU"/>
              </w:rPr>
            </w:pPr>
            <w:r>
              <w:rPr>
                <w:rFonts w:cs="Arial"/>
                <w:color w:val="000000"/>
                <w:sz w:val="22"/>
                <w:szCs w:val="22"/>
                <w:lang w:eastAsia="en-AU"/>
              </w:rPr>
              <w:t>7,770</w:t>
            </w:r>
          </w:p>
        </w:tc>
        <w:tc>
          <w:tcPr>
            <w:tcW w:w="1655" w:type="dxa"/>
            <w:tcBorders>
              <w:top w:val="nil"/>
              <w:left w:val="nil"/>
              <w:bottom w:val="single" w:sz="8" w:space="0" w:color="auto"/>
              <w:right w:val="nil"/>
            </w:tcBorders>
            <w:shd w:val="clear" w:color="auto" w:fill="auto"/>
            <w:vAlign w:val="bottom"/>
            <w:hideMark/>
          </w:tcPr>
          <w:p w14:paraId="5EA736B0"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7,048</w:t>
            </w:r>
          </w:p>
        </w:tc>
      </w:tr>
    </w:tbl>
    <w:p w14:paraId="29D492A5" w14:textId="77777777" w:rsidR="00C443A5" w:rsidRDefault="00C443A5"/>
    <w:p w14:paraId="4DEA7CAC" w14:textId="77777777" w:rsidR="00C443A5" w:rsidRPr="00EE4F57" w:rsidRDefault="00C443A5" w:rsidP="00C443A5">
      <w:pPr>
        <w:rPr>
          <w:rFonts w:cs="Arial"/>
          <w:b/>
          <w:bCs/>
          <w:color w:val="000000"/>
          <w:sz w:val="22"/>
          <w:szCs w:val="22"/>
          <w:lang w:eastAsia="en-AU"/>
        </w:rPr>
      </w:pPr>
      <w:r w:rsidRPr="00EE4F57">
        <w:rPr>
          <w:rFonts w:cs="Arial"/>
          <w:b/>
          <w:bCs/>
          <w:color w:val="000000"/>
          <w:sz w:val="22"/>
          <w:szCs w:val="22"/>
          <w:lang w:eastAsia="en-AU"/>
        </w:rPr>
        <w:t>Cash flows from investing activities</w:t>
      </w:r>
    </w:p>
    <w:tbl>
      <w:tblPr>
        <w:tblW w:w="9121" w:type="dxa"/>
        <w:tblInd w:w="108" w:type="dxa"/>
        <w:tblLook w:val="04A0" w:firstRow="1" w:lastRow="0" w:firstColumn="1" w:lastColumn="0" w:noHBand="0" w:noVBand="1"/>
      </w:tblPr>
      <w:tblGrid>
        <w:gridCol w:w="4924"/>
        <w:gridCol w:w="1060"/>
        <w:gridCol w:w="1482"/>
        <w:gridCol w:w="1655"/>
      </w:tblGrid>
      <w:tr w:rsidR="00C443A5" w:rsidRPr="00EE4F57" w14:paraId="5EA736B7" w14:textId="77777777" w:rsidTr="00C443A5">
        <w:trPr>
          <w:trHeight w:val="300"/>
          <w:tblHeader/>
        </w:trPr>
        <w:tc>
          <w:tcPr>
            <w:tcW w:w="4924" w:type="dxa"/>
            <w:tcBorders>
              <w:top w:val="nil"/>
              <w:left w:val="nil"/>
              <w:bottom w:val="nil"/>
              <w:right w:val="nil"/>
            </w:tcBorders>
            <w:shd w:val="clear" w:color="auto" w:fill="auto"/>
            <w:vAlign w:val="bottom"/>
          </w:tcPr>
          <w:p w14:paraId="5EA736B2" w14:textId="3B731B04" w:rsidR="00C443A5" w:rsidRPr="00EE4F57" w:rsidRDefault="00C443A5" w:rsidP="00EE4F57">
            <w:pPr>
              <w:rPr>
                <w:rFonts w:cs="Arial"/>
                <w:b/>
                <w:bCs/>
                <w:color w:val="000000"/>
                <w:sz w:val="22"/>
                <w:szCs w:val="22"/>
                <w:lang w:eastAsia="en-AU"/>
              </w:rPr>
            </w:pPr>
            <w:bookmarkStart w:id="135" w:name="Table_16"/>
            <w:bookmarkEnd w:id="135"/>
          </w:p>
        </w:tc>
        <w:tc>
          <w:tcPr>
            <w:tcW w:w="1060" w:type="dxa"/>
            <w:tcBorders>
              <w:top w:val="nil"/>
              <w:left w:val="nil"/>
              <w:bottom w:val="single" w:sz="4" w:space="0" w:color="auto"/>
              <w:right w:val="nil"/>
            </w:tcBorders>
            <w:shd w:val="clear" w:color="auto" w:fill="auto"/>
            <w:vAlign w:val="center"/>
          </w:tcPr>
          <w:p w14:paraId="5EA736B3" w14:textId="579DD66A" w:rsidR="00C443A5" w:rsidRPr="00EE4F57" w:rsidRDefault="00C443A5" w:rsidP="00EE4F57">
            <w:pPr>
              <w:jc w:val="center"/>
              <w:rPr>
                <w:rFonts w:cs="Arial"/>
                <w:b/>
                <w:bCs/>
                <w:color w:val="000000"/>
                <w:sz w:val="22"/>
                <w:szCs w:val="22"/>
                <w:lang w:eastAsia="en-AU"/>
              </w:rPr>
            </w:pPr>
            <w:r w:rsidRPr="00EE4F57">
              <w:rPr>
                <w:rFonts w:cs="Arial"/>
                <w:b/>
                <w:bCs/>
                <w:color w:val="000000"/>
                <w:sz w:val="22"/>
                <w:szCs w:val="22"/>
                <w:lang w:eastAsia="en-AU"/>
              </w:rPr>
              <w:t>Note</w:t>
            </w:r>
          </w:p>
        </w:tc>
        <w:tc>
          <w:tcPr>
            <w:tcW w:w="1482" w:type="dxa"/>
            <w:tcBorders>
              <w:top w:val="nil"/>
              <w:left w:val="nil"/>
              <w:bottom w:val="single" w:sz="4" w:space="0" w:color="auto"/>
              <w:right w:val="nil"/>
            </w:tcBorders>
            <w:shd w:val="clear" w:color="000000" w:fill="BFBFBF" w:themeFill="background1" w:themeFillShade="BF"/>
            <w:vAlign w:val="center"/>
          </w:tcPr>
          <w:p w14:paraId="5EA736B5" w14:textId="5D37837D" w:rsidR="00C443A5" w:rsidRPr="00EE4F57" w:rsidRDefault="00C443A5" w:rsidP="00EE4F57">
            <w:pPr>
              <w:jc w:val="right"/>
              <w:rPr>
                <w:rFonts w:cs="Arial"/>
                <w:color w:val="003366"/>
                <w:sz w:val="22"/>
                <w:szCs w:val="22"/>
                <w:lang w:eastAsia="en-AU"/>
              </w:rPr>
            </w:pPr>
            <w:r w:rsidRPr="006C0CC6">
              <w:rPr>
                <w:rFonts w:cs="Arial"/>
                <w:b/>
                <w:color w:val="000000"/>
                <w:sz w:val="22"/>
                <w:szCs w:val="22"/>
                <w:lang w:eastAsia="en-AU"/>
              </w:rPr>
              <w:t>2015</w:t>
            </w:r>
          </w:p>
        </w:tc>
        <w:tc>
          <w:tcPr>
            <w:tcW w:w="1655" w:type="dxa"/>
            <w:tcBorders>
              <w:top w:val="nil"/>
              <w:left w:val="nil"/>
              <w:bottom w:val="single" w:sz="4" w:space="0" w:color="auto"/>
              <w:right w:val="nil"/>
            </w:tcBorders>
            <w:shd w:val="clear" w:color="auto" w:fill="auto"/>
            <w:vAlign w:val="center"/>
          </w:tcPr>
          <w:p w14:paraId="5EA736B6" w14:textId="35BC413B" w:rsidR="00C443A5" w:rsidRPr="00EE4F57" w:rsidRDefault="00C443A5" w:rsidP="00EE4F57">
            <w:pPr>
              <w:jc w:val="right"/>
              <w:rPr>
                <w:rFonts w:cs="Arial"/>
                <w:color w:val="003366"/>
                <w:sz w:val="22"/>
                <w:szCs w:val="22"/>
                <w:lang w:eastAsia="en-AU"/>
              </w:rPr>
            </w:pPr>
            <w:r w:rsidRPr="00EE4F57">
              <w:rPr>
                <w:rFonts w:cs="Arial"/>
                <w:color w:val="000000"/>
                <w:sz w:val="22"/>
                <w:szCs w:val="22"/>
                <w:lang w:eastAsia="en-AU"/>
              </w:rPr>
              <w:t>2014</w:t>
            </w:r>
          </w:p>
        </w:tc>
      </w:tr>
      <w:tr w:rsidR="00C443A5" w:rsidRPr="00EE4F57" w14:paraId="5EA736BD" w14:textId="77777777" w:rsidTr="00C443A5">
        <w:trPr>
          <w:trHeight w:val="360"/>
        </w:trPr>
        <w:tc>
          <w:tcPr>
            <w:tcW w:w="4924" w:type="dxa"/>
            <w:tcBorders>
              <w:top w:val="nil"/>
              <w:left w:val="nil"/>
              <w:bottom w:val="nil"/>
              <w:right w:val="nil"/>
            </w:tcBorders>
            <w:shd w:val="clear" w:color="auto" w:fill="auto"/>
            <w:vAlign w:val="bottom"/>
            <w:hideMark/>
          </w:tcPr>
          <w:p w14:paraId="5EA736B8" w14:textId="77777777" w:rsidR="00C443A5" w:rsidRPr="00EE4F57" w:rsidRDefault="00C443A5" w:rsidP="00EE4F57">
            <w:pPr>
              <w:rPr>
                <w:rFonts w:cs="Arial"/>
                <w:color w:val="000000"/>
                <w:sz w:val="22"/>
                <w:szCs w:val="22"/>
                <w:lang w:eastAsia="en-AU"/>
              </w:rPr>
            </w:pPr>
            <w:r w:rsidRPr="00EE4F57">
              <w:rPr>
                <w:rFonts w:cs="Arial"/>
                <w:color w:val="000000"/>
                <w:sz w:val="22"/>
                <w:szCs w:val="22"/>
                <w:lang w:eastAsia="en-AU"/>
              </w:rPr>
              <w:t>Payment for property, plant and equipment</w:t>
            </w:r>
          </w:p>
        </w:tc>
        <w:tc>
          <w:tcPr>
            <w:tcW w:w="1060" w:type="dxa"/>
            <w:tcBorders>
              <w:top w:val="single" w:sz="4" w:space="0" w:color="auto"/>
              <w:left w:val="nil"/>
              <w:bottom w:val="nil"/>
              <w:right w:val="nil"/>
            </w:tcBorders>
            <w:shd w:val="clear" w:color="auto" w:fill="auto"/>
            <w:vAlign w:val="bottom"/>
            <w:hideMark/>
          </w:tcPr>
          <w:p w14:paraId="5EA736B9" w14:textId="69037209"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single" w:sz="4" w:space="0" w:color="auto"/>
              <w:left w:val="nil"/>
              <w:bottom w:val="nil"/>
              <w:right w:val="nil"/>
            </w:tcBorders>
            <w:shd w:val="clear" w:color="000000" w:fill="BFBFBF" w:themeFill="background1" w:themeFillShade="BF"/>
            <w:vAlign w:val="bottom"/>
          </w:tcPr>
          <w:p w14:paraId="5EA736BB" w14:textId="77777777" w:rsidR="00C443A5" w:rsidRPr="00EE4F57" w:rsidRDefault="00C443A5" w:rsidP="00EE4F57">
            <w:pPr>
              <w:jc w:val="right"/>
              <w:rPr>
                <w:rFonts w:cs="Arial"/>
                <w:color w:val="000000"/>
                <w:sz w:val="22"/>
                <w:szCs w:val="22"/>
                <w:lang w:eastAsia="en-AU"/>
              </w:rPr>
            </w:pPr>
            <w:r>
              <w:rPr>
                <w:rFonts w:cs="Arial"/>
                <w:color w:val="000000"/>
                <w:sz w:val="22"/>
                <w:szCs w:val="22"/>
                <w:lang w:eastAsia="en-AU"/>
              </w:rPr>
              <w:t>(3,637)</w:t>
            </w:r>
          </w:p>
        </w:tc>
        <w:tc>
          <w:tcPr>
            <w:tcW w:w="1655" w:type="dxa"/>
            <w:tcBorders>
              <w:top w:val="single" w:sz="4" w:space="0" w:color="auto"/>
              <w:left w:val="nil"/>
              <w:bottom w:val="nil"/>
              <w:right w:val="nil"/>
            </w:tcBorders>
            <w:shd w:val="clear" w:color="auto" w:fill="auto"/>
            <w:vAlign w:val="bottom"/>
            <w:hideMark/>
          </w:tcPr>
          <w:p w14:paraId="5EA736BC"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(6,050)</w:t>
            </w:r>
          </w:p>
        </w:tc>
      </w:tr>
      <w:tr w:rsidR="00C443A5" w:rsidRPr="00EE4F57" w14:paraId="5EA736C3" w14:textId="77777777" w:rsidTr="00C443A5">
        <w:trPr>
          <w:trHeight w:val="360"/>
        </w:trPr>
        <w:tc>
          <w:tcPr>
            <w:tcW w:w="4924" w:type="dxa"/>
            <w:tcBorders>
              <w:top w:val="nil"/>
              <w:left w:val="nil"/>
              <w:bottom w:val="nil"/>
              <w:right w:val="nil"/>
            </w:tcBorders>
            <w:shd w:val="clear" w:color="auto" w:fill="auto"/>
            <w:vAlign w:val="bottom"/>
            <w:hideMark/>
          </w:tcPr>
          <w:p w14:paraId="5EA736BE" w14:textId="77777777" w:rsidR="00C443A5" w:rsidRPr="00EE4F57" w:rsidRDefault="00C443A5" w:rsidP="00EE4F57">
            <w:pPr>
              <w:rPr>
                <w:rFonts w:cs="Arial"/>
                <w:color w:val="000000"/>
                <w:sz w:val="22"/>
                <w:szCs w:val="22"/>
                <w:lang w:eastAsia="en-AU"/>
              </w:rPr>
            </w:pPr>
            <w:r w:rsidRPr="00EE4F57">
              <w:rPr>
                <w:rFonts w:cs="Arial"/>
                <w:color w:val="000000"/>
                <w:sz w:val="22"/>
                <w:szCs w:val="22"/>
                <w:lang w:eastAsia="en-AU"/>
              </w:rPr>
              <w:t>Payment for intangible assets</w:t>
            </w:r>
          </w:p>
        </w:tc>
        <w:tc>
          <w:tcPr>
            <w:tcW w:w="1060" w:type="dxa"/>
            <w:tcBorders>
              <w:top w:val="nil"/>
              <w:left w:val="nil"/>
              <w:bottom w:val="nil"/>
              <w:right w:val="nil"/>
            </w:tcBorders>
            <w:shd w:val="clear" w:color="auto" w:fill="auto"/>
            <w:vAlign w:val="bottom"/>
            <w:hideMark/>
          </w:tcPr>
          <w:p w14:paraId="5EA736BF" w14:textId="443AA367"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nil"/>
              <w:right w:val="nil"/>
            </w:tcBorders>
            <w:shd w:val="clear" w:color="000000" w:fill="BFBFBF" w:themeFill="background1" w:themeFillShade="BF"/>
            <w:vAlign w:val="bottom"/>
          </w:tcPr>
          <w:p w14:paraId="5EA736C1" w14:textId="77777777" w:rsidR="00C443A5" w:rsidRPr="00EE4F57" w:rsidRDefault="00C443A5" w:rsidP="00073C4E">
            <w:pPr>
              <w:jc w:val="right"/>
              <w:rPr>
                <w:rFonts w:cs="Arial"/>
                <w:color w:val="000000"/>
                <w:sz w:val="22"/>
                <w:szCs w:val="22"/>
                <w:lang w:eastAsia="en-AU"/>
              </w:rPr>
            </w:pPr>
            <w:r>
              <w:rPr>
                <w:rFonts w:cs="Arial"/>
                <w:color w:val="000000"/>
                <w:sz w:val="22"/>
                <w:szCs w:val="22"/>
                <w:lang w:eastAsia="en-AU"/>
              </w:rPr>
              <w:t>(852)</w:t>
            </w:r>
          </w:p>
        </w:tc>
        <w:tc>
          <w:tcPr>
            <w:tcW w:w="1655" w:type="dxa"/>
            <w:tcBorders>
              <w:top w:val="nil"/>
              <w:left w:val="nil"/>
              <w:bottom w:val="nil"/>
              <w:right w:val="nil"/>
            </w:tcBorders>
            <w:shd w:val="clear" w:color="auto" w:fill="auto"/>
            <w:vAlign w:val="bottom"/>
            <w:hideMark/>
          </w:tcPr>
          <w:p w14:paraId="5EA736C2"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(795)</w:t>
            </w:r>
          </w:p>
        </w:tc>
      </w:tr>
      <w:tr w:rsidR="00C443A5" w:rsidRPr="00EE4F57" w14:paraId="5EA736C9" w14:textId="77777777" w:rsidTr="00C443A5">
        <w:trPr>
          <w:trHeight w:val="360"/>
        </w:trPr>
        <w:tc>
          <w:tcPr>
            <w:tcW w:w="4924" w:type="dxa"/>
            <w:tcBorders>
              <w:top w:val="nil"/>
              <w:left w:val="nil"/>
              <w:bottom w:val="nil"/>
              <w:right w:val="nil"/>
            </w:tcBorders>
            <w:shd w:val="clear" w:color="auto" w:fill="auto"/>
            <w:vAlign w:val="bottom"/>
            <w:hideMark/>
          </w:tcPr>
          <w:p w14:paraId="5EA736C4" w14:textId="77777777" w:rsidR="00C443A5" w:rsidRPr="00EE4F57" w:rsidRDefault="00C443A5" w:rsidP="00EE4F57">
            <w:pPr>
              <w:rPr>
                <w:rFonts w:cs="Arial"/>
                <w:color w:val="000000"/>
                <w:sz w:val="22"/>
                <w:szCs w:val="22"/>
                <w:lang w:eastAsia="en-AU"/>
              </w:rPr>
            </w:pPr>
            <w:r w:rsidRPr="00EE4F57">
              <w:rPr>
                <w:rFonts w:cs="Arial"/>
                <w:color w:val="000000"/>
                <w:sz w:val="22"/>
                <w:szCs w:val="22"/>
                <w:lang w:eastAsia="en-AU"/>
              </w:rPr>
              <w:t>Payment for investments and term deposits</w:t>
            </w:r>
          </w:p>
        </w:tc>
        <w:tc>
          <w:tcPr>
            <w:tcW w:w="1060" w:type="dxa"/>
            <w:tcBorders>
              <w:top w:val="nil"/>
              <w:left w:val="nil"/>
              <w:bottom w:val="nil"/>
              <w:right w:val="nil"/>
            </w:tcBorders>
            <w:shd w:val="clear" w:color="auto" w:fill="auto"/>
            <w:vAlign w:val="bottom"/>
            <w:hideMark/>
          </w:tcPr>
          <w:p w14:paraId="5EA736C5" w14:textId="189B81FC"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nil"/>
              <w:right w:val="nil"/>
            </w:tcBorders>
            <w:shd w:val="clear" w:color="000000" w:fill="BFBFBF" w:themeFill="background1" w:themeFillShade="BF"/>
            <w:vAlign w:val="bottom"/>
          </w:tcPr>
          <w:p w14:paraId="5EA736C7" w14:textId="77777777" w:rsidR="00C443A5" w:rsidRPr="00EE4F57" w:rsidRDefault="00C443A5" w:rsidP="00073C4E">
            <w:pPr>
              <w:jc w:val="right"/>
              <w:rPr>
                <w:rFonts w:cs="Arial"/>
                <w:color w:val="000000"/>
                <w:sz w:val="22"/>
                <w:szCs w:val="22"/>
                <w:lang w:eastAsia="en-AU"/>
              </w:rPr>
            </w:pPr>
            <w:r>
              <w:rPr>
                <w:rFonts w:cs="Arial"/>
                <w:color w:val="000000"/>
                <w:sz w:val="22"/>
                <w:szCs w:val="22"/>
                <w:lang w:eastAsia="en-AU"/>
              </w:rPr>
              <w:t>(102,807)</w:t>
            </w:r>
          </w:p>
        </w:tc>
        <w:tc>
          <w:tcPr>
            <w:tcW w:w="1655" w:type="dxa"/>
            <w:tcBorders>
              <w:top w:val="nil"/>
              <w:left w:val="nil"/>
              <w:bottom w:val="nil"/>
              <w:right w:val="nil"/>
            </w:tcBorders>
            <w:shd w:val="clear" w:color="auto" w:fill="auto"/>
            <w:vAlign w:val="bottom"/>
            <w:hideMark/>
          </w:tcPr>
          <w:p w14:paraId="5EA736C8"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(44,476)</w:t>
            </w:r>
          </w:p>
        </w:tc>
      </w:tr>
      <w:tr w:rsidR="00C443A5" w:rsidRPr="00EE4F57" w14:paraId="5EA736CF" w14:textId="77777777" w:rsidTr="00C443A5">
        <w:trPr>
          <w:trHeight w:val="360"/>
        </w:trPr>
        <w:tc>
          <w:tcPr>
            <w:tcW w:w="4924" w:type="dxa"/>
            <w:tcBorders>
              <w:top w:val="nil"/>
              <w:left w:val="nil"/>
              <w:bottom w:val="nil"/>
              <w:right w:val="nil"/>
            </w:tcBorders>
            <w:shd w:val="clear" w:color="auto" w:fill="auto"/>
            <w:vAlign w:val="bottom"/>
            <w:hideMark/>
          </w:tcPr>
          <w:p w14:paraId="5EA736CA" w14:textId="77777777" w:rsidR="00C443A5" w:rsidRPr="00EE4F57" w:rsidRDefault="00C443A5" w:rsidP="00EE4F57">
            <w:pPr>
              <w:rPr>
                <w:rFonts w:cs="Arial"/>
                <w:color w:val="000000"/>
                <w:sz w:val="22"/>
                <w:szCs w:val="22"/>
                <w:lang w:eastAsia="en-AU"/>
              </w:rPr>
            </w:pPr>
            <w:r w:rsidRPr="00EE4F57">
              <w:rPr>
                <w:rFonts w:cs="Arial"/>
                <w:color w:val="000000"/>
                <w:sz w:val="22"/>
                <w:szCs w:val="22"/>
                <w:lang w:eastAsia="en-AU"/>
              </w:rPr>
              <w:t xml:space="preserve">Proceeds from sale of property, plant and equipment </w:t>
            </w:r>
          </w:p>
        </w:tc>
        <w:tc>
          <w:tcPr>
            <w:tcW w:w="1060" w:type="dxa"/>
            <w:tcBorders>
              <w:top w:val="nil"/>
              <w:left w:val="nil"/>
              <w:bottom w:val="nil"/>
              <w:right w:val="nil"/>
            </w:tcBorders>
            <w:shd w:val="clear" w:color="auto" w:fill="auto"/>
            <w:vAlign w:val="bottom"/>
            <w:hideMark/>
          </w:tcPr>
          <w:p w14:paraId="5EA736CB" w14:textId="20D652AD"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nil"/>
              <w:right w:val="nil"/>
            </w:tcBorders>
            <w:shd w:val="clear" w:color="000000" w:fill="BFBFBF" w:themeFill="background1" w:themeFillShade="BF"/>
            <w:vAlign w:val="bottom"/>
          </w:tcPr>
          <w:p w14:paraId="5EA736CD" w14:textId="284407AA" w:rsidR="00C443A5" w:rsidRPr="00EE4F57" w:rsidRDefault="00C443A5">
            <w:pPr>
              <w:jc w:val="right"/>
              <w:rPr>
                <w:rFonts w:cs="Arial"/>
                <w:color w:val="000000"/>
                <w:sz w:val="22"/>
                <w:szCs w:val="22"/>
                <w:lang w:eastAsia="zh-CN"/>
              </w:rPr>
            </w:pPr>
            <w:r>
              <w:rPr>
                <w:rFonts w:cs="Arial"/>
                <w:color w:val="000000"/>
                <w:sz w:val="22"/>
                <w:szCs w:val="22"/>
                <w:lang w:eastAsia="en-AU"/>
              </w:rPr>
              <w:t>1,43</w:t>
            </w:r>
            <w:r>
              <w:rPr>
                <w:rFonts w:cs="Arial"/>
                <w:color w:val="000000"/>
                <w:sz w:val="22"/>
                <w:szCs w:val="22"/>
                <w:lang w:eastAsia="zh-CN"/>
              </w:rPr>
              <w:t>6</w:t>
            </w:r>
          </w:p>
        </w:tc>
        <w:tc>
          <w:tcPr>
            <w:tcW w:w="1655" w:type="dxa"/>
            <w:tcBorders>
              <w:top w:val="nil"/>
              <w:left w:val="nil"/>
              <w:bottom w:val="nil"/>
              <w:right w:val="nil"/>
            </w:tcBorders>
            <w:shd w:val="clear" w:color="auto" w:fill="auto"/>
            <w:vAlign w:val="bottom"/>
            <w:hideMark/>
          </w:tcPr>
          <w:p w14:paraId="5EA736CE" w14:textId="77777777" w:rsidR="00C443A5" w:rsidRPr="00EE4F57" w:rsidRDefault="00C443A5" w:rsidP="00EE4F57">
            <w:pPr>
              <w:jc w:val="right"/>
              <w:rPr>
                <w:rFonts w:cs="Arial"/>
                <w:color w:val="000000"/>
                <w:sz w:val="22"/>
                <w:szCs w:val="22"/>
                <w:lang w:eastAsia="en-AU"/>
              </w:rPr>
            </w:pPr>
            <w:r>
              <w:rPr>
                <w:rFonts w:cs="Arial"/>
                <w:color w:val="000000"/>
                <w:sz w:val="22"/>
                <w:szCs w:val="22"/>
                <w:lang w:eastAsia="en-AU"/>
              </w:rPr>
              <w:t>521</w:t>
            </w:r>
          </w:p>
        </w:tc>
      </w:tr>
      <w:tr w:rsidR="00C443A5" w:rsidRPr="00EE4F57" w14:paraId="5EA736D5" w14:textId="77777777" w:rsidTr="00C443A5">
        <w:trPr>
          <w:trHeight w:val="360"/>
        </w:trPr>
        <w:tc>
          <w:tcPr>
            <w:tcW w:w="4924" w:type="dxa"/>
            <w:tcBorders>
              <w:top w:val="nil"/>
              <w:left w:val="nil"/>
              <w:bottom w:val="nil"/>
              <w:right w:val="nil"/>
            </w:tcBorders>
            <w:shd w:val="clear" w:color="auto" w:fill="auto"/>
            <w:vAlign w:val="bottom"/>
          </w:tcPr>
          <w:p w14:paraId="5EA736D0" w14:textId="77777777" w:rsidR="00C443A5" w:rsidRPr="00EE4F57" w:rsidRDefault="00C443A5" w:rsidP="00EE4F57">
            <w:pPr>
              <w:rPr>
                <w:rFonts w:cs="Arial"/>
                <w:color w:val="000000"/>
                <w:sz w:val="22"/>
                <w:szCs w:val="22"/>
                <w:lang w:eastAsia="en-AU"/>
              </w:rPr>
            </w:pPr>
            <w:r w:rsidRPr="00A72A64">
              <w:rPr>
                <w:rFonts w:cs="Arial"/>
                <w:color w:val="000000"/>
                <w:sz w:val="22"/>
                <w:szCs w:val="22"/>
                <w:lang w:eastAsia="en-AU"/>
              </w:rPr>
              <w:t>Proceeds from sale of property, and non-current assets classified as held for sale</w:t>
            </w:r>
          </w:p>
        </w:tc>
        <w:tc>
          <w:tcPr>
            <w:tcW w:w="1060" w:type="dxa"/>
            <w:tcBorders>
              <w:top w:val="nil"/>
              <w:left w:val="nil"/>
              <w:bottom w:val="nil"/>
              <w:right w:val="nil"/>
            </w:tcBorders>
            <w:shd w:val="clear" w:color="auto" w:fill="auto"/>
            <w:vAlign w:val="bottom"/>
          </w:tcPr>
          <w:p w14:paraId="5EA736D1" w14:textId="592E7E2E"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nil"/>
              <w:right w:val="nil"/>
            </w:tcBorders>
            <w:shd w:val="clear" w:color="000000" w:fill="BFBFBF" w:themeFill="background1" w:themeFillShade="BF"/>
            <w:vAlign w:val="bottom"/>
          </w:tcPr>
          <w:p w14:paraId="5EA736D3" w14:textId="77777777" w:rsidR="00C443A5" w:rsidRDefault="00C443A5" w:rsidP="00EE4F57">
            <w:pPr>
              <w:jc w:val="right"/>
              <w:rPr>
                <w:rFonts w:cs="Arial"/>
                <w:color w:val="000000"/>
                <w:sz w:val="22"/>
                <w:szCs w:val="22"/>
                <w:lang w:eastAsia="en-AU"/>
              </w:rPr>
            </w:pPr>
            <w:r>
              <w:rPr>
                <w:rFonts w:cs="Arial"/>
                <w:color w:val="000000"/>
                <w:sz w:val="22"/>
                <w:szCs w:val="22"/>
                <w:lang w:eastAsia="en-AU"/>
              </w:rPr>
              <w:t>2,205</w:t>
            </w:r>
          </w:p>
        </w:tc>
        <w:tc>
          <w:tcPr>
            <w:tcW w:w="1655" w:type="dxa"/>
            <w:tcBorders>
              <w:top w:val="nil"/>
              <w:left w:val="nil"/>
              <w:bottom w:val="nil"/>
              <w:right w:val="nil"/>
            </w:tcBorders>
            <w:shd w:val="clear" w:color="auto" w:fill="auto"/>
            <w:vAlign w:val="bottom"/>
          </w:tcPr>
          <w:p w14:paraId="5EA736D4" w14:textId="77777777" w:rsidR="00C443A5" w:rsidRDefault="00C443A5" w:rsidP="00EE4F57">
            <w:pPr>
              <w:jc w:val="right"/>
              <w:rPr>
                <w:rFonts w:cs="Arial"/>
                <w:color w:val="000000"/>
                <w:sz w:val="22"/>
                <w:szCs w:val="22"/>
                <w:lang w:eastAsia="en-AU"/>
              </w:rPr>
            </w:pPr>
            <w:r>
              <w:rPr>
                <w:rFonts w:cs="Arial"/>
                <w:color w:val="000000"/>
                <w:sz w:val="22"/>
                <w:szCs w:val="22"/>
                <w:lang w:eastAsia="en-AU"/>
              </w:rPr>
              <w:t>-</w:t>
            </w:r>
          </w:p>
        </w:tc>
      </w:tr>
      <w:tr w:rsidR="00C443A5" w:rsidRPr="00EE4F57" w14:paraId="5EA736DB" w14:textId="77777777" w:rsidTr="00C443A5">
        <w:trPr>
          <w:trHeight w:val="360"/>
        </w:trPr>
        <w:tc>
          <w:tcPr>
            <w:tcW w:w="4924" w:type="dxa"/>
            <w:tcBorders>
              <w:top w:val="nil"/>
              <w:left w:val="nil"/>
              <w:bottom w:val="nil"/>
              <w:right w:val="nil"/>
            </w:tcBorders>
            <w:shd w:val="clear" w:color="auto" w:fill="auto"/>
            <w:vAlign w:val="bottom"/>
            <w:hideMark/>
          </w:tcPr>
          <w:p w14:paraId="5EA736D6" w14:textId="77777777" w:rsidR="00C443A5" w:rsidRPr="00EE4F57" w:rsidRDefault="00C443A5" w:rsidP="00EE4F57">
            <w:pPr>
              <w:rPr>
                <w:rFonts w:cs="Arial"/>
                <w:color w:val="000000"/>
                <w:sz w:val="22"/>
                <w:szCs w:val="22"/>
                <w:lang w:eastAsia="en-AU"/>
              </w:rPr>
            </w:pPr>
            <w:r w:rsidRPr="00EE4F57">
              <w:rPr>
                <w:rFonts w:cs="Arial"/>
                <w:color w:val="000000"/>
                <w:sz w:val="22"/>
                <w:szCs w:val="22"/>
                <w:lang w:eastAsia="en-AU"/>
              </w:rPr>
              <w:t>Proceeds from sale of investments</w:t>
            </w:r>
          </w:p>
        </w:tc>
        <w:tc>
          <w:tcPr>
            <w:tcW w:w="1060" w:type="dxa"/>
            <w:tcBorders>
              <w:top w:val="nil"/>
              <w:left w:val="nil"/>
              <w:bottom w:val="nil"/>
              <w:right w:val="nil"/>
            </w:tcBorders>
            <w:shd w:val="clear" w:color="auto" w:fill="auto"/>
            <w:vAlign w:val="bottom"/>
            <w:hideMark/>
          </w:tcPr>
          <w:p w14:paraId="5EA736D7" w14:textId="67AB818D"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single" w:sz="8" w:space="0" w:color="auto"/>
              <w:right w:val="nil"/>
            </w:tcBorders>
            <w:shd w:val="clear" w:color="000000" w:fill="BFBFBF" w:themeFill="background1" w:themeFillShade="BF"/>
            <w:vAlign w:val="bottom"/>
          </w:tcPr>
          <w:p w14:paraId="5EA736D9" w14:textId="1FD8342F" w:rsidR="00C443A5" w:rsidRPr="00EE4F57" w:rsidRDefault="00C443A5" w:rsidP="00620D94">
            <w:pPr>
              <w:jc w:val="right"/>
              <w:rPr>
                <w:rFonts w:cs="Arial"/>
                <w:color w:val="000000"/>
                <w:sz w:val="22"/>
                <w:szCs w:val="22"/>
                <w:lang w:eastAsia="zh-CN"/>
              </w:rPr>
            </w:pPr>
            <w:r>
              <w:rPr>
                <w:rFonts w:cs="Arial"/>
                <w:color w:val="000000"/>
                <w:sz w:val="22"/>
                <w:szCs w:val="22"/>
                <w:lang w:eastAsia="en-AU"/>
              </w:rPr>
              <w:t>91,62</w:t>
            </w:r>
            <w:r>
              <w:rPr>
                <w:rFonts w:cs="Arial" w:hint="eastAsia"/>
                <w:color w:val="000000"/>
                <w:sz w:val="22"/>
                <w:szCs w:val="22"/>
                <w:lang w:eastAsia="zh-CN"/>
              </w:rPr>
              <w:t>4</w:t>
            </w:r>
          </w:p>
        </w:tc>
        <w:tc>
          <w:tcPr>
            <w:tcW w:w="1655" w:type="dxa"/>
            <w:tcBorders>
              <w:top w:val="nil"/>
              <w:left w:val="nil"/>
              <w:bottom w:val="single" w:sz="8" w:space="0" w:color="auto"/>
              <w:right w:val="nil"/>
            </w:tcBorders>
            <w:shd w:val="clear" w:color="auto" w:fill="auto"/>
            <w:vAlign w:val="bottom"/>
            <w:hideMark/>
          </w:tcPr>
          <w:p w14:paraId="5EA736DA"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49,648</w:t>
            </w:r>
          </w:p>
        </w:tc>
      </w:tr>
      <w:tr w:rsidR="00C443A5" w:rsidRPr="00EE4F57" w14:paraId="5EA736E1" w14:textId="77777777" w:rsidTr="00C443A5">
        <w:trPr>
          <w:trHeight w:val="510"/>
        </w:trPr>
        <w:tc>
          <w:tcPr>
            <w:tcW w:w="4924" w:type="dxa"/>
            <w:tcBorders>
              <w:top w:val="nil"/>
              <w:left w:val="nil"/>
              <w:bottom w:val="nil"/>
              <w:right w:val="nil"/>
            </w:tcBorders>
            <w:shd w:val="clear" w:color="auto" w:fill="auto"/>
            <w:vAlign w:val="bottom"/>
            <w:hideMark/>
          </w:tcPr>
          <w:p w14:paraId="5EA736DC" w14:textId="77777777" w:rsidR="00C443A5" w:rsidRPr="00EE4F57" w:rsidRDefault="00C443A5" w:rsidP="00710408">
            <w:pPr>
              <w:rPr>
                <w:rFonts w:cs="Arial"/>
                <w:color w:val="000000"/>
                <w:sz w:val="22"/>
                <w:szCs w:val="22"/>
                <w:lang w:eastAsia="en-AU"/>
              </w:rPr>
            </w:pPr>
            <w:r w:rsidRPr="00EE4F57">
              <w:rPr>
                <w:rFonts w:cs="Arial"/>
                <w:color w:val="000000"/>
                <w:sz w:val="22"/>
                <w:szCs w:val="22"/>
                <w:lang w:eastAsia="en-AU"/>
              </w:rPr>
              <w:t xml:space="preserve">Net cash </w:t>
            </w:r>
            <w:r>
              <w:rPr>
                <w:rFonts w:cs="Arial"/>
                <w:color w:val="000000"/>
                <w:sz w:val="22"/>
                <w:szCs w:val="22"/>
                <w:lang w:eastAsia="en-AU"/>
              </w:rPr>
              <w:t>(used in)</w:t>
            </w:r>
            <w:r w:rsidRPr="00EE4F57">
              <w:rPr>
                <w:rFonts w:cs="Arial"/>
                <w:color w:val="000000"/>
                <w:sz w:val="22"/>
                <w:szCs w:val="22"/>
                <w:lang w:eastAsia="en-AU"/>
              </w:rPr>
              <w:t xml:space="preserve"> investing activities</w:t>
            </w:r>
          </w:p>
        </w:tc>
        <w:tc>
          <w:tcPr>
            <w:tcW w:w="1060" w:type="dxa"/>
            <w:tcBorders>
              <w:top w:val="nil"/>
              <w:left w:val="nil"/>
              <w:bottom w:val="nil"/>
              <w:right w:val="nil"/>
            </w:tcBorders>
            <w:shd w:val="clear" w:color="auto" w:fill="auto"/>
            <w:vAlign w:val="bottom"/>
            <w:hideMark/>
          </w:tcPr>
          <w:p w14:paraId="5EA736DD" w14:textId="3995EC11" w:rsidR="00C443A5" w:rsidRPr="00EE4F57" w:rsidRDefault="00C443A5" w:rsidP="00EE4F57">
            <w:pPr>
              <w:jc w:val="center"/>
              <w:rPr>
                <w:rFonts w:cs="Arial"/>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single" w:sz="8" w:space="0" w:color="auto"/>
              <w:right w:val="nil"/>
            </w:tcBorders>
            <w:shd w:val="clear" w:color="000000" w:fill="BFBFBF" w:themeFill="background1" w:themeFillShade="BF"/>
            <w:vAlign w:val="bottom"/>
          </w:tcPr>
          <w:p w14:paraId="5EA736DF" w14:textId="51F2FC71" w:rsidR="00C443A5" w:rsidRPr="00EE4F57" w:rsidRDefault="00C443A5">
            <w:pPr>
              <w:jc w:val="right"/>
              <w:rPr>
                <w:rFonts w:cs="Arial"/>
                <w:color w:val="000000"/>
                <w:sz w:val="22"/>
                <w:szCs w:val="22"/>
                <w:lang w:eastAsia="en-AU"/>
              </w:rPr>
            </w:pPr>
            <w:r>
              <w:rPr>
                <w:rFonts w:cs="Arial"/>
                <w:color w:val="000000"/>
                <w:sz w:val="22"/>
                <w:szCs w:val="22"/>
                <w:lang w:eastAsia="en-AU"/>
              </w:rPr>
              <w:t>(12,031)</w:t>
            </w:r>
          </w:p>
        </w:tc>
        <w:tc>
          <w:tcPr>
            <w:tcW w:w="1655" w:type="dxa"/>
            <w:tcBorders>
              <w:top w:val="nil"/>
              <w:left w:val="nil"/>
              <w:bottom w:val="single" w:sz="8" w:space="0" w:color="auto"/>
              <w:right w:val="nil"/>
            </w:tcBorders>
            <w:shd w:val="clear" w:color="auto" w:fill="auto"/>
            <w:vAlign w:val="bottom"/>
            <w:hideMark/>
          </w:tcPr>
          <w:p w14:paraId="5EA736E0"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(1,152)</w:t>
            </w:r>
          </w:p>
        </w:tc>
      </w:tr>
    </w:tbl>
    <w:p w14:paraId="4E994260" w14:textId="77777777" w:rsidR="00C443A5" w:rsidRDefault="00C443A5">
      <w:pPr>
        <w:rPr>
          <w:rFonts w:cs="Arial"/>
          <w:b/>
          <w:bCs/>
          <w:color w:val="000000"/>
          <w:sz w:val="22"/>
          <w:szCs w:val="22"/>
          <w:lang w:eastAsia="en-AU"/>
        </w:rPr>
      </w:pPr>
    </w:p>
    <w:p w14:paraId="5E4F49CB" w14:textId="738793C3" w:rsidR="00C443A5" w:rsidRPr="00C443A5" w:rsidRDefault="00C443A5">
      <w:pPr>
        <w:rPr>
          <w:rFonts w:cs="Arial"/>
          <w:b/>
          <w:bCs/>
          <w:color w:val="000000"/>
          <w:sz w:val="22"/>
          <w:szCs w:val="22"/>
          <w:lang w:eastAsia="en-AU"/>
        </w:rPr>
      </w:pPr>
      <w:r w:rsidRPr="00C443A5">
        <w:rPr>
          <w:rFonts w:cs="Arial"/>
          <w:b/>
          <w:bCs/>
          <w:color w:val="000000"/>
          <w:sz w:val="22"/>
          <w:szCs w:val="22"/>
          <w:lang w:eastAsia="en-AU"/>
        </w:rPr>
        <w:t>Net position</w:t>
      </w:r>
    </w:p>
    <w:tbl>
      <w:tblPr>
        <w:tblW w:w="9121" w:type="dxa"/>
        <w:tblInd w:w="108" w:type="dxa"/>
        <w:tblLook w:val="04A0" w:firstRow="1" w:lastRow="0" w:firstColumn="1" w:lastColumn="0" w:noHBand="0" w:noVBand="1"/>
      </w:tblPr>
      <w:tblGrid>
        <w:gridCol w:w="4924"/>
        <w:gridCol w:w="1060"/>
        <w:gridCol w:w="1482"/>
        <w:gridCol w:w="1655"/>
      </w:tblGrid>
      <w:tr w:rsidR="00C443A5" w:rsidRPr="00EE4F57" w14:paraId="3CB58099" w14:textId="77777777" w:rsidTr="00C443A5">
        <w:trPr>
          <w:trHeight w:val="330"/>
          <w:tblHeader/>
        </w:trPr>
        <w:tc>
          <w:tcPr>
            <w:tcW w:w="4924" w:type="dxa"/>
            <w:tcBorders>
              <w:top w:val="nil"/>
              <w:left w:val="nil"/>
              <w:bottom w:val="nil"/>
              <w:right w:val="nil"/>
            </w:tcBorders>
            <w:shd w:val="clear" w:color="auto" w:fill="auto"/>
            <w:vAlign w:val="bottom"/>
          </w:tcPr>
          <w:p w14:paraId="44582AA3" w14:textId="77777777" w:rsidR="00C443A5" w:rsidRPr="00EE4F57" w:rsidRDefault="00C443A5" w:rsidP="00295C23">
            <w:pPr>
              <w:rPr>
                <w:rFonts w:cs="Arial"/>
                <w:b/>
                <w:bCs/>
                <w:color w:val="000000"/>
                <w:sz w:val="22"/>
                <w:szCs w:val="22"/>
                <w:lang w:eastAsia="en-AU"/>
              </w:rPr>
            </w:pPr>
            <w:bookmarkStart w:id="136" w:name="Table_17"/>
            <w:bookmarkEnd w:id="136"/>
          </w:p>
        </w:tc>
        <w:tc>
          <w:tcPr>
            <w:tcW w:w="1060" w:type="dxa"/>
            <w:tcBorders>
              <w:top w:val="nil"/>
              <w:left w:val="nil"/>
              <w:bottom w:val="single" w:sz="4" w:space="0" w:color="auto"/>
              <w:right w:val="nil"/>
            </w:tcBorders>
            <w:shd w:val="clear" w:color="auto" w:fill="auto"/>
            <w:vAlign w:val="center"/>
          </w:tcPr>
          <w:p w14:paraId="056891D3" w14:textId="7FF3290B" w:rsidR="00C443A5" w:rsidRPr="00C443A5" w:rsidRDefault="00C443A5" w:rsidP="00EE4F57">
            <w:pPr>
              <w:jc w:val="center"/>
              <w:rPr>
                <w:rFonts w:cs="Arial"/>
                <w:bCs/>
                <w:color w:val="000000"/>
                <w:sz w:val="22"/>
                <w:szCs w:val="22"/>
                <w:lang w:eastAsia="en-AU"/>
              </w:rPr>
            </w:pPr>
            <w:r w:rsidRPr="00EE4F57">
              <w:rPr>
                <w:rFonts w:cs="Arial"/>
                <w:b/>
                <w:bCs/>
                <w:color w:val="000000"/>
                <w:sz w:val="22"/>
                <w:szCs w:val="22"/>
                <w:lang w:eastAsia="en-AU"/>
              </w:rPr>
              <w:t>Note</w:t>
            </w:r>
          </w:p>
        </w:tc>
        <w:tc>
          <w:tcPr>
            <w:tcW w:w="1482" w:type="dxa"/>
            <w:tcBorders>
              <w:top w:val="nil"/>
              <w:left w:val="nil"/>
              <w:bottom w:val="single" w:sz="4" w:space="0" w:color="auto"/>
              <w:right w:val="nil"/>
            </w:tcBorders>
            <w:shd w:val="clear" w:color="000000" w:fill="BFBFBF" w:themeFill="background1" w:themeFillShade="BF"/>
            <w:vAlign w:val="center"/>
          </w:tcPr>
          <w:p w14:paraId="17AF00A1" w14:textId="2E7A77CB" w:rsidR="00C443A5" w:rsidRDefault="00C443A5" w:rsidP="00073C4E">
            <w:pPr>
              <w:jc w:val="right"/>
              <w:rPr>
                <w:rFonts w:cs="Arial"/>
                <w:color w:val="000000"/>
                <w:sz w:val="22"/>
                <w:szCs w:val="22"/>
                <w:lang w:eastAsia="en-AU"/>
              </w:rPr>
            </w:pPr>
            <w:r w:rsidRPr="006C0CC6">
              <w:rPr>
                <w:rFonts w:cs="Arial"/>
                <w:b/>
                <w:color w:val="000000"/>
                <w:sz w:val="22"/>
                <w:szCs w:val="22"/>
                <w:lang w:eastAsia="en-AU"/>
              </w:rPr>
              <w:t>2015</w:t>
            </w:r>
          </w:p>
        </w:tc>
        <w:tc>
          <w:tcPr>
            <w:tcW w:w="1655" w:type="dxa"/>
            <w:tcBorders>
              <w:top w:val="nil"/>
              <w:left w:val="nil"/>
              <w:bottom w:val="single" w:sz="4" w:space="0" w:color="auto"/>
              <w:right w:val="nil"/>
            </w:tcBorders>
            <w:shd w:val="clear" w:color="auto" w:fill="auto"/>
            <w:vAlign w:val="center"/>
          </w:tcPr>
          <w:p w14:paraId="2FB7E413" w14:textId="2B5276B2"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2014</w:t>
            </w:r>
          </w:p>
        </w:tc>
      </w:tr>
      <w:tr w:rsidR="00C443A5" w:rsidRPr="00EE4F57" w14:paraId="5EA736E7" w14:textId="77777777" w:rsidTr="00C443A5">
        <w:trPr>
          <w:trHeight w:val="330"/>
        </w:trPr>
        <w:tc>
          <w:tcPr>
            <w:tcW w:w="4924" w:type="dxa"/>
            <w:tcBorders>
              <w:top w:val="nil"/>
              <w:left w:val="nil"/>
              <w:bottom w:val="nil"/>
              <w:right w:val="nil"/>
            </w:tcBorders>
            <w:shd w:val="clear" w:color="auto" w:fill="auto"/>
            <w:vAlign w:val="bottom"/>
            <w:hideMark/>
          </w:tcPr>
          <w:p w14:paraId="5EA736E2" w14:textId="77777777" w:rsidR="00C443A5" w:rsidRPr="00EE4F57" w:rsidRDefault="00C443A5" w:rsidP="00295C23">
            <w:pPr>
              <w:rPr>
                <w:rFonts w:cs="Arial"/>
                <w:b/>
                <w:bCs/>
                <w:color w:val="000000"/>
                <w:sz w:val="22"/>
                <w:szCs w:val="22"/>
                <w:lang w:eastAsia="en-AU"/>
              </w:rPr>
            </w:pPr>
            <w:r w:rsidRPr="00EE4F57">
              <w:rPr>
                <w:rFonts w:cs="Arial"/>
                <w:b/>
                <w:bCs/>
                <w:color w:val="000000"/>
                <w:sz w:val="22"/>
                <w:szCs w:val="22"/>
                <w:lang w:eastAsia="en-AU"/>
              </w:rPr>
              <w:t xml:space="preserve">Net </w:t>
            </w:r>
            <w:r>
              <w:rPr>
                <w:rFonts w:cs="Arial"/>
                <w:b/>
                <w:bCs/>
                <w:color w:val="000000"/>
                <w:sz w:val="22"/>
                <w:szCs w:val="22"/>
                <w:lang w:eastAsia="en-AU"/>
              </w:rPr>
              <w:t>(decrease)</w:t>
            </w:r>
            <w:r w:rsidRPr="00EE4F57">
              <w:rPr>
                <w:rFonts w:cs="Arial"/>
                <w:b/>
                <w:bCs/>
                <w:color w:val="000000"/>
                <w:sz w:val="22"/>
                <w:szCs w:val="22"/>
                <w:lang w:eastAsia="en-AU"/>
              </w:rPr>
              <w:t xml:space="preserve"> </w:t>
            </w:r>
            <w:r>
              <w:rPr>
                <w:rFonts w:cs="Arial"/>
                <w:b/>
                <w:bCs/>
                <w:color w:val="000000"/>
                <w:sz w:val="22"/>
                <w:szCs w:val="22"/>
                <w:lang w:eastAsia="en-AU"/>
              </w:rPr>
              <w:t xml:space="preserve">/ </w:t>
            </w:r>
            <w:r w:rsidRPr="00EE4F57">
              <w:rPr>
                <w:rFonts w:cs="Arial"/>
                <w:b/>
                <w:bCs/>
                <w:color w:val="000000"/>
                <w:sz w:val="22"/>
                <w:szCs w:val="22"/>
                <w:lang w:eastAsia="en-AU"/>
              </w:rPr>
              <w:t>increase</w:t>
            </w:r>
            <w:r>
              <w:rPr>
                <w:rFonts w:cs="Arial"/>
                <w:b/>
                <w:bCs/>
                <w:color w:val="000000"/>
                <w:sz w:val="22"/>
                <w:szCs w:val="22"/>
                <w:lang w:eastAsia="en-AU"/>
              </w:rPr>
              <w:t xml:space="preserve"> </w:t>
            </w:r>
            <w:r w:rsidRPr="00EE4F57">
              <w:rPr>
                <w:rFonts w:cs="Arial"/>
                <w:b/>
                <w:bCs/>
                <w:color w:val="000000"/>
                <w:sz w:val="22"/>
                <w:szCs w:val="22"/>
                <w:lang w:eastAsia="en-AU"/>
              </w:rPr>
              <w:t>in cash and cash equivalents</w:t>
            </w:r>
          </w:p>
        </w:tc>
        <w:tc>
          <w:tcPr>
            <w:tcW w:w="1060" w:type="dxa"/>
            <w:tcBorders>
              <w:top w:val="single" w:sz="4" w:space="0" w:color="auto"/>
              <w:left w:val="nil"/>
              <w:bottom w:val="nil"/>
              <w:right w:val="nil"/>
            </w:tcBorders>
            <w:shd w:val="clear" w:color="auto" w:fill="auto"/>
            <w:vAlign w:val="bottom"/>
            <w:hideMark/>
          </w:tcPr>
          <w:p w14:paraId="5EA736E3" w14:textId="478E2CF4" w:rsidR="00C443A5" w:rsidRPr="00EE4F57" w:rsidRDefault="00C443A5" w:rsidP="00EE4F57">
            <w:pPr>
              <w:jc w:val="center"/>
              <w:rPr>
                <w:rFonts w:cs="Arial"/>
                <w:b/>
                <w:bCs/>
                <w:color w:val="000000"/>
                <w:sz w:val="22"/>
                <w:szCs w:val="22"/>
                <w:lang w:eastAsia="en-AU"/>
              </w:rPr>
            </w:pPr>
            <w:r w:rsidRPr="00C443A5">
              <w:rPr>
                <w:rFonts w:cs="Arial"/>
                <w:bCs/>
                <w:color w:val="000000"/>
                <w:sz w:val="22"/>
                <w:szCs w:val="22"/>
                <w:lang w:eastAsia="en-AU"/>
              </w:rPr>
              <w:t>None</w:t>
            </w:r>
          </w:p>
        </w:tc>
        <w:tc>
          <w:tcPr>
            <w:tcW w:w="1482" w:type="dxa"/>
            <w:tcBorders>
              <w:top w:val="single" w:sz="4" w:space="0" w:color="auto"/>
              <w:left w:val="nil"/>
              <w:bottom w:val="nil"/>
              <w:right w:val="nil"/>
            </w:tcBorders>
            <w:shd w:val="clear" w:color="000000" w:fill="BFBFBF" w:themeFill="background1" w:themeFillShade="BF"/>
            <w:vAlign w:val="bottom"/>
          </w:tcPr>
          <w:p w14:paraId="5EA736E5" w14:textId="77777777" w:rsidR="00C443A5" w:rsidRPr="00EE4F57" w:rsidRDefault="00C443A5" w:rsidP="00073C4E">
            <w:pPr>
              <w:jc w:val="right"/>
              <w:rPr>
                <w:rFonts w:cs="Arial"/>
                <w:color w:val="000000"/>
                <w:sz w:val="22"/>
                <w:szCs w:val="22"/>
                <w:lang w:eastAsia="en-AU"/>
              </w:rPr>
            </w:pPr>
            <w:r>
              <w:rPr>
                <w:rFonts w:cs="Arial"/>
                <w:color w:val="000000"/>
                <w:sz w:val="22"/>
                <w:szCs w:val="22"/>
                <w:lang w:eastAsia="en-AU"/>
              </w:rPr>
              <w:t>(4,261)</w:t>
            </w:r>
          </w:p>
        </w:tc>
        <w:tc>
          <w:tcPr>
            <w:tcW w:w="1655" w:type="dxa"/>
            <w:tcBorders>
              <w:top w:val="single" w:sz="4" w:space="0" w:color="auto"/>
              <w:left w:val="nil"/>
              <w:bottom w:val="nil"/>
              <w:right w:val="nil"/>
            </w:tcBorders>
            <w:shd w:val="clear" w:color="auto" w:fill="auto"/>
            <w:vAlign w:val="bottom"/>
            <w:hideMark/>
          </w:tcPr>
          <w:p w14:paraId="5EA736E6"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5,896</w:t>
            </w:r>
          </w:p>
        </w:tc>
      </w:tr>
      <w:tr w:rsidR="00C443A5" w:rsidRPr="00EE4F57" w14:paraId="5EA736ED" w14:textId="77777777" w:rsidTr="00C443A5">
        <w:trPr>
          <w:trHeight w:val="645"/>
        </w:trPr>
        <w:tc>
          <w:tcPr>
            <w:tcW w:w="4924" w:type="dxa"/>
            <w:tcBorders>
              <w:top w:val="nil"/>
              <w:left w:val="nil"/>
              <w:bottom w:val="nil"/>
              <w:right w:val="nil"/>
            </w:tcBorders>
            <w:shd w:val="clear" w:color="auto" w:fill="auto"/>
            <w:vAlign w:val="bottom"/>
            <w:hideMark/>
          </w:tcPr>
          <w:p w14:paraId="5EA736E8" w14:textId="77777777" w:rsidR="00C443A5" w:rsidRPr="00EE4F57" w:rsidRDefault="00C443A5" w:rsidP="00EE4F57">
            <w:pPr>
              <w:rPr>
                <w:rFonts w:cs="Arial"/>
                <w:b/>
                <w:bCs/>
                <w:color w:val="000000"/>
                <w:sz w:val="22"/>
                <w:szCs w:val="22"/>
                <w:lang w:eastAsia="en-AU"/>
              </w:rPr>
            </w:pPr>
            <w:r w:rsidRPr="00EE4F57">
              <w:rPr>
                <w:rFonts w:cs="Arial"/>
                <w:b/>
                <w:bCs/>
                <w:color w:val="000000"/>
                <w:sz w:val="22"/>
                <w:szCs w:val="22"/>
                <w:lang w:eastAsia="en-AU"/>
              </w:rPr>
              <w:t>Cash and cash equivalents at the beginning of the financial year</w:t>
            </w:r>
          </w:p>
        </w:tc>
        <w:tc>
          <w:tcPr>
            <w:tcW w:w="1060" w:type="dxa"/>
            <w:tcBorders>
              <w:top w:val="nil"/>
              <w:left w:val="nil"/>
              <w:bottom w:val="nil"/>
              <w:right w:val="nil"/>
            </w:tcBorders>
            <w:shd w:val="clear" w:color="auto" w:fill="auto"/>
            <w:vAlign w:val="bottom"/>
            <w:hideMark/>
          </w:tcPr>
          <w:p w14:paraId="5EA736E9" w14:textId="345F723F" w:rsidR="00C443A5" w:rsidRPr="00EE4F57" w:rsidRDefault="00C443A5" w:rsidP="00EE4F57">
            <w:pPr>
              <w:jc w:val="center"/>
              <w:rPr>
                <w:rFonts w:cs="Arial"/>
                <w:b/>
                <w:bCs/>
                <w:color w:val="000000"/>
                <w:sz w:val="22"/>
                <w:szCs w:val="22"/>
                <w:lang w:eastAsia="en-AU"/>
              </w:rPr>
            </w:pPr>
            <w:r w:rsidRPr="00C443A5">
              <w:rPr>
                <w:rFonts w:cs="Arial"/>
                <w:bCs/>
                <w:color w:val="000000"/>
                <w:sz w:val="22"/>
                <w:szCs w:val="22"/>
                <w:lang w:eastAsia="en-AU"/>
              </w:rPr>
              <w:t>None</w:t>
            </w:r>
          </w:p>
        </w:tc>
        <w:tc>
          <w:tcPr>
            <w:tcW w:w="1482" w:type="dxa"/>
            <w:tcBorders>
              <w:top w:val="nil"/>
              <w:left w:val="nil"/>
              <w:bottom w:val="single" w:sz="8" w:space="0" w:color="auto"/>
              <w:right w:val="nil"/>
            </w:tcBorders>
            <w:shd w:val="clear" w:color="000000" w:fill="BFBFBF" w:themeFill="background1" w:themeFillShade="BF"/>
            <w:vAlign w:val="bottom"/>
          </w:tcPr>
          <w:p w14:paraId="5EA736EB" w14:textId="77777777" w:rsidR="00C443A5" w:rsidRPr="00EE4F57" w:rsidRDefault="00C443A5" w:rsidP="00EE4F57">
            <w:pPr>
              <w:jc w:val="right"/>
              <w:rPr>
                <w:rFonts w:cs="Arial"/>
                <w:color w:val="000000"/>
                <w:sz w:val="22"/>
                <w:szCs w:val="22"/>
                <w:lang w:eastAsia="en-AU"/>
              </w:rPr>
            </w:pPr>
            <w:r>
              <w:rPr>
                <w:rFonts w:cs="Arial"/>
                <w:color w:val="000000"/>
                <w:sz w:val="22"/>
                <w:szCs w:val="22"/>
                <w:lang w:eastAsia="en-AU"/>
              </w:rPr>
              <w:t>11,966</w:t>
            </w:r>
          </w:p>
        </w:tc>
        <w:tc>
          <w:tcPr>
            <w:tcW w:w="1655" w:type="dxa"/>
            <w:tcBorders>
              <w:top w:val="nil"/>
              <w:left w:val="nil"/>
              <w:bottom w:val="single" w:sz="8" w:space="0" w:color="auto"/>
              <w:right w:val="nil"/>
            </w:tcBorders>
            <w:shd w:val="clear" w:color="auto" w:fill="auto"/>
            <w:vAlign w:val="bottom"/>
            <w:hideMark/>
          </w:tcPr>
          <w:p w14:paraId="5EA736EC" w14:textId="77777777" w:rsidR="00C443A5" w:rsidRPr="00EE4F57" w:rsidRDefault="00C443A5" w:rsidP="00EE4F57">
            <w:pPr>
              <w:jc w:val="right"/>
              <w:rPr>
                <w:rFonts w:cs="Arial"/>
                <w:color w:val="000000"/>
                <w:sz w:val="22"/>
                <w:szCs w:val="22"/>
                <w:lang w:eastAsia="en-AU"/>
              </w:rPr>
            </w:pPr>
            <w:r w:rsidRPr="00EE4F57">
              <w:rPr>
                <w:rFonts w:cs="Arial"/>
                <w:color w:val="000000"/>
                <w:sz w:val="22"/>
                <w:szCs w:val="22"/>
                <w:lang w:eastAsia="en-AU"/>
              </w:rPr>
              <w:t>6,070</w:t>
            </w:r>
          </w:p>
        </w:tc>
      </w:tr>
      <w:tr w:rsidR="00C443A5" w:rsidRPr="00EE4F57" w14:paraId="5EA736F3" w14:textId="77777777" w:rsidTr="00C443A5">
        <w:trPr>
          <w:trHeight w:val="675"/>
        </w:trPr>
        <w:tc>
          <w:tcPr>
            <w:tcW w:w="4924" w:type="dxa"/>
            <w:tcBorders>
              <w:top w:val="nil"/>
              <w:left w:val="nil"/>
              <w:bottom w:val="nil"/>
              <w:right w:val="nil"/>
            </w:tcBorders>
            <w:shd w:val="clear" w:color="auto" w:fill="auto"/>
            <w:vAlign w:val="bottom"/>
            <w:hideMark/>
          </w:tcPr>
          <w:p w14:paraId="5EA736EE" w14:textId="77777777" w:rsidR="00C443A5" w:rsidRPr="00EE4F57" w:rsidRDefault="00C443A5" w:rsidP="00EE4F57">
            <w:pPr>
              <w:rPr>
                <w:rFonts w:cs="Arial"/>
                <w:b/>
                <w:bCs/>
                <w:color w:val="000000"/>
                <w:sz w:val="22"/>
                <w:szCs w:val="22"/>
                <w:lang w:eastAsia="en-AU"/>
              </w:rPr>
            </w:pPr>
            <w:r w:rsidRPr="00EE4F57">
              <w:rPr>
                <w:rFonts w:cs="Arial"/>
                <w:b/>
                <w:bCs/>
                <w:color w:val="000000"/>
                <w:sz w:val="22"/>
                <w:szCs w:val="22"/>
                <w:lang w:eastAsia="en-AU"/>
              </w:rPr>
              <w:t>Cash and cash equivalents at the end of the financial year</w:t>
            </w:r>
          </w:p>
        </w:tc>
        <w:tc>
          <w:tcPr>
            <w:tcW w:w="1060" w:type="dxa"/>
            <w:tcBorders>
              <w:top w:val="nil"/>
              <w:left w:val="nil"/>
              <w:bottom w:val="nil"/>
              <w:right w:val="nil"/>
            </w:tcBorders>
            <w:shd w:val="clear" w:color="auto" w:fill="auto"/>
            <w:vAlign w:val="bottom"/>
            <w:hideMark/>
          </w:tcPr>
          <w:p w14:paraId="5EA736EF" w14:textId="00C7E02F" w:rsidR="00C443A5" w:rsidRPr="00EE4F57" w:rsidRDefault="00C443A5" w:rsidP="00EE4F57">
            <w:pPr>
              <w:jc w:val="center"/>
              <w:rPr>
                <w:rFonts w:cs="Arial"/>
                <w:color w:val="000000"/>
                <w:sz w:val="22"/>
                <w:szCs w:val="22"/>
                <w:lang w:eastAsia="en-AU"/>
              </w:rPr>
            </w:pPr>
            <w:r w:rsidRPr="00EE4F57">
              <w:rPr>
                <w:rFonts w:cs="Arial"/>
                <w:color w:val="000000"/>
                <w:sz w:val="22"/>
                <w:szCs w:val="22"/>
                <w:lang w:eastAsia="en-AU"/>
              </w:rPr>
              <w:t>2</w:t>
            </w:r>
            <w:r>
              <w:rPr>
                <w:rFonts w:cs="Arial"/>
                <w:color w:val="000000"/>
                <w:sz w:val="22"/>
                <w:szCs w:val="22"/>
                <w:lang w:eastAsia="en-AU"/>
              </w:rPr>
              <w:t>3</w:t>
            </w:r>
            <w:r w:rsidRPr="00EE4F57">
              <w:rPr>
                <w:rFonts w:cs="Arial"/>
                <w:color w:val="000000"/>
                <w:sz w:val="22"/>
                <w:szCs w:val="22"/>
                <w:lang w:eastAsia="en-AU"/>
              </w:rPr>
              <w:t>(a)</w:t>
            </w:r>
          </w:p>
        </w:tc>
        <w:tc>
          <w:tcPr>
            <w:tcW w:w="1482" w:type="dxa"/>
            <w:tcBorders>
              <w:top w:val="nil"/>
              <w:left w:val="nil"/>
              <w:bottom w:val="single" w:sz="8" w:space="0" w:color="auto"/>
              <w:right w:val="nil"/>
            </w:tcBorders>
            <w:shd w:val="clear" w:color="000000" w:fill="BFBFBF" w:themeFill="background1" w:themeFillShade="BF"/>
            <w:vAlign w:val="bottom"/>
          </w:tcPr>
          <w:p w14:paraId="5EA736F1" w14:textId="77777777" w:rsidR="00C443A5" w:rsidRPr="00C5319C" w:rsidRDefault="00C443A5" w:rsidP="00073C4E">
            <w:pPr>
              <w:jc w:val="right"/>
              <w:rPr>
                <w:rFonts w:cs="Arial"/>
                <w:b/>
                <w:color w:val="000000"/>
                <w:sz w:val="22"/>
                <w:szCs w:val="22"/>
                <w:lang w:eastAsia="en-AU"/>
              </w:rPr>
            </w:pPr>
            <w:r w:rsidRPr="00C5319C">
              <w:rPr>
                <w:rFonts w:cs="Arial"/>
                <w:b/>
                <w:color w:val="000000"/>
                <w:sz w:val="22"/>
                <w:szCs w:val="22"/>
                <w:lang w:eastAsia="en-AU"/>
              </w:rPr>
              <w:t>7,705</w:t>
            </w:r>
          </w:p>
        </w:tc>
        <w:tc>
          <w:tcPr>
            <w:tcW w:w="1655" w:type="dxa"/>
            <w:tcBorders>
              <w:top w:val="nil"/>
              <w:left w:val="nil"/>
              <w:bottom w:val="single" w:sz="8" w:space="0" w:color="auto"/>
              <w:right w:val="nil"/>
            </w:tcBorders>
            <w:shd w:val="clear" w:color="auto" w:fill="auto"/>
            <w:vAlign w:val="bottom"/>
            <w:hideMark/>
          </w:tcPr>
          <w:p w14:paraId="5EA736F2" w14:textId="77777777" w:rsidR="00C443A5" w:rsidRPr="00C5319C" w:rsidRDefault="00C443A5" w:rsidP="00EE4F57">
            <w:pPr>
              <w:jc w:val="right"/>
              <w:rPr>
                <w:rFonts w:cs="Arial"/>
                <w:b/>
                <w:color w:val="000000"/>
                <w:sz w:val="22"/>
                <w:szCs w:val="22"/>
                <w:lang w:eastAsia="en-AU"/>
              </w:rPr>
            </w:pPr>
            <w:r w:rsidRPr="00C5319C">
              <w:rPr>
                <w:rFonts w:cs="Arial"/>
                <w:b/>
                <w:color w:val="000000"/>
                <w:sz w:val="22"/>
                <w:szCs w:val="22"/>
                <w:lang w:eastAsia="en-AU"/>
              </w:rPr>
              <w:t>11,966</w:t>
            </w:r>
          </w:p>
        </w:tc>
      </w:tr>
    </w:tbl>
    <w:p w14:paraId="3E6CE732" w14:textId="77777777" w:rsidR="00C443A5" w:rsidRDefault="00C443A5" w:rsidP="00410F2A">
      <w:pPr>
        <w:pStyle w:val="Header"/>
        <w:rPr>
          <w:rFonts w:cs="Arial"/>
          <w:color w:val="000000"/>
          <w:sz w:val="22"/>
          <w:szCs w:val="22"/>
          <w:lang w:eastAsia="en-AU"/>
        </w:rPr>
      </w:pPr>
    </w:p>
    <w:p w14:paraId="5EA73700" w14:textId="729EA0E2" w:rsidR="00410F2A" w:rsidRPr="007540D9" w:rsidRDefault="00C443A5" w:rsidP="00410F2A">
      <w:pPr>
        <w:pStyle w:val="Header"/>
        <w:rPr>
          <w:rFonts w:cs="Arial"/>
          <w:b/>
          <w:sz w:val="22"/>
          <w:szCs w:val="22"/>
        </w:rPr>
      </w:pPr>
      <w:r w:rsidRPr="00EE4F57">
        <w:rPr>
          <w:rFonts w:cs="Arial"/>
          <w:color w:val="000000"/>
          <w:sz w:val="22"/>
          <w:szCs w:val="22"/>
          <w:lang w:eastAsia="en-AU"/>
        </w:rPr>
        <w:t>The accompanying notes form part of these financial statements.</w:t>
      </w:r>
    </w:p>
    <w:p w14:paraId="5EA73703" w14:textId="77777777" w:rsidR="00410F2A" w:rsidRPr="007540D9" w:rsidRDefault="00410F2A" w:rsidP="00410F2A">
      <w:pPr>
        <w:pStyle w:val="Header"/>
        <w:rPr>
          <w:rFonts w:cs="Arial"/>
          <w:b/>
          <w:sz w:val="22"/>
          <w:szCs w:val="22"/>
        </w:rPr>
      </w:pPr>
    </w:p>
    <w:p w14:paraId="5EA73704" w14:textId="77777777" w:rsidR="00410F2A" w:rsidRPr="007540D9" w:rsidRDefault="00410F2A" w:rsidP="00410F2A">
      <w:pPr>
        <w:pStyle w:val="Header"/>
        <w:rPr>
          <w:rFonts w:cs="Arial"/>
          <w:b/>
          <w:sz w:val="22"/>
          <w:szCs w:val="22"/>
        </w:rPr>
        <w:sectPr w:rsidR="00410F2A" w:rsidRPr="007540D9" w:rsidSect="00817B70">
          <w:pgSz w:w="11907" w:h="16839" w:code="9"/>
          <w:pgMar w:top="1418" w:right="1440" w:bottom="993" w:left="1440" w:header="720" w:footer="720" w:gutter="0"/>
          <w:cols w:space="708"/>
          <w:titlePg/>
          <w:docGrid w:linePitch="360"/>
        </w:sectPr>
      </w:pPr>
    </w:p>
    <w:p w14:paraId="5EA73705" w14:textId="77777777" w:rsidR="00BD5071" w:rsidRPr="007540D9" w:rsidRDefault="00BD5071" w:rsidP="00FA7C6C">
      <w:pPr>
        <w:pStyle w:val="Heading1"/>
      </w:pPr>
      <w:bookmarkStart w:id="137" w:name="_Toc430613708"/>
      <w:r w:rsidRPr="007540D9">
        <w:lastRenderedPageBreak/>
        <w:t>Note 1:  Reporting Entity</w:t>
      </w:r>
      <w:bookmarkEnd w:id="137"/>
    </w:p>
    <w:p w14:paraId="5EA73706" w14:textId="77777777" w:rsidR="00BD5071" w:rsidRPr="007540D9" w:rsidRDefault="00BD5071" w:rsidP="00BC61D4">
      <w:pPr>
        <w:jc w:val="both"/>
        <w:rPr>
          <w:rFonts w:cs="Arial"/>
          <w:b/>
          <w:sz w:val="22"/>
          <w:szCs w:val="22"/>
        </w:rPr>
      </w:pPr>
    </w:p>
    <w:p w14:paraId="5EA73707" w14:textId="77777777" w:rsidR="00BD5071" w:rsidRPr="007540D9" w:rsidRDefault="00BD5071" w:rsidP="00BC61D4">
      <w:pPr>
        <w:jc w:val="both"/>
        <w:rPr>
          <w:rFonts w:cs="Arial"/>
          <w:sz w:val="22"/>
          <w:szCs w:val="22"/>
        </w:rPr>
      </w:pPr>
      <w:r w:rsidRPr="007540D9">
        <w:rPr>
          <w:rFonts w:cs="Arial"/>
          <w:sz w:val="22"/>
          <w:szCs w:val="22"/>
        </w:rPr>
        <w:t>Vision Australia</w:t>
      </w:r>
      <w:r w:rsidR="00A124A1" w:rsidRPr="007540D9">
        <w:rPr>
          <w:rFonts w:cs="Arial"/>
          <w:sz w:val="22"/>
          <w:szCs w:val="22"/>
        </w:rPr>
        <w:t xml:space="preserve"> Limited</w:t>
      </w:r>
      <w:r w:rsidR="003F152E" w:rsidRPr="007540D9">
        <w:rPr>
          <w:rFonts w:cs="Arial"/>
          <w:sz w:val="22"/>
          <w:szCs w:val="22"/>
        </w:rPr>
        <w:t xml:space="preserve"> </w:t>
      </w:r>
      <w:r w:rsidRPr="007540D9">
        <w:rPr>
          <w:rFonts w:cs="Arial"/>
          <w:sz w:val="22"/>
          <w:szCs w:val="22"/>
        </w:rPr>
        <w:t>(</w:t>
      </w:r>
      <w:r w:rsidR="0012788A" w:rsidRPr="007540D9">
        <w:rPr>
          <w:rFonts w:cs="Arial"/>
          <w:sz w:val="22"/>
          <w:szCs w:val="22"/>
        </w:rPr>
        <w:t xml:space="preserve">“the </w:t>
      </w:r>
      <w:r w:rsidR="007D7322" w:rsidRPr="007540D9">
        <w:rPr>
          <w:rFonts w:cs="Arial"/>
          <w:sz w:val="22"/>
          <w:szCs w:val="22"/>
        </w:rPr>
        <w:t>Company</w:t>
      </w:r>
      <w:r w:rsidR="0012788A" w:rsidRPr="007540D9">
        <w:rPr>
          <w:rFonts w:cs="Arial"/>
          <w:sz w:val="22"/>
          <w:szCs w:val="22"/>
        </w:rPr>
        <w:t>”</w:t>
      </w:r>
      <w:r w:rsidRPr="007540D9">
        <w:rPr>
          <w:rFonts w:cs="Arial"/>
          <w:sz w:val="22"/>
          <w:szCs w:val="22"/>
        </w:rPr>
        <w:t xml:space="preserve">) is a company limited by guarantee, incorporated in Australia and operating in Australia.  </w:t>
      </w:r>
    </w:p>
    <w:p w14:paraId="5EA73708" w14:textId="77777777" w:rsidR="00BD5071" w:rsidRPr="00230978" w:rsidRDefault="00BD5071" w:rsidP="00BC61D4">
      <w:pPr>
        <w:jc w:val="both"/>
        <w:rPr>
          <w:sz w:val="16"/>
        </w:rPr>
      </w:pPr>
    </w:p>
    <w:p w14:paraId="5EA73709" w14:textId="77777777" w:rsidR="00BD5071" w:rsidRPr="007540D9" w:rsidRDefault="0012788A" w:rsidP="00BC61D4">
      <w:pPr>
        <w:jc w:val="both"/>
        <w:rPr>
          <w:rFonts w:cs="Arial"/>
          <w:sz w:val="22"/>
          <w:szCs w:val="22"/>
        </w:rPr>
      </w:pPr>
      <w:r w:rsidRPr="007540D9">
        <w:rPr>
          <w:rFonts w:cs="Arial"/>
          <w:sz w:val="22"/>
          <w:szCs w:val="22"/>
        </w:rPr>
        <w:t xml:space="preserve">The </w:t>
      </w:r>
      <w:r w:rsidR="00E94C59" w:rsidRPr="007540D9">
        <w:rPr>
          <w:rFonts w:cs="Arial"/>
          <w:sz w:val="22"/>
          <w:szCs w:val="22"/>
        </w:rPr>
        <w:t>Company’s registered</w:t>
      </w:r>
      <w:r w:rsidR="00BD5071" w:rsidRPr="007540D9">
        <w:rPr>
          <w:rFonts w:cs="Arial"/>
          <w:sz w:val="22"/>
          <w:szCs w:val="22"/>
        </w:rPr>
        <w:t xml:space="preserve"> office and its principal place of business are as follows:</w:t>
      </w:r>
    </w:p>
    <w:p w14:paraId="5EA7370A" w14:textId="77777777" w:rsidR="00BD5071" w:rsidRPr="00230978" w:rsidRDefault="00BD5071" w:rsidP="00BC61D4">
      <w:pPr>
        <w:jc w:val="both"/>
        <w:rPr>
          <w:sz w:val="16"/>
        </w:rPr>
      </w:pPr>
    </w:p>
    <w:p w14:paraId="29DF316F" w14:textId="77777777" w:rsidR="00BF3629" w:rsidRDefault="00BD5071" w:rsidP="00BC61D4">
      <w:pPr>
        <w:jc w:val="both"/>
        <w:rPr>
          <w:rFonts w:cs="Arial"/>
          <w:sz w:val="22"/>
          <w:szCs w:val="22"/>
        </w:rPr>
      </w:pPr>
      <w:r w:rsidRPr="007540D9">
        <w:rPr>
          <w:rFonts w:cs="Arial"/>
          <w:sz w:val="22"/>
          <w:szCs w:val="22"/>
        </w:rPr>
        <w:t>454 Glenferrie Road</w:t>
      </w:r>
    </w:p>
    <w:p w14:paraId="5EA7370C" w14:textId="72784B1C" w:rsidR="00BD5071" w:rsidRPr="007540D9" w:rsidRDefault="00BC61D4" w:rsidP="00BC61D4">
      <w:pPr>
        <w:jc w:val="both"/>
        <w:rPr>
          <w:rFonts w:cs="Arial"/>
          <w:sz w:val="22"/>
          <w:szCs w:val="22"/>
        </w:rPr>
      </w:pPr>
      <w:r w:rsidRPr="007540D9">
        <w:rPr>
          <w:rFonts w:cs="Arial"/>
          <w:sz w:val="22"/>
          <w:szCs w:val="22"/>
        </w:rPr>
        <w:t>KOOYONG Vic</w:t>
      </w:r>
      <w:r w:rsidR="00BD5071" w:rsidRPr="007540D9">
        <w:rPr>
          <w:rFonts w:cs="Arial"/>
          <w:sz w:val="22"/>
          <w:szCs w:val="22"/>
        </w:rPr>
        <w:t xml:space="preserve"> 3144</w:t>
      </w:r>
    </w:p>
    <w:p w14:paraId="5EA7370D" w14:textId="2B685DE1" w:rsidR="00BD5071" w:rsidRPr="007540D9" w:rsidRDefault="00BD5071" w:rsidP="00BC61D4">
      <w:pPr>
        <w:jc w:val="both"/>
        <w:rPr>
          <w:rFonts w:cs="Arial"/>
          <w:sz w:val="22"/>
          <w:szCs w:val="22"/>
        </w:rPr>
      </w:pPr>
      <w:r w:rsidRPr="007540D9">
        <w:rPr>
          <w:rFonts w:cs="Arial"/>
          <w:sz w:val="22"/>
          <w:szCs w:val="22"/>
        </w:rPr>
        <w:t xml:space="preserve">Tel: </w:t>
      </w:r>
      <w:r w:rsidR="007D7322" w:rsidRPr="007540D9">
        <w:rPr>
          <w:rFonts w:cs="Arial"/>
          <w:sz w:val="22"/>
          <w:szCs w:val="22"/>
        </w:rPr>
        <w:t>1300 84 74 66</w:t>
      </w:r>
    </w:p>
    <w:p w14:paraId="5EA7370E" w14:textId="77777777" w:rsidR="00BD5071" w:rsidRPr="00230978" w:rsidRDefault="00BD5071" w:rsidP="00BC61D4">
      <w:pPr>
        <w:jc w:val="both"/>
        <w:rPr>
          <w:sz w:val="16"/>
        </w:rPr>
      </w:pPr>
    </w:p>
    <w:p w14:paraId="5EA7370F" w14:textId="77777777" w:rsidR="006621AC" w:rsidRPr="007540D9" w:rsidRDefault="00BD5071" w:rsidP="00BC61D4">
      <w:pPr>
        <w:jc w:val="both"/>
        <w:rPr>
          <w:rFonts w:cs="Arial"/>
          <w:sz w:val="22"/>
          <w:szCs w:val="22"/>
        </w:rPr>
      </w:pPr>
      <w:r w:rsidRPr="007540D9">
        <w:rPr>
          <w:rFonts w:cs="Arial"/>
          <w:sz w:val="22"/>
          <w:szCs w:val="22"/>
        </w:rPr>
        <w:t xml:space="preserve">The financial statements </w:t>
      </w:r>
      <w:r w:rsidR="009D390E" w:rsidRPr="007540D9">
        <w:rPr>
          <w:rFonts w:cs="Arial"/>
          <w:sz w:val="22"/>
          <w:szCs w:val="22"/>
        </w:rPr>
        <w:t>of the</w:t>
      </w:r>
      <w:r w:rsidR="003B7F30" w:rsidRPr="007540D9">
        <w:rPr>
          <w:rFonts w:cs="Arial"/>
          <w:sz w:val="22"/>
          <w:szCs w:val="22"/>
        </w:rPr>
        <w:t xml:space="preserve"> consolidated entity (“the</w:t>
      </w:r>
      <w:r w:rsidR="009D390E" w:rsidRPr="007540D9">
        <w:rPr>
          <w:rFonts w:cs="Arial"/>
          <w:sz w:val="22"/>
          <w:szCs w:val="22"/>
        </w:rPr>
        <w:t xml:space="preserve"> </w:t>
      </w:r>
      <w:r w:rsidR="007D7322" w:rsidRPr="007540D9">
        <w:rPr>
          <w:rFonts w:cs="Arial"/>
          <w:sz w:val="22"/>
          <w:szCs w:val="22"/>
        </w:rPr>
        <w:t>Group</w:t>
      </w:r>
      <w:r w:rsidR="003B7F30" w:rsidRPr="007540D9">
        <w:rPr>
          <w:rFonts w:cs="Arial"/>
          <w:sz w:val="22"/>
          <w:szCs w:val="22"/>
        </w:rPr>
        <w:t>”)</w:t>
      </w:r>
      <w:r w:rsidR="007D7322" w:rsidRPr="007540D9">
        <w:rPr>
          <w:rFonts w:cs="Arial"/>
          <w:sz w:val="22"/>
          <w:szCs w:val="22"/>
        </w:rPr>
        <w:t xml:space="preserve"> </w:t>
      </w:r>
      <w:r w:rsidR="003F152E" w:rsidRPr="007540D9">
        <w:rPr>
          <w:rFonts w:cs="Arial"/>
          <w:sz w:val="22"/>
          <w:szCs w:val="22"/>
        </w:rPr>
        <w:t>consis</w:t>
      </w:r>
      <w:r w:rsidR="009D390E" w:rsidRPr="007540D9">
        <w:rPr>
          <w:rFonts w:cs="Arial"/>
          <w:sz w:val="22"/>
          <w:szCs w:val="22"/>
        </w:rPr>
        <w:t>t</w:t>
      </w:r>
      <w:r w:rsidR="003F152E" w:rsidRPr="007540D9">
        <w:rPr>
          <w:rFonts w:cs="Arial"/>
          <w:sz w:val="22"/>
          <w:szCs w:val="22"/>
        </w:rPr>
        <w:t xml:space="preserve"> of Vision Australia</w:t>
      </w:r>
      <w:r w:rsidR="00A124A1" w:rsidRPr="007540D9">
        <w:rPr>
          <w:rFonts w:cs="Arial"/>
          <w:sz w:val="22"/>
          <w:szCs w:val="22"/>
        </w:rPr>
        <w:t xml:space="preserve"> Limited</w:t>
      </w:r>
      <w:r w:rsidR="00BC61D4" w:rsidRPr="007540D9">
        <w:rPr>
          <w:rFonts w:cs="Arial"/>
          <w:sz w:val="22"/>
          <w:szCs w:val="22"/>
        </w:rPr>
        <w:t xml:space="preserve"> and its controlled entities</w:t>
      </w:r>
      <w:r w:rsidR="003F152E" w:rsidRPr="007540D9">
        <w:rPr>
          <w:rFonts w:cs="Arial"/>
          <w:sz w:val="22"/>
          <w:szCs w:val="22"/>
        </w:rPr>
        <w:t xml:space="preserve">.  </w:t>
      </w:r>
    </w:p>
    <w:p w14:paraId="5EA73710" w14:textId="77777777" w:rsidR="006621AC" w:rsidRPr="007D0F50" w:rsidRDefault="006621AC" w:rsidP="00BC61D4">
      <w:pPr>
        <w:jc w:val="both"/>
        <w:rPr>
          <w:rFonts w:cs="Arial"/>
          <w:sz w:val="22"/>
          <w:szCs w:val="22"/>
        </w:rPr>
      </w:pPr>
    </w:p>
    <w:p w14:paraId="5EA73711" w14:textId="77777777" w:rsidR="00EC551B" w:rsidRPr="00EE5A6D" w:rsidRDefault="00EC551B" w:rsidP="00FA7C6C">
      <w:pPr>
        <w:pStyle w:val="Heading1"/>
      </w:pPr>
      <w:bookmarkStart w:id="138" w:name="_Toc430613709"/>
      <w:r w:rsidRPr="00EE5A6D">
        <w:t xml:space="preserve">Note 2: </w:t>
      </w:r>
      <w:r w:rsidR="00A94A4A" w:rsidRPr="00EE5A6D">
        <w:t xml:space="preserve">Application </w:t>
      </w:r>
      <w:r w:rsidRPr="00EE5A6D">
        <w:t>of new and revised Accounting Standards</w:t>
      </w:r>
      <w:bookmarkEnd w:id="138"/>
    </w:p>
    <w:p w14:paraId="5EA73712" w14:textId="77777777" w:rsidR="00EC551B" w:rsidRPr="00EE5A6D" w:rsidRDefault="00EC551B" w:rsidP="00EC551B">
      <w:pPr>
        <w:jc w:val="both"/>
        <w:rPr>
          <w:rFonts w:cs="Arial"/>
          <w:sz w:val="22"/>
          <w:szCs w:val="22"/>
        </w:rPr>
      </w:pPr>
    </w:p>
    <w:p w14:paraId="5EA73713" w14:textId="77777777" w:rsidR="0047712D" w:rsidRPr="00FA7C6C" w:rsidRDefault="0047712D" w:rsidP="00FA7C6C">
      <w:pPr>
        <w:pStyle w:val="Heading2"/>
        <w:rPr>
          <w:sz w:val="22"/>
          <w:szCs w:val="22"/>
        </w:rPr>
      </w:pPr>
      <w:bookmarkStart w:id="139" w:name="_Toc430613033"/>
      <w:bookmarkStart w:id="140" w:name="_Toc430613339"/>
      <w:bookmarkStart w:id="141" w:name="_Toc430613710"/>
      <w:r w:rsidRPr="00FA7C6C">
        <w:rPr>
          <w:snapToGrid w:val="0"/>
          <w:sz w:val="22"/>
          <w:szCs w:val="22"/>
        </w:rPr>
        <w:t xml:space="preserve">2.1 </w:t>
      </w:r>
      <w:r w:rsidRPr="00FA7C6C">
        <w:rPr>
          <w:sz w:val="22"/>
          <w:szCs w:val="22"/>
        </w:rPr>
        <w:t>Standards and interpretations adopted with no effect on the financial statements</w:t>
      </w:r>
      <w:bookmarkEnd w:id="139"/>
      <w:bookmarkEnd w:id="140"/>
      <w:bookmarkEnd w:id="141"/>
    </w:p>
    <w:p w14:paraId="5EA73714" w14:textId="77777777" w:rsidR="0047712D" w:rsidRPr="0047712D" w:rsidRDefault="0047712D" w:rsidP="0047712D">
      <w:pPr>
        <w:tabs>
          <w:tab w:val="num" w:pos="0"/>
        </w:tabs>
        <w:rPr>
          <w:rFonts w:cs="Arial"/>
          <w:sz w:val="22"/>
          <w:szCs w:val="22"/>
          <w:lang w:val="en-GB"/>
        </w:rPr>
      </w:pPr>
    </w:p>
    <w:p w14:paraId="5EA73715" w14:textId="77777777" w:rsidR="00EC551B" w:rsidRPr="0047712D" w:rsidRDefault="0047712D" w:rsidP="0047712D">
      <w:pPr>
        <w:tabs>
          <w:tab w:val="num" w:pos="0"/>
        </w:tabs>
        <w:rPr>
          <w:rFonts w:cs="Arial"/>
          <w:sz w:val="22"/>
          <w:szCs w:val="22"/>
          <w:lang w:val="en-GB"/>
        </w:rPr>
      </w:pPr>
      <w:r>
        <w:rPr>
          <w:rFonts w:cs="Arial"/>
          <w:sz w:val="22"/>
          <w:szCs w:val="22"/>
          <w:lang w:val="en-GB"/>
        </w:rPr>
        <w:t>No new or revised standards have been required to be adopted in the current year.</w:t>
      </w:r>
    </w:p>
    <w:p w14:paraId="5EA73716" w14:textId="77777777" w:rsidR="0047712D" w:rsidRPr="0047712D" w:rsidRDefault="0047712D" w:rsidP="0047712D">
      <w:pPr>
        <w:tabs>
          <w:tab w:val="num" w:pos="0"/>
        </w:tabs>
        <w:rPr>
          <w:rFonts w:cs="Arial"/>
          <w:bCs/>
          <w:sz w:val="22"/>
          <w:szCs w:val="22"/>
          <w:lang w:eastAsia="en-AU"/>
        </w:rPr>
      </w:pPr>
    </w:p>
    <w:p w14:paraId="5EA73717" w14:textId="77777777" w:rsidR="008B0629" w:rsidRPr="00FA7C6C" w:rsidRDefault="00652048" w:rsidP="00FA7C6C">
      <w:pPr>
        <w:pStyle w:val="Heading2"/>
        <w:rPr>
          <w:sz w:val="22"/>
          <w:szCs w:val="22"/>
        </w:rPr>
      </w:pPr>
      <w:bookmarkStart w:id="142" w:name="_Toc430613034"/>
      <w:bookmarkStart w:id="143" w:name="_Toc430613340"/>
      <w:bookmarkStart w:id="144" w:name="_Toc430613711"/>
      <w:r w:rsidRPr="00FA7C6C">
        <w:rPr>
          <w:sz w:val="22"/>
          <w:szCs w:val="22"/>
        </w:rPr>
        <w:t xml:space="preserve">2.2 </w:t>
      </w:r>
      <w:r w:rsidR="008B0629" w:rsidRPr="00FA7C6C">
        <w:rPr>
          <w:sz w:val="22"/>
          <w:szCs w:val="22"/>
        </w:rPr>
        <w:t>Standards</w:t>
      </w:r>
      <w:r w:rsidRPr="00FA7C6C">
        <w:rPr>
          <w:sz w:val="22"/>
          <w:szCs w:val="22"/>
        </w:rPr>
        <w:t xml:space="preserve"> and interpretations in issue not yet adopted</w:t>
      </w:r>
      <w:bookmarkEnd w:id="142"/>
      <w:bookmarkEnd w:id="143"/>
      <w:bookmarkEnd w:id="144"/>
    </w:p>
    <w:p w14:paraId="5EA7376C" w14:textId="77777777" w:rsidR="00FD6CA3" w:rsidRDefault="00FD6CA3" w:rsidP="00FA2B43">
      <w:pPr>
        <w:tabs>
          <w:tab w:val="num" w:pos="0"/>
          <w:tab w:val="left" w:pos="993"/>
        </w:tabs>
        <w:autoSpaceDE w:val="0"/>
        <w:autoSpaceDN w:val="0"/>
        <w:adjustRightInd w:val="0"/>
        <w:rPr>
          <w:rFonts w:cs="Arial"/>
          <w:b/>
          <w:bCs/>
          <w:iCs/>
          <w:sz w:val="22"/>
          <w:szCs w:val="22"/>
          <w:lang w:eastAsia="en-AU"/>
        </w:rPr>
      </w:pPr>
    </w:p>
    <w:tbl>
      <w:tblPr>
        <w:tblW w:w="9781" w:type="dxa"/>
        <w:tblInd w:w="-84" w:type="dxa"/>
        <w:tblLayout w:type="fixed"/>
        <w:tblCellMar>
          <w:left w:w="0" w:type="dxa"/>
          <w:right w:w="0" w:type="dxa"/>
        </w:tblCellMar>
        <w:tblLook w:val="0000" w:firstRow="0" w:lastRow="0" w:firstColumn="0" w:lastColumn="0" w:noHBand="0" w:noVBand="0"/>
      </w:tblPr>
      <w:tblGrid>
        <w:gridCol w:w="5096"/>
        <w:gridCol w:w="2413"/>
        <w:gridCol w:w="2272"/>
      </w:tblGrid>
      <w:tr w:rsidR="00FD6CA3" w:rsidRPr="008E0FC8" w:rsidDel="00E846C4" w14:paraId="5EA73770" w14:textId="77777777" w:rsidTr="00931AF7">
        <w:trPr>
          <w:trHeight w:val="1269"/>
          <w:tblHeader/>
        </w:trPr>
        <w:tc>
          <w:tcPr>
            <w:tcW w:w="5096" w:type="dxa"/>
            <w:tcBorders>
              <w:bottom w:val="single" w:sz="4" w:space="0" w:color="auto"/>
            </w:tcBorders>
            <w:shd w:val="clear" w:color="auto" w:fill="auto"/>
          </w:tcPr>
          <w:p w14:paraId="5EA7376D" w14:textId="77777777" w:rsidR="00FD6CA3" w:rsidRPr="008E0FC8" w:rsidRDefault="00FD6CA3" w:rsidP="00931AF7">
            <w:pPr>
              <w:pStyle w:val="Bodycopy0"/>
              <w:spacing w:before="0" w:after="20"/>
              <w:rPr>
                <w:b/>
                <w:sz w:val="22"/>
                <w:szCs w:val="22"/>
              </w:rPr>
            </w:pPr>
            <w:bookmarkStart w:id="145" w:name="Table_18"/>
            <w:bookmarkEnd w:id="145"/>
            <w:r w:rsidRPr="008E0FC8">
              <w:rPr>
                <w:b/>
                <w:sz w:val="22"/>
                <w:szCs w:val="22"/>
              </w:rPr>
              <w:t>Standard/Interpretation</w:t>
            </w:r>
          </w:p>
        </w:tc>
        <w:tc>
          <w:tcPr>
            <w:tcW w:w="2413" w:type="dxa"/>
            <w:tcBorders>
              <w:bottom w:val="single" w:sz="4" w:space="0" w:color="auto"/>
            </w:tcBorders>
            <w:shd w:val="clear" w:color="auto" w:fill="auto"/>
          </w:tcPr>
          <w:p w14:paraId="5EA7376E" w14:textId="77777777" w:rsidR="00FD6CA3" w:rsidRPr="008E0FC8" w:rsidDel="00E846C4" w:rsidRDefault="00FD6CA3" w:rsidP="00CF6572">
            <w:pPr>
              <w:pStyle w:val="Bodycopy0"/>
              <w:spacing w:before="0" w:after="20"/>
              <w:ind w:right="141"/>
              <w:rPr>
                <w:b/>
                <w:sz w:val="22"/>
                <w:szCs w:val="22"/>
              </w:rPr>
            </w:pPr>
            <w:r w:rsidRPr="008E0FC8">
              <w:rPr>
                <w:b/>
                <w:sz w:val="22"/>
                <w:szCs w:val="22"/>
              </w:rPr>
              <w:t>Effective for annual reporting periods beginning on or after</w:t>
            </w:r>
          </w:p>
        </w:tc>
        <w:tc>
          <w:tcPr>
            <w:tcW w:w="2272" w:type="dxa"/>
            <w:tcBorders>
              <w:bottom w:val="single" w:sz="4" w:space="0" w:color="auto"/>
            </w:tcBorders>
            <w:shd w:val="clear" w:color="auto" w:fill="auto"/>
          </w:tcPr>
          <w:p w14:paraId="5EA7376F" w14:textId="77777777" w:rsidR="00FD6CA3" w:rsidRPr="008E0FC8" w:rsidDel="00E846C4" w:rsidRDefault="00FD6CA3" w:rsidP="00CF6572">
            <w:pPr>
              <w:pStyle w:val="Bodycopy0"/>
              <w:spacing w:before="0" w:after="20"/>
              <w:ind w:right="141"/>
              <w:rPr>
                <w:b/>
                <w:sz w:val="22"/>
                <w:szCs w:val="22"/>
              </w:rPr>
            </w:pPr>
            <w:r w:rsidRPr="008E0FC8">
              <w:rPr>
                <w:b/>
                <w:sz w:val="22"/>
                <w:szCs w:val="22"/>
              </w:rPr>
              <w:t>Expected to be initially applied in the financial year ending</w:t>
            </w:r>
          </w:p>
        </w:tc>
      </w:tr>
      <w:tr w:rsidR="00FD6CA3" w:rsidRPr="008E0FC8" w14:paraId="5EA73778" w14:textId="77777777" w:rsidTr="00931AF7">
        <w:trPr>
          <w:trHeight w:val="645"/>
        </w:trPr>
        <w:tc>
          <w:tcPr>
            <w:tcW w:w="5096" w:type="dxa"/>
            <w:shd w:val="clear" w:color="auto" w:fill="auto"/>
            <w:vAlign w:val="center"/>
          </w:tcPr>
          <w:p w14:paraId="5EA73775" w14:textId="77777777" w:rsidR="00FD6CA3" w:rsidRPr="008E0FC8" w:rsidRDefault="00FD6CA3" w:rsidP="00931AF7">
            <w:pPr>
              <w:pStyle w:val="Bodycopyindentbullet"/>
              <w:tabs>
                <w:tab w:val="clear" w:pos="1021"/>
                <w:tab w:val="num" w:pos="611"/>
              </w:tabs>
              <w:spacing w:before="0" w:after="20"/>
              <w:ind w:left="-6" w:right="426" w:firstLine="0"/>
              <w:rPr>
                <w:iCs/>
                <w:sz w:val="22"/>
                <w:szCs w:val="22"/>
              </w:rPr>
            </w:pPr>
            <w:r w:rsidRPr="008E0FC8">
              <w:rPr>
                <w:iCs/>
                <w:sz w:val="22"/>
                <w:szCs w:val="22"/>
              </w:rPr>
              <w:t>AASB 9 ‘Financial Instruments’, and the relevant amending standards</w:t>
            </w:r>
          </w:p>
        </w:tc>
        <w:tc>
          <w:tcPr>
            <w:tcW w:w="2413" w:type="dxa"/>
            <w:shd w:val="clear" w:color="auto" w:fill="auto"/>
            <w:vAlign w:val="center"/>
          </w:tcPr>
          <w:p w14:paraId="5EA73776" w14:textId="77777777" w:rsidR="00FD6CA3" w:rsidRPr="008E0FC8" w:rsidRDefault="00FD6CA3" w:rsidP="00931AF7">
            <w:pPr>
              <w:pStyle w:val="bodycopyindent"/>
              <w:spacing w:before="0" w:after="20"/>
              <w:ind w:left="74"/>
              <w:rPr>
                <w:sz w:val="22"/>
                <w:szCs w:val="22"/>
              </w:rPr>
            </w:pPr>
            <w:r w:rsidRPr="008E0FC8">
              <w:rPr>
                <w:sz w:val="22"/>
                <w:szCs w:val="22"/>
              </w:rPr>
              <w:t>1 January 2018</w:t>
            </w:r>
          </w:p>
        </w:tc>
        <w:tc>
          <w:tcPr>
            <w:tcW w:w="2272" w:type="dxa"/>
            <w:shd w:val="clear" w:color="auto" w:fill="auto"/>
            <w:vAlign w:val="center"/>
          </w:tcPr>
          <w:p w14:paraId="5EA73777" w14:textId="77777777" w:rsidR="00FD6CA3" w:rsidRPr="008E0FC8" w:rsidRDefault="00FD6CA3" w:rsidP="00931AF7">
            <w:pPr>
              <w:pStyle w:val="bodycopyindent"/>
              <w:spacing w:before="0" w:after="20"/>
              <w:ind w:left="74"/>
              <w:rPr>
                <w:sz w:val="22"/>
                <w:szCs w:val="22"/>
              </w:rPr>
            </w:pPr>
            <w:r w:rsidRPr="008E0FC8">
              <w:rPr>
                <w:sz w:val="22"/>
                <w:szCs w:val="22"/>
              </w:rPr>
              <w:t>30 June 2019</w:t>
            </w:r>
          </w:p>
        </w:tc>
      </w:tr>
      <w:tr w:rsidR="00FD6CA3" w:rsidRPr="008E0FC8" w14:paraId="5EA73780" w14:textId="77777777" w:rsidTr="00931AF7">
        <w:trPr>
          <w:trHeight w:val="1196"/>
        </w:trPr>
        <w:tc>
          <w:tcPr>
            <w:tcW w:w="5096" w:type="dxa"/>
            <w:shd w:val="clear" w:color="auto" w:fill="auto"/>
            <w:vAlign w:val="center"/>
          </w:tcPr>
          <w:p w14:paraId="5EA7377D" w14:textId="77777777" w:rsidR="00FD6CA3" w:rsidRPr="008E0FC8" w:rsidRDefault="00FD6CA3" w:rsidP="00931AF7">
            <w:pPr>
              <w:autoSpaceDE w:val="0"/>
              <w:autoSpaceDN w:val="0"/>
              <w:adjustRightInd w:val="0"/>
              <w:ind w:right="426"/>
              <w:rPr>
                <w:rFonts w:cs="Arial"/>
                <w:iCs/>
                <w:sz w:val="22"/>
                <w:szCs w:val="22"/>
              </w:rPr>
            </w:pPr>
            <w:r w:rsidRPr="008E0FC8">
              <w:rPr>
                <w:rFonts w:cs="Arial"/>
                <w:sz w:val="22"/>
                <w:szCs w:val="22"/>
              </w:rPr>
              <w:t>AASB 15 ‘Revenue from Contracts with Customers’ and AASB 2014-5 ‘Amendments to Australian Accounting Standards arising from AASB 15’</w:t>
            </w:r>
          </w:p>
        </w:tc>
        <w:tc>
          <w:tcPr>
            <w:tcW w:w="2413" w:type="dxa"/>
            <w:shd w:val="clear" w:color="auto" w:fill="auto"/>
            <w:vAlign w:val="center"/>
          </w:tcPr>
          <w:p w14:paraId="5EA7377E" w14:textId="77777777" w:rsidR="00FD6CA3" w:rsidRPr="008E0FC8" w:rsidRDefault="00FD6CA3" w:rsidP="00931AF7">
            <w:pPr>
              <w:pStyle w:val="bodycopyindent"/>
              <w:spacing w:before="0" w:after="20"/>
              <w:ind w:left="74"/>
              <w:rPr>
                <w:color w:val="auto"/>
                <w:sz w:val="22"/>
                <w:szCs w:val="22"/>
              </w:rPr>
            </w:pPr>
            <w:r w:rsidRPr="008E0FC8">
              <w:rPr>
                <w:color w:val="auto"/>
                <w:sz w:val="22"/>
                <w:szCs w:val="22"/>
              </w:rPr>
              <w:t>1 January 2018</w:t>
            </w:r>
          </w:p>
        </w:tc>
        <w:tc>
          <w:tcPr>
            <w:tcW w:w="2272" w:type="dxa"/>
            <w:shd w:val="clear" w:color="auto" w:fill="auto"/>
            <w:vAlign w:val="center"/>
          </w:tcPr>
          <w:p w14:paraId="5EA7377F" w14:textId="77777777" w:rsidR="00FD6CA3" w:rsidRPr="008E0FC8" w:rsidRDefault="00FD6CA3" w:rsidP="00931AF7">
            <w:pPr>
              <w:pStyle w:val="bodycopyindent"/>
              <w:spacing w:before="0" w:after="20"/>
              <w:ind w:left="74"/>
              <w:rPr>
                <w:color w:val="auto"/>
                <w:sz w:val="22"/>
                <w:szCs w:val="22"/>
              </w:rPr>
            </w:pPr>
            <w:r w:rsidRPr="008E0FC8">
              <w:rPr>
                <w:color w:val="auto"/>
                <w:sz w:val="22"/>
                <w:szCs w:val="22"/>
              </w:rPr>
              <w:t>30 June 2019</w:t>
            </w:r>
          </w:p>
        </w:tc>
      </w:tr>
      <w:tr w:rsidR="00FD6CA3" w:rsidRPr="008E0FC8" w14:paraId="5EA73788" w14:textId="77777777" w:rsidTr="00931AF7">
        <w:trPr>
          <w:trHeight w:val="1270"/>
        </w:trPr>
        <w:tc>
          <w:tcPr>
            <w:tcW w:w="5096" w:type="dxa"/>
            <w:shd w:val="clear" w:color="auto" w:fill="auto"/>
            <w:vAlign w:val="center"/>
          </w:tcPr>
          <w:p w14:paraId="5EA73785" w14:textId="77777777" w:rsidR="00FD6CA3" w:rsidRPr="008E0FC8" w:rsidRDefault="00FD6CA3" w:rsidP="00931AF7">
            <w:pPr>
              <w:autoSpaceDE w:val="0"/>
              <w:autoSpaceDN w:val="0"/>
              <w:adjustRightInd w:val="0"/>
              <w:ind w:right="426"/>
              <w:rPr>
                <w:rFonts w:cs="Arial"/>
                <w:sz w:val="22"/>
                <w:szCs w:val="22"/>
              </w:rPr>
            </w:pPr>
            <w:r w:rsidRPr="008E0FC8">
              <w:rPr>
                <w:rFonts w:cs="Arial"/>
                <w:sz w:val="22"/>
                <w:szCs w:val="22"/>
              </w:rPr>
              <w:t>AASB 2014-4 ‘Amendments to Australian Accounting Standards – Clarification of Acceptable Methods of Depreciation and Amortisation’</w:t>
            </w:r>
          </w:p>
        </w:tc>
        <w:tc>
          <w:tcPr>
            <w:tcW w:w="2413" w:type="dxa"/>
            <w:shd w:val="clear" w:color="auto" w:fill="auto"/>
            <w:vAlign w:val="center"/>
          </w:tcPr>
          <w:p w14:paraId="5EA73786" w14:textId="77777777" w:rsidR="00FD6CA3" w:rsidRPr="008E0FC8" w:rsidRDefault="00FD6CA3" w:rsidP="00931AF7">
            <w:pPr>
              <w:pStyle w:val="sourceref"/>
              <w:spacing w:before="0" w:line="240" w:lineRule="auto"/>
              <w:ind w:left="74"/>
              <w:rPr>
                <w:rFonts w:cs="Arial"/>
                <w:color w:val="auto"/>
                <w:sz w:val="22"/>
                <w:szCs w:val="22"/>
              </w:rPr>
            </w:pPr>
            <w:r w:rsidRPr="008E0FC8">
              <w:rPr>
                <w:rFonts w:cs="Arial"/>
                <w:color w:val="auto"/>
                <w:sz w:val="22"/>
                <w:szCs w:val="22"/>
              </w:rPr>
              <w:t>1 January 2016</w:t>
            </w:r>
          </w:p>
        </w:tc>
        <w:tc>
          <w:tcPr>
            <w:tcW w:w="2272" w:type="dxa"/>
            <w:shd w:val="clear" w:color="auto" w:fill="auto"/>
            <w:vAlign w:val="center"/>
          </w:tcPr>
          <w:p w14:paraId="5EA73787" w14:textId="77777777" w:rsidR="00FD6CA3" w:rsidRPr="008E0FC8" w:rsidRDefault="00FD6CA3" w:rsidP="00931AF7">
            <w:pPr>
              <w:pStyle w:val="bodycopyindent"/>
              <w:spacing w:before="0" w:after="20"/>
              <w:ind w:left="74"/>
              <w:rPr>
                <w:color w:val="auto"/>
                <w:sz w:val="22"/>
                <w:szCs w:val="22"/>
              </w:rPr>
            </w:pPr>
            <w:r w:rsidRPr="008E0FC8">
              <w:rPr>
                <w:color w:val="auto"/>
                <w:sz w:val="22"/>
                <w:szCs w:val="22"/>
              </w:rPr>
              <w:t>30 June 2017</w:t>
            </w:r>
          </w:p>
        </w:tc>
      </w:tr>
      <w:tr w:rsidR="00FD6CA3" w:rsidRPr="008E0FC8" w14:paraId="5EA73790" w14:textId="77777777" w:rsidTr="00931AF7">
        <w:trPr>
          <w:trHeight w:val="1273"/>
        </w:trPr>
        <w:tc>
          <w:tcPr>
            <w:tcW w:w="5096" w:type="dxa"/>
            <w:shd w:val="clear" w:color="auto" w:fill="auto"/>
            <w:vAlign w:val="center"/>
          </w:tcPr>
          <w:p w14:paraId="5EA7378D" w14:textId="77777777" w:rsidR="00FD6CA3" w:rsidRPr="008E0FC8" w:rsidRDefault="00FD6CA3" w:rsidP="00931AF7">
            <w:pPr>
              <w:autoSpaceDE w:val="0"/>
              <w:autoSpaceDN w:val="0"/>
              <w:adjustRightInd w:val="0"/>
              <w:ind w:right="426"/>
              <w:rPr>
                <w:rFonts w:cs="Arial"/>
                <w:sz w:val="22"/>
                <w:szCs w:val="22"/>
              </w:rPr>
            </w:pPr>
            <w:r w:rsidRPr="008E0FC8">
              <w:rPr>
                <w:rFonts w:cs="Arial"/>
                <w:sz w:val="22"/>
                <w:szCs w:val="22"/>
              </w:rPr>
              <w:t>AASB 2015-1 ‘Amendments to Australian Accounting Standards – Annual Improvements to Australian Accounting Standards 2012-2014 Cycle’</w:t>
            </w:r>
          </w:p>
        </w:tc>
        <w:tc>
          <w:tcPr>
            <w:tcW w:w="2413" w:type="dxa"/>
            <w:shd w:val="clear" w:color="auto" w:fill="auto"/>
            <w:vAlign w:val="center"/>
          </w:tcPr>
          <w:p w14:paraId="5EA7378E" w14:textId="77777777" w:rsidR="00FD6CA3" w:rsidRPr="008E0FC8" w:rsidRDefault="00FD6CA3" w:rsidP="00931AF7">
            <w:pPr>
              <w:pStyle w:val="sourceref"/>
              <w:spacing w:before="0" w:line="240" w:lineRule="auto"/>
              <w:ind w:left="74"/>
              <w:rPr>
                <w:rFonts w:cs="Arial"/>
                <w:color w:val="auto"/>
                <w:sz w:val="22"/>
                <w:szCs w:val="22"/>
              </w:rPr>
            </w:pPr>
            <w:r w:rsidRPr="008E0FC8">
              <w:rPr>
                <w:rFonts w:cs="Arial"/>
                <w:color w:val="auto"/>
                <w:sz w:val="22"/>
                <w:szCs w:val="22"/>
              </w:rPr>
              <w:t>1 January 2016</w:t>
            </w:r>
          </w:p>
        </w:tc>
        <w:tc>
          <w:tcPr>
            <w:tcW w:w="2272" w:type="dxa"/>
            <w:shd w:val="clear" w:color="auto" w:fill="auto"/>
            <w:vAlign w:val="center"/>
          </w:tcPr>
          <w:p w14:paraId="5EA7378F" w14:textId="77777777" w:rsidR="00FD6CA3" w:rsidRPr="008E0FC8" w:rsidRDefault="00FD6CA3" w:rsidP="00931AF7">
            <w:pPr>
              <w:pStyle w:val="bodycopyindent"/>
              <w:spacing w:before="0" w:after="20"/>
              <w:ind w:left="74"/>
              <w:rPr>
                <w:color w:val="auto"/>
                <w:sz w:val="22"/>
                <w:szCs w:val="22"/>
              </w:rPr>
            </w:pPr>
            <w:r w:rsidRPr="008E0FC8">
              <w:rPr>
                <w:color w:val="auto"/>
                <w:sz w:val="22"/>
                <w:szCs w:val="22"/>
              </w:rPr>
              <w:t>30 June 2017</w:t>
            </w:r>
          </w:p>
        </w:tc>
      </w:tr>
      <w:tr w:rsidR="00FD6CA3" w:rsidRPr="008E0FC8" w14:paraId="5EA73798" w14:textId="77777777" w:rsidTr="00931AF7">
        <w:trPr>
          <w:trHeight w:val="1008"/>
        </w:trPr>
        <w:tc>
          <w:tcPr>
            <w:tcW w:w="5096" w:type="dxa"/>
            <w:shd w:val="clear" w:color="auto" w:fill="auto"/>
            <w:vAlign w:val="center"/>
          </w:tcPr>
          <w:p w14:paraId="5EA73795" w14:textId="77777777" w:rsidR="00FD6CA3" w:rsidRPr="008E0FC8" w:rsidRDefault="00FD6CA3" w:rsidP="00931AF7">
            <w:pPr>
              <w:autoSpaceDE w:val="0"/>
              <w:autoSpaceDN w:val="0"/>
              <w:adjustRightInd w:val="0"/>
              <w:ind w:right="426"/>
              <w:rPr>
                <w:rFonts w:cs="Arial"/>
                <w:sz w:val="22"/>
                <w:szCs w:val="22"/>
              </w:rPr>
            </w:pPr>
            <w:r w:rsidRPr="008E0FC8">
              <w:rPr>
                <w:rFonts w:cs="Arial"/>
                <w:sz w:val="22"/>
                <w:szCs w:val="22"/>
              </w:rPr>
              <w:t>AASB 2015-2 ‘Amendments to Australian Accounting Standards – Disclosure Initiative: Amendments to AASB 101’</w:t>
            </w:r>
          </w:p>
        </w:tc>
        <w:tc>
          <w:tcPr>
            <w:tcW w:w="2413" w:type="dxa"/>
            <w:shd w:val="clear" w:color="auto" w:fill="auto"/>
            <w:vAlign w:val="center"/>
          </w:tcPr>
          <w:p w14:paraId="5EA73796" w14:textId="77777777" w:rsidR="00FD6CA3" w:rsidRPr="008E0FC8" w:rsidRDefault="00FD6CA3" w:rsidP="00931AF7">
            <w:pPr>
              <w:pStyle w:val="sourceref"/>
              <w:spacing w:before="0" w:line="240" w:lineRule="auto"/>
              <w:ind w:left="74"/>
              <w:rPr>
                <w:rFonts w:cs="Arial"/>
                <w:color w:val="auto"/>
                <w:sz w:val="22"/>
                <w:szCs w:val="22"/>
              </w:rPr>
            </w:pPr>
            <w:r w:rsidRPr="008E0FC8">
              <w:rPr>
                <w:rFonts w:cs="Arial"/>
                <w:color w:val="auto"/>
                <w:sz w:val="22"/>
                <w:szCs w:val="22"/>
              </w:rPr>
              <w:t>1 January 2016</w:t>
            </w:r>
          </w:p>
        </w:tc>
        <w:tc>
          <w:tcPr>
            <w:tcW w:w="2272" w:type="dxa"/>
            <w:shd w:val="clear" w:color="auto" w:fill="auto"/>
            <w:vAlign w:val="center"/>
          </w:tcPr>
          <w:p w14:paraId="5EA73797" w14:textId="77777777" w:rsidR="00FD6CA3" w:rsidRPr="008E0FC8" w:rsidRDefault="00FD6CA3" w:rsidP="00931AF7">
            <w:pPr>
              <w:pStyle w:val="bodycopyindent"/>
              <w:spacing w:before="0" w:after="20"/>
              <w:ind w:left="74"/>
              <w:rPr>
                <w:color w:val="auto"/>
                <w:sz w:val="22"/>
                <w:szCs w:val="22"/>
              </w:rPr>
            </w:pPr>
            <w:r w:rsidRPr="008E0FC8">
              <w:rPr>
                <w:color w:val="auto"/>
                <w:sz w:val="22"/>
                <w:szCs w:val="22"/>
              </w:rPr>
              <w:t>30 June 2017</w:t>
            </w:r>
          </w:p>
        </w:tc>
      </w:tr>
      <w:tr w:rsidR="00FD6CA3" w:rsidRPr="008E0FC8" w14:paraId="5EA737A0" w14:textId="77777777" w:rsidTr="00931AF7">
        <w:trPr>
          <w:trHeight w:val="980"/>
        </w:trPr>
        <w:tc>
          <w:tcPr>
            <w:tcW w:w="5096" w:type="dxa"/>
            <w:shd w:val="clear" w:color="auto" w:fill="auto"/>
            <w:vAlign w:val="center"/>
          </w:tcPr>
          <w:p w14:paraId="5EA7379D" w14:textId="77777777" w:rsidR="00FD6CA3" w:rsidRPr="008E0FC8" w:rsidRDefault="00FD6CA3" w:rsidP="00931AF7">
            <w:pPr>
              <w:autoSpaceDE w:val="0"/>
              <w:autoSpaceDN w:val="0"/>
              <w:adjustRightInd w:val="0"/>
              <w:ind w:right="426"/>
              <w:rPr>
                <w:rFonts w:cs="Arial"/>
                <w:sz w:val="22"/>
                <w:szCs w:val="22"/>
              </w:rPr>
            </w:pPr>
            <w:r w:rsidRPr="008E0FC8">
              <w:rPr>
                <w:rFonts w:cs="Arial"/>
                <w:sz w:val="22"/>
                <w:szCs w:val="22"/>
              </w:rPr>
              <w:t>AASB 2015-3 ‘Amendments to Australian Accounting Standards arising from the Withdrawal of AASB 1031 Materiality’</w:t>
            </w:r>
          </w:p>
        </w:tc>
        <w:tc>
          <w:tcPr>
            <w:tcW w:w="2413" w:type="dxa"/>
            <w:shd w:val="clear" w:color="auto" w:fill="auto"/>
            <w:vAlign w:val="center"/>
          </w:tcPr>
          <w:p w14:paraId="5EA7379E" w14:textId="77777777" w:rsidR="00FD6CA3" w:rsidRPr="008E0FC8" w:rsidRDefault="00FD6CA3" w:rsidP="00931AF7">
            <w:pPr>
              <w:pStyle w:val="sourceref"/>
              <w:spacing w:before="0" w:line="240" w:lineRule="auto"/>
              <w:ind w:left="74"/>
              <w:rPr>
                <w:rFonts w:cs="Arial"/>
                <w:color w:val="auto"/>
                <w:sz w:val="22"/>
                <w:szCs w:val="22"/>
              </w:rPr>
            </w:pPr>
            <w:r w:rsidRPr="008E0FC8">
              <w:rPr>
                <w:rFonts w:cs="Arial"/>
                <w:color w:val="auto"/>
                <w:sz w:val="22"/>
                <w:szCs w:val="22"/>
              </w:rPr>
              <w:t>1 July 2015</w:t>
            </w:r>
          </w:p>
        </w:tc>
        <w:tc>
          <w:tcPr>
            <w:tcW w:w="2272" w:type="dxa"/>
            <w:shd w:val="clear" w:color="auto" w:fill="auto"/>
            <w:vAlign w:val="center"/>
          </w:tcPr>
          <w:p w14:paraId="5EA7379F" w14:textId="77777777" w:rsidR="00FD6CA3" w:rsidRPr="008E0FC8" w:rsidRDefault="00FD6CA3" w:rsidP="00931AF7">
            <w:pPr>
              <w:pStyle w:val="sourceref"/>
              <w:spacing w:before="0" w:line="240" w:lineRule="auto"/>
              <w:ind w:left="74"/>
              <w:rPr>
                <w:rFonts w:cs="Arial"/>
                <w:color w:val="auto"/>
                <w:sz w:val="22"/>
                <w:szCs w:val="22"/>
              </w:rPr>
            </w:pPr>
            <w:r w:rsidRPr="008E0FC8">
              <w:rPr>
                <w:rFonts w:cs="Arial"/>
                <w:color w:val="auto"/>
                <w:sz w:val="22"/>
                <w:szCs w:val="22"/>
              </w:rPr>
              <w:t>30 June 2016</w:t>
            </w:r>
          </w:p>
        </w:tc>
      </w:tr>
      <w:tr w:rsidR="00931AF7" w:rsidRPr="008E0FC8" w14:paraId="5EA737A4" w14:textId="77777777" w:rsidTr="00931AF7">
        <w:trPr>
          <w:trHeight w:val="569"/>
        </w:trPr>
        <w:tc>
          <w:tcPr>
            <w:tcW w:w="5096" w:type="dxa"/>
            <w:shd w:val="clear" w:color="auto" w:fill="auto"/>
            <w:vAlign w:val="center"/>
          </w:tcPr>
          <w:p w14:paraId="5EA737A1" w14:textId="3109A700" w:rsidR="00931AF7" w:rsidRPr="008E0FC8" w:rsidRDefault="00931AF7" w:rsidP="00931AF7">
            <w:pPr>
              <w:autoSpaceDE w:val="0"/>
              <w:autoSpaceDN w:val="0"/>
              <w:adjustRightInd w:val="0"/>
              <w:ind w:right="426"/>
              <w:rPr>
                <w:rFonts w:cs="Arial"/>
                <w:sz w:val="22"/>
                <w:szCs w:val="22"/>
              </w:rPr>
            </w:pPr>
            <w:r w:rsidRPr="008E0FC8">
              <w:rPr>
                <w:rFonts w:cs="Arial"/>
                <w:sz w:val="22"/>
                <w:szCs w:val="22"/>
              </w:rPr>
              <w:t xml:space="preserve">AASB 2015-5 ‘Amendments to Australian Accounting Standards – Investment Entities </w:t>
            </w:r>
          </w:p>
        </w:tc>
        <w:tc>
          <w:tcPr>
            <w:tcW w:w="2413" w:type="dxa"/>
            <w:shd w:val="clear" w:color="auto" w:fill="auto"/>
            <w:vAlign w:val="center"/>
          </w:tcPr>
          <w:p w14:paraId="5EA737A2" w14:textId="5A5871BB" w:rsidR="00931AF7" w:rsidRPr="008E0FC8" w:rsidRDefault="00931AF7" w:rsidP="00931AF7">
            <w:pPr>
              <w:pStyle w:val="sourceref"/>
              <w:spacing w:before="0" w:line="240" w:lineRule="auto"/>
              <w:ind w:left="74"/>
              <w:rPr>
                <w:rFonts w:cs="Arial"/>
                <w:color w:val="auto"/>
                <w:sz w:val="22"/>
                <w:szCs w:val="22"/>
              </w:rPr>
            </w:pPr>
            <w:r w:rsidRPr="008E0FC8">
              <w:rPr>
                <w:rFonts w:cs="Arial"/>
                <w:color w:val="auto"/>
                <w:sz w:val="22"/>
                <w:szCs w:val="22"/>
              </w:rPr>
              <w:t>1 January 2016</w:t>
            </w:r>
          </w:p>
        </w:tc>
        <w:tc>
          <w:tcPr>
            <w:tcW w:w="2272" w:type="dxa"/>
            <w:shd w:val="clear" w:color="auto" w:fill="auto"/>
            <w:vAlign w:val="center"/>
          </w:tcPr>
          <w:p w14:paraId="5EA737A3" w14:textId="0E0FFEC2" w:rsidR="00931AF7" w:rsidRPr="008E0FC8" w:rsidRDefault="00931AF7" w:rsidP="00931AF7">
            <w:pPr>
              <w:pStyle w:val="sourceref"/>
              <w:spacing w:before="0" w:line="240" w:lineRule="auto"/>
              <w:ind w:left="74"/>
              <w:rPr>
                <w:rFonts w:cs="Arial"/>
                <w:color w:val="auto"/>
                <w:sz w:val="22"/>
                <w:szCs w:val="22"/>
              </w:rPr>
            </w:pPr>
            <w:r w:rsidRPr="008E0FC8">
              <w:rPr>
                <w:color w:val="auto"/>
                <w:sz w:val="22"/>
                <w:szCs w:val="22"/>
              </w:rPr>
              <w:t>30 June 2017</w:t>
            </w:r>
          </w:p>
        </w:tc>
      </w:tr>
    </w:tbl>
    <w:p w14:paraId="2A142CA7" w14:textId="534B6E14" w:rsidR="00931AF7" w:rsidRDefault="00931AF7">
      <w:pPr>
        <w:rPr>
          <w:b/>
        </w:rPr>
      </w:pPr>
      <w:bookmarkStart w:id="146" w:name="_Toc430613712"/>
    </w:p>
    <w:p w14:paraId="5EA737AE" w14:textId="286E49DB" w:rsidR="004800B5" w:rsidRPr="007540D9" w:rsidRDefault="004800B5" w:rsidP="00FA7C6C">
      <w:pPr>
        <w:pStyle w:val="Heading1"/>
      </w:pPr>
      <w:r w:rsidRPr="007540D9">
        <w:lastRenderedPageBreak/>
        <w:t>Note 3:  Significant accounting policies</w:t>
      </w:r>
      <w:bookmarkEnd w:id="146"/>
    </w:p>
    <w:p w14:paraId="5EA737AF" w14:textId="77777777" w:rsidR="004800B5" w:rsidRPr="007540D9" w:rsidRDefault="004800B5" w:rsidP="00BC61D4">
      <w:pPr>
        <w:jc w:val="both"/>
        <w:rPr>
          <w:rFonts w:cs="Arial"/>
          <w:sz w:val="22"/>
          <w:szCs w:val="22"/>
        </w:rPr>
      </w:pPr>
    </w:p>
    <w:p w14:paraId="5EA737B0" w14:textId="77777777" w:rsidR="004800B5" w:rsidRPr="00FA7C6C" w:rsidRDefault="004800B5" w:rsidP="00FA7C6C">
      <w:pPr>
        <w:pStyle w:val="Heading2"/>
        <w:rPr>
          <w:sz w:val="22"/>
          <w:szCs w:val="22"/>
        </w:rPr>
      </w:pPr>
      <w:bookmarkStart w:id="147" w:name="_Toc430613036"/>
      <w:bookmarkStart w:id="148" w:name="_Toc430613342"/>
      <w:bookmarkStart w:id="149" w:name="_Toc430613713"/>
      <w:r w:rsidRPr="00FA7C6C">
        <w:rPr>
          <w:sz w:val="22"/>
          <w:szCs w:val="22"/>
        </w:rPr>
        <w:t>3.1 Statement of compliance</w:t>
      </w:r>
      <w:bookmarkEnd w:id="147"/>
      <w:bookmarkEnd w:id="148"/>
      <w:bookmarkEnd w:id="149"/>
    </w:p>
    <w:p w14:paraId="5EA737B1" w14:textId="77777777" w:rsidR="004800B5" w:rsidRPr="007540D9" w:rsidRDefault="004800B5" w:rsidP="002206F9">
      <w:pPr>
        <w:rPr>
          <w:rFonts w:cs="Arial"/>
          <w:b/>
          <w:sz w:val="22"/>
          <w:szCs w:val="22"/>
        </w:rPr>
      </w:pPr>
    </w:p>
    <w:p w14:paraId="5EA737B2" w14:textId="278F8CC5" w:rsidR="006D69DB" w:rsidRPr="006D69DB" w:rsidRDefault="00BE54EB" w:rsidP="002206F9">
      <w:pPr>
        <w:rPr>
          <w:rFonts w:cs="Arial"/>
          <w:sz w:val="22"/>
          <w:szCs w:val="22"/>
        </w:rPr>
      </w:pPr>
      <w:r w:rsidRPr="007540D9">
        <w:rPr>
          <w:rFonts w:cs="Arial"/>
          <w:sz w:val="22"/>
          <w:szCs w:val="22"/>
        </w:rPr>
        <w:t xml:space="preserve">These financial statements are general purpose financial statements which have been prepared in </w:t>
      </w:r>
      <w:r w:rsidRPr="006D69DB">
        <w:rPr>
          <w:rFonts w:cs="Arial"/>
          <w:sz w:val="22"/>
          <w:szCs w:val="22"/>
        </w:rPr>
        <w:t>accordance with the</w:t>
      </w:r>
      <w:r w:rsidR="0031604D" w:rsidRPr="006D69DB">
        <w:rPr>
          <w:rFonts w:cs="Arial"/>
          <w:sz w:val="22"/>
          <w:szCs w:val="22"/>
        </w:rPr>
        <w:t xml:space="preserve"> </w:t>
      </w:r>
      <w:r w:rsidR="0031604D" w:rsidRPr="006D69DB">
        <w:rPr>
          <w:sz w:val="22"/>
          <w:szCs w:val="22"/>
        </w:rPr>
        <w:t>Australia</w:t>
      </w:r>
      <w:r w:rsidR="00026F59">
        <w:rPr>
          <w:sz w:val="22"/>
          <w:szCs w:val="22"/>
        </w:rPr>
        <w:t>n Charities and Not-</w:t>
      </w:r>
      <w:r w:rsidR="00C5319C">
        <w:rPr>
          <w:sz w:val="22"/>
          <w:szCs w:val="22"/>
        </w:rPr>
        <w:t xml:space="preserve">for-profits Commission </w:t>
      </w:r>
      <w:r w:rsidR="0031604D" w:rsidRPr="006D69DB">
        <w:rPr>
          <w:sz w:val="22"/>
          <w:szCs w:val="22"/>
        </w:rPr>
        <w:t>Act 2012</w:t>
      </w:r>
      <w:r w:rsidRPr="006D69DB">
        <w:rPr>
          <w:rFonts w:cs="Arial"/>
          <w:sz w:val="22"/>
          <w:szCs w:val="22"/>
        </w:rPr>
        <w:t xml:space="preserve"> </w:t>
      </w:r>
      <w:r w:rsidR="00A91EA3" w:rsidRPr="006D69DB">
        <w:rPr>
          <w:rFonts w:cs="Arial"/>
          <w:sz w:val="22"/>
          <w:szCs w:val="22"/>
        </w:rPr>
        <w:t>and</w:t>
      </w:r>
      <w:r w:rsidRPr="006D69DB">
        <w:rPr>
          <w:rFonts w:cs="Arial"/>
          <w:szCs w:val="22"/>
        </w:rPr>
        <w:t xml:space="preserve"> </w:t>
      </w:r>
      <w:r w:rsidR="00A91EA3">
        <w:rPr>
          <w:rFonts w:cs="Arial"/>
          <w:sz w:val="22"/>
          <w:szCs w:val="22"/>
        </w:rPr>
        <w:t xml:space="preserve">Australian </w:t>
      </w:r>
      <w:r w:rsidRPr="007540D9">
        <w:rPr>
          <w:rFonts w:cs="Arial"/>
          <w:sz w:val="22"/>
          <w:szCs w:val="22"/>
        </w:rPr>
        <w:t xml:space="preserve">Accounting Standards - Reduced Disclosure </w:t>
      </w:r>
      <w:r w:rsidR="00866214">
        <w:rPr>
          <w:rFonts w:cs="Arial"/>
          <w:sz w:val="22"/>
          <w:szCs w:val="22"/>
        </w:rPr>
        <w:t>Requirements</w:t>
      </w:r>
      <w:r w:rsidRPr="007540D9">
        <w:rPr>
          <w:rFonts w:cs="Arial"/>
          <w:sz w:val="22"/>
          <w:szCs w:val="22"/>
        </w:rPr>
        <w:t>, and comply with</w:t>
      </w:r>
      <w:r w:rsidR="00CB535E">
        <w:rPr>
          <w:rFonts w:cs="Arial"/>
          <w:sz w:val="22"/>
          <w:szCs w:val="22"/>
        </w:rPr>
        <w:t xml:space="preserve"> other requirements of the law including the </w:t>
      </w:r>
      <w:r w:rsidR="006D69DB" w:rsidRPr="006D69DB">
        <w:rPr>
          <w:rFonts w:cs="Arial"/>
          <w:bCs/>
          <w:color w:val="000000"/>
          <w:sz w:val="22"/>
          <w:szCs w:val="22"/>
          <w:lang w:eastAsia="en-AU"/>
        </w:rPr>
        <w:t>Charitable Collections Act (1946) [Section 15] WA</w:t>
      </w:r>
      <w:r w:rsidR="006D69DB">
        <w:rPr>
          <w:rFonts w:cs="Arial"/>
          <w:bCs/>
          <w:color w:val="000000"/>
          <w:sz w:val="22"/>
          <w:szCs w:val="22"/>
          <w:lang w:eastAsia="en-AU"/>
        </w:rPr>
        <w:t xml:space="preserve"> and the </w:t>
      </w:r>
      <w:r w:rsidR="006D69DB" w:rsidRPr="006D69DB">
        <w:rPr>
          <w:rFonts w:cs="Arial"/>
          <w:bCs/>
          <w:color w:val="000000"/>
          <w:sz w:val="22"/>
          <w:szCs w:val="22"/>
          <w:lang w:eastAsia="en-AU"/>
        </w:rPr>
        <w:t>Charitable Fundraising Act 1991</w:t>
      </w:r>
      <w:r w:rsidR="00CB535E">
        <w:rPr>
          <w:rFonts w:cs="Arial"/>
          <w:bCs/>
          <w:color w:val="000000"/>
          <w:sz w:val="22"/>
          <w:szCs w:val="22"/>
          <w:lang w:eastAsia="en-AU"/>
        </w:rPr>
        <w:t>.</w:t>
      </w:r>
    </w:p>
    <w:p w14:paraId="5EA737B3" w14:textId="77777777" w:rsidR="00BE54EB" w:rsidRPr="007540D9" w:rsidRDefault="00BE54EB" w:rsidP="002206F9">
      <w:pPr>
        <w:rPr>
          <w:rFonts w:cs="Arial"/>
          <w:sz w:val="22"/>
          <w:szCs w:val="22"/>
          <w:highlight w:val="yellow"/>
        </w:rPr>
      </w:pPr>
    </w:p>
    <w:p w14:paraId="5EA737B4" w14:textId="77777777" w:rsidR="00BE54EB" w:rsidRPr="007540D9" w:rsidRDefault="00BE54EB" w:rsidP="002206F9">
      <w:pPr>
        <w:rPr>
          <w:rFonts w:cs="Arial"/>
          <w:sz w:val="22"/>
          <w:szCs w:val="22"/>
        </w:rPr>
      </w:pPr>
      <w:r w:rsidRPr="007540D9">
        <w:rPr>
          <w:rFonts w:cs="Arial"/>
          <w:sz w:val="22"/>
          <w:szCs w:val="22"/>
        </w:rPr>
        <w:t>These financial statements comprise the consolidated financial statements of the Group.</w:t>
      </w:r>
      <w:r w:rsidR="004B0449" w:rsidRPr="007540D9">
        <w:rPr>
          <w:rFonts w:cs="Arial"/>
          <w:sz w:val="22"/>
          <w:szCs w:val="22"/>
        </w:rPr>
        <w:t xml:space="preserve">  For the purposes of preparing the consolidated financial statements, the Company is a not-for-profit entity.</w:t>
      </w:r>
    </w:p>
    <w:p w14:paraId="5EA737B5" w14:textId="77777777" w:rsidR="004800B5" w:rsidRPr="00771C91" w:rsidRDefault="004800B5" w:rsidP="002206F9">
      <w:pPr>
        <w:rPr>
          <w:rFonts w:cs="Arial"/>
          <w:sz w:val="22"/>
          <w:szCs w:val="22"/>
        </w:rPr>
      </w:pPr>
    </w:p>
    <w:p w14:paraId="5EA737B6" w14:textId="77777777" w:rsidR="004800B5" w:rsidRPr="007540D9" w:rsidRDefault="004800B5" w:rsidP="002206F9">
      <w:pPr>
        <w:rPr>
          <w:rFonts w:cs="Arial"/>
          <w:sz w:val="22"/>
          <w:szCs w:val="22"/>
        </w:rPr>
      </w:pPr>
      <w:r w:rsidRPr="00771C91">
        <w:rPr>
          <w:rFonts w:cs="Arial"/>
          <w:sz w:val="22"/>
          <w:szCs w:val="22"/>
        </w:rPr>
        <w:t xml:space="preserve">The financial report was authorised for issue by the </w:t>
      </w:r>
      <w:r w:rsidRPr="001F776D">
        <w:rPr>
          <w:rFonts w:cs="Arial"/>
          <w:sz w:val="22"/>
          <w:szCs w:val="22"/>
        </w:rPr>
        <w:t xml:space="preserve">directors on </w:t>
      </w:r>
      <w:r w:rsidR="00A60FC1">
        <w:rPr>
          <w:rFonts w:cs="Arial"/>
          <w:sz w:val="22"/>
          <w:szCs w:val="22"/>
        </w:rPr>
        <w:t>19</w:t>
      </w:r>
      <w:r w:rsidR="00E000D5" w:rsidRPr="001F776D">
        <w:rPr>
          <w:rFonts w:cs="Arial"/>
          <w:sz w:val="22"/>
          <w:szCs w:val="22"/>
        </w:rPr>
        <w:t xml:space="preserve"> </w:t>
      </w:r>
      <w:r w:rsidRPr="001F776D">
        <w:rPr>
          <w:rFonts w:cs="Arial"/>
          <w:sz w:val="22"/>
          <w:szCs w:val="22"/>
        </w:rPr>
        <w:t xml:space="preserve">August </w:t>
      </w:r>
      <w:r w:rsidR="00E815E2" w:rsidRPr="001F776D">
        <w:rPr>
          <w:rFonts w:cs="Arial"/>
          <w:sz w:val="22"/>
          <w:szCs w:val="22"/>
        </w:rPr>
        <w:t>201</w:t>
      </w:r>
      <w:r w:rsidR="00A60FC1">
        <w:rPr>
          <w:rFonts w:cs="Arial"/>
          <w:sz w:val="22"/>
          <w:szCs w:val="22"/>
        </w:rPr>
        <w:t>5</w:t>
      </w:r>
      <w:r w:rsidRPr="001F776D">
        <w:rPr>
          <w:rFonts w:cs="Arial"/>
          <w:sz w:val="22"/>
          <w:szCs w:val="22"/>
        </w:rPr>
        <w:t>.</w:t>
      </w:r>
    </w:p>
    <w:p w14:paraId="5EA737B7" w14:textId="77777777" w:rsidR="0018759D" w:rsidRPr="00FA7C6C" w:rsidRDefault="0018759D" w:rsidP="002206F9">
      <w:pPr>
        <w:rPr>
          <w:rFonts w:cs="Arial"/>
          <w:b/>
          <w:sz w:val="22"/>
          <w:szCs w:val="22"/>
        </w:rPr>
      </w:pPr>
    </w:p>
    <w:p w14:paraId="5EA737B8" w14:textId="77777777" w:rsidR="004800B5" w:rsidRPr="00FA7C6C" w:rsidRDefault="004800B5" w:rsidP="00FA7C6C">
      <w:pPr>
        <w:pStyle w:val="Heading2"/>
        <w:rPr>
          <w:sz w:val="22"/>
          <w:szCs w:val="22"/>
        </w:rPr>
      </w:pPr>
      <w:bookmarkStart w:id="150" w:name="_Toc430613037"/>
      <w:bookmarkStart w:id="151" w:name="_Toc430613343"/>
      <w:bookmarkStart w:id="152" w:name="_Toc430613714"/>
      <w:r w:rsidRPr="00FA7C6C">
        <w:rPr>
          <w:sz w:val="22"/>
          <w:szCs w:val="22"/>
        </w:rPr>
        <w:t>3.2 Basis of preparation</w:t>
      </w:r>
      <w:bookmarkEnd w:id="150"/>
      <w:bookmarkEnd w:id="151"/>
      <w:bookmarkEnd w:id="152"/>
    </w:p>
    <w:p w14:paraId="5EA737B9" w14:textId="77777777" w:rsidR="004800B5" w:rsidRPr="00FA7C6C" w:rsidRDefault="004800B5" w:rsidP="002206F9">
      <w:pPr>
        <w:rPr>
          <w:rFonts w:cs="Arial"/>
          <w:b/>
          <w:sz w:val="22"/>
          <w:szCs w:val="22"/>
        </w:rPr>
      </w:pPr>
    </w:p>
    <w:p w14:paraId="5EA737BA" w14:textId="77777777" w:rsidR="004800B5" w:rsidRPr="007540D9" w:rsidRDefault="004800B5" w:rsidP="002206F9">
      <w:pPr>
        <w:rPr>
          <w:rFonts w:cs="Arial"/>
          <w:sz w:val="22"/>
          <w:szCs w:val="22"/>
        </w:rPr>
      </w:pPr>
      <w:r w:rsidRPr="007540D9">
        <w:rPr>
          <w:rFonts w:cs="Arial"/>
          <w:sz w:val="22"/>
          <w:szCs w:val="22"/>
        </w:rPr>
        <w:t xml:space="preserve">The </w:t>
      </w:r>
      <w:r w:rsidR="00FF3359" w:rsidRPr="007540D9">
        <w:rPr>
          <w:rFonts w:cs="Arial"/>
          <w:sz w:val="22"/>
          <w:szCs w:val="22"/>
        </w:rPr>
        <w:t xml:space="preserve">consolidated </w:t>
      </w:r>
      <w:r w:rsidRPr="007540D9">
        <w:rPr>
          <w:rFonts w:cs="Arial"/>
          <w:sz w:val="22"/>
          <w:szCs w:val="22"/>
        </w:rPr>
        <w:t>financial report has been prepared on the basis of historical cost, except for the revaluation of certain non-current assets</w:t>
      </w:r>
      <w:r w:rsidR="00FF3359" w:rsidRPr="007540D9">
        <w:rPr>
          <w:rFonts w:cs="Arial"/>
          <w:sz w:val="22"/>
          <w:szCs w:val="22"/>
        </w:rPr>
        <w:t xml:space="preserve"> and</w:t>
      </w:r>
      <w:r w:rsidRPr="007540D9">
        <w:rPr>
          <w:rFonts w:cs="Arial"/>
          <w:sz w:val="22"/>
          <w:szCs w:val="22"/>
        </w:rPr>
        <w:t xml:space="preserve"> financial instruments </w:t>
      </w:r>
      <w:r w:rsidR="00FF3359" w:rsidRPr="007540D9">
        <w:rPr>
          <w:rFonts w:cs="Arial"/>
          <w:sz w:val="22"/>
          <w:szCs w:val="22"/>
        </w:rPr>
        <w:t>that are measured at revalued amounts or fair values, as explained in the accounting policies below</w:t>
      </w:r>
      <w:r w:rsidRPr="007540D9">
        <w:rPr>
          <w:rFonts w:cs="Arial"/>
          <w:sz w:val="22"/>
          <w:szCs w:val="22"/>
        </w:rPr>
        <w:t xml:space="preserve">. Cost is based on the fair values of the consideration given in exchange for assets.  All amounts are presented in Australian dollars unless otherwise noted.  </w:t>
      </w:r>
    </w:p>
    <w:p w14:paraId="5EA737BB" w14:textId="77777777" w:rsidR="004800B5" w:rsidRDefault="004800B5" w:rsidP="002206F9">
      <w:pPr>
        <w:rPr>
          <w:rFonts w:cs="Arial"/>
          <w:sz w:val="22"/>
          <w:szCs w:val="22"/>
          <w:highlight w:val="yellow"/>
        </w:rPr>
      </w:pPr>
    </w:p>
    <w:p w14:paraId="5EA737BC" w14:textId="77777777" w:rsidR="000901D5" w:rsidRPr="000901D5" w:rsidRDefault="000901D5" w:rsidP="002206F9">
      <w:pPr>
        <w:rPr>
          <w:rFonts w:cs="Arial"/>
          <w:sz w:val="22"/>
          <w:szCs w:val="22"/>
        </w:rPr>
      </w:pPr>
      <w:r w:rsidRPr="000901D5">
        <w:rPr>
          <w:rFonts w:cs="Arial"/>
          <w:sz w:val="22"/>
          <w:szCs w:val="22"/>
        </w:rPr>
        <w:t>Fair value is the price that would be received to sell an asset or paid to transfer a liability in an</w:t>
      </w:r>
      <w:r>
        <w:rPr>
          <w:rFonts w:cs="Arial"/>
          <w:sz w:val="22"/>
          <w:szCs w:val="22"/>
        </w:rPr>
        <w:t xml:space="preserve"> </w:t>
      </w:r>
      <w:r w:rsidRPr="000901D5">
        <w:rPr>
          <w:rFonts w:cs="Arial"/>
          <w:sz w:val="22"/>
          <w:szCs w:val="22"/>
        </w:rPr>
        <w:t>orderly transaction between market participants at the measurement date, regardless of whether that</w:t>
      </w:r>
      <w:r>
        <w:rPr>
          <w:rFonts w:cs="Arial"/>
          <w:sz w:val="22"/>
          <w:szCs w:val="22"/>
        </w:rPr>
        <w:t xml:space="preserve"> </w:t>
      </w:r>
      <w:r w:rsidRPr="000901D5">
        <w:rPr>
          <w:rFonts w:cs="Arial"/>
          <w:sz w:val="22"/>
          <w:szCs w:val="22"/>
        </w:rPr>
        <w:t>price is directly observable or estimated using another valuation technique. In estimating the fair</w:t>
      </w:r>
      <w:r>
        <w:rPr>
          <w:rFonts w:cs="Arial"/>
          <w:sz w:val="22"/>
          <w:szCs w:val="22"/>
        </w:rPr>
        <w:t xml:space="preserve"> </w:t>
      </w:r>
      <w:r w:rsidRPr="000901D5">
        <w:rPr>
          <w:rFonts w:cs="Arial"/>
          <w:sz w:val="22"/>
          <w:szCs w:val="22"/>
        </w:rPr>
        <w:t>value of an asset or a liability, the Group takes into account the characteristics of the asset or liability</w:t>
      </w:r>
      <w:r>
        <w:rPr>
          <w:rFonts w:cs="Arial"/>
          <w:sz w:val="22"/>
          <w:szCs w:val="22"/>
        </w:rPr>
        <w:t xml:space="preserve"> </w:t>
      </w:r>
      <w:r w:rsidRPr="000901D5">
        <w:rPr>
          <w:rFonts w:cs="Arial"/>
          <w:sz w:val="22"/>
          <w:szCs w:val="22"/>
        </w:rPr>
        <w:t>if market participants would take those characteristics into account when pricing the asset or liability</w:t>
      </w:r>
      <w:r>
        <w:rPr>
          <w:rFonts w:cs="Arial"/>
          <w:sz w:val="22"/>
          <w:szCs w:val="22"/>
        </w:rPr>
        <w:t xml:space="preserve"> </w:t>
      </w:r>
      <w:r w:rsidRPr="000901D5">
        <w:rPr>
          <w:rFonts w:cs="Arial"/>
          <w:sz w:val="22"/>
          <w:szCs w:val="22"/>
        </w:rPr>
        <w:t>at the measurement date. Fair value for measurement and/or disclosure purposes in these</w:t>
      </w:r>
      <w:r>
        <w:rPr>
          <w:rFonts w:cs="Arial"/>
          <w:sz w:val="22"/>
          <w:szCs w:val="22"/>
        </w:rPr>
        <w:t xml:space="preserve"> </w:t>
      </w:r>
      <w:r w:rsidRPr="000901D5">
        <w:rPr>
          <w:rFonts w:cs="Arial"/>
          <w:sz w:val="22"/>
          <w:szCs w:val="22"/>
        </w:rPr>
        <w:t>consolidated financial statements is determined on such a basis, except for leasing transactions that are within the scope of</w:t>
      </w:r>
      <w:r>
        <w:rPr>
          <w:rFonts w:cs="Arial"/>
          <w:sz w:val="22"/>
          <w:szCs w:val="22"/>
        </w:rPr>
        <w:t xml:space="preserve"> </w:t>
      </w:r>
      <w:r w:rsidRPr="000901D5">
        <w:rPr>
          <w:rFonts w:cs="Arial"/>
          <w:sz w:val="22"/>
          <w:szCs w:val="22"/>
        </w:rPr>
        <w:t>AASB 117, and measurements that have some similarities to fair value but are not fair value, such</w:t>
      </w:r>
      <w:r>
        <w:rPr>
          <w:rFonts w:cs="Arial"/>
          <w:sz w:val="22"/>
          <w:szCs w:val="22"/>
        </w:rPr>
        <w:t xml:space="preserve"> </w:t>
      </w:r>
      <w:r w:rsidRPr="000901D5">
        <w:rPr>
          <w:rFonts w:cs="Arial"/>
          <w:sz w:val="22"/>
          <w:szCs w:val="22"/>
        </w:rPr>
        <w:t>as value in use in AASB 136.</w:t>
      </w:r>
    </w:p>
    <w:p w14:paraId="5EA737BD" w14:textId="77777777" w:rsidR="000901D5" w:rsidRDefault="000901D5" w:rsidP="002206F9">
      <w:pPr>
        <w:rPr>
          <w:rFonts w:cs="Arial"/>
          <w:sz w:val="22"/>
          <w:szCs w:val="22"/>
        </w:rPr>
      </w:pPr>
    </w:p>
    <w:p w14:paraId="5EA737BE" w14:textId="77777777" w:rsidR="000901D5" w:rsidRDefault="000901D5" w:rsidP="002206F9">
      <w:pPr>
        <w:rPr>
          <w:rFonts w:cs="Arial"/>
          <w:sz w:val="22"/>
          <w:szCs w:val="22"/>
        </w:rPr>
      </w:pPr>
      <w:r w:rsidRPr="000901D5">
        <w:rPr>
          <w:rFonts w:cs="Arial"/>
          <w:sz w:val="22"/>
          <w:szCs w:val="22"/>
        </w:rPr>
        <w:t>In addition, for financial reporting purposes, fair value measurements are categorised into Level 1, 2</w:t>
      </w:r>
      <w:r>
        <w:rPr>
          <w:rFonts w:cs="Arial"/>
          <w:sz w:val="22"/>
          <w:szCs w:val="22"/>
        </w:rPr>
        <w:t xml:space="preserve"> </w:t>
      </w:r>
      <w:r w:rsidRPr="000901D5">
        <w:rPr>
          <w:rFonts w:cs="Arial"/>
          <w:sz w:val="22"/>
          <w:szCs w:val="22"/>
        </w:rPr>
        <w:t>or 3 based on the degree to which the inputs to the fair value measurements are observable and the</w:t>
      </w:r>
      <w:r>
        <w:rPr>
          <w:rFonts w:cs="Arial"/>
          <w:sz w:val="22"/>
          <w:szCs w:val="22"/>
        </w:rPr>
        <w:t xml:space="preserve"> </w:t>
      </w:r>
      <w:r w:rsidRPr="000901D5">
        <w:rPr>
          <w:rFonts w:cs="Arial"/>
          <w:sz w:val="22"/>
          <w:szCs w:val="22"/>
        </w:rPr>
        <w:t>significance of the inputs to the fair value measurement in its entirety, which are described as</w:t>
      </w:r>
      <w:r>
        <w:rPr>
          <w:rFonts w:cs="Arial"/>
          <w:sz w:val="22"/>
          <w:szCs w:val="22"/>
        </w:rPr>
        <w:t xml:space="preserve"> </w:t>
      </w:r>
      <w:r w:rsidRPr="000901D5">
        <w:rPr>
          <w:rFonts w:cs="Arial"/>
          <w:sz w:val="22"/>
          <w:szCs w:val="22"/>
        </w:rPr>
        <w:t>follows:</w:t>
      </w:r>
    </w:p>
    <w:p w14:paraId="5EA737BF" w14:textId="77777777" w:rsidR="001F776D" w:rsidRPr="000901D5" w:rsidRDefault="001F776D" w:rsidP="002206F9">
      <w:pPr>
        <w:rPr>
          <w:rFonts w:cs="Arial"/>
          <w:sz w:val="22"/>
          <w:szCs w:val="22"/>
        </w:rPr>
      </w:pPr>
    </w:p>
    <w:p w14:paraId="5EA737C0" w14:textId="77777777" w:rsidR="000901D5" w:rsidRPr="000901D5" w:rsidRDefault="000901D5" w:rsidP="0031284D">
      <w:pPr>
        <w:numPr>
          <w:ilvl w:val="0"/>
          <w:numId w:val="19"/>
        </w:numPr>
        <w:rPr>
          <w:rFonts w:cs="Arial"/>
          <w:sz w:val="22"/>
          <w:szCs w:val="22"/>
        </w:rPr>
      </w:pPr>
      <w:r w:rsidRPr="000901D5">
        <w:rPr>
          <w:rFonts w:cs="Arial"/>
          <w:sz w:val="22"/>
          <w:szCs w:val="22"/>
        </w:rPr>
        <w:t>Level 1 inputs are quoted prices (unadjusted) in active markets for identical assets or liabilities</w:t>
      </w:r>
      <w:r>
        <w:rPr>
          <w:rFonts w:cs="Arial"/>
          <w:sz w:val="22"/>
          <w:szCs w:val="22"/>
        </w:rPr>
        <w:t xml:space="preserve"> </w:t>
      </w:r>
      <w:r w:rsidRPr="000901D5">
        <w:rPr>
          <w:rFonts w:cs="Arial"/>
          <w:sz w:val="22"/>
          <w:szCs w:val="22"/>
        </w:rPr>
        <w:t>that the entity can access at the measurement date;</w:t>
      </w:r>
    </w:p>
    <w:p w14:paraId="5EA737C1" w14:textId="77777777" w:rsidR="000901D5" w:rsidRPr="000901D5" w:rsidRDefault="000901D5" w:rsidP="0031284D">
      <w:pPr>
        <w:numPr>
          <w:ilvl w:val="0"/>
          <w:numId w:val="19"/>
        </w:numPr>
        <w:rPr>
          <w:rFonts w:cs="Arial"/>
          <w:sz w:val="22"/>
          <w:szCs w:val="22"/>
        </w:rPr>
      </w:pPr>
      <w:r w:rsidRPr="000901D5">
        <w:rPr>
          <w:rFonts w:cs="Arial"/>
          <w:sz w:val="22"/>
          <w:szCs w:val="22"/>
        </w:rPr>
        <w:t>Level 2 inputs are inputs, other than quoted prices included within Level 1, that are observable</w:t>
      </w:r>
      <w:r>
        <w:rPr>
          <w:rFonts w:cs="Arial"/>
          <w:sz w:val="22"/>
          <w:szCs w:val="22"/>
        </w:rPr>
        <w:t xml:space="preserve"> </w:t>
      </w:r>
      <w:r w:rsidRPr="000901D5">
        <w:rPr>
          <w:rFonts w:cs="Arial"/>
          <w:sz w:val="22"/>
          <w:szCs w:val="22"/>
        </w:rPr>
        <w:t>for the asset or liability, either directly or indirectly; and</w:t>
      </w:r>
    </w:p>
    <w:p w14:paraId="5EA737C2" w14:textId="77777777" w:rsidR="000901D5" w:rsidRPr="000901D5" w:rsidRDefault="000901D5" w:rsidP="0031284D">
      <w:pPr>
        <w:numPr>
          <w:ilvl w:val="0"/>
          <w:numId w:val="19"/>
        </w:numPr>
        <w:rPr>
          <w:rFonts w:cs="Arial"/>
          <w:sz w:val="22"/>
          <w:szCs w:val="22"/>
        </w:rPr>
      </w:pPr>
      <w:r w:rsidRPr="000901D5">
        <w:rPr>
          <w:rFonts w:cs="Arial"/>
          <w:sz w:val="22"/>
          <w:szCs w:val="22"/>
        </w:rPr>
        <w:t>Level 3 inputs are unobservable inputs for the asset or liability.</w:t>
      </w:r>
    </w:p>
    <w:p w14:paraId="5EA737C3" w14:textId="77777777" w:rsidR="000901D5" w:rsidRPr="007540D9" w:rsidRDefault="000901D5" w:rsidP="002206F9">
      <w:pPr>
        <w:rPr>
          <w:rFonts w:cs="Arial"/>
          <w:sz w:val="22"/>
          <w:szCs w:val="22"/>
          <w:highlight w:val="yellow"/>
        </w:rPr>
      </w:pPr>
    </w:p>
    <w:p w14:paraId="5EA737C4" w14:textId="77777777" w:rsidR="004800B5" w:rsidRPr="007540D9" w:rsidRDefault="004800B5" w:rsidP="002206F9">
      <w:pPr>
        <w:rPr>
          <w:rFonts w:cs="Arial"/>
          <w:sz w:val="22"/>
          <w:szCs w:val="22"/>
        </w:rPr>
      </w:pPr>
      <w:r w:rsidRPr="007540D9">
        <w:rPr>
          <w:rFonts w:cs="Arial"/>
          <w:sz w:val="22"/>
          <w:szCs w:val="22"/>
        </w:rPr>
        <w:t>Vision Australia</w:t>
      </w:r>
      <w:r w:rsidR="00A124A1" w:rsidRPr="007540D9">
        <w:rPr>
          <w:rFonts w:cs="Arial"/>
          <w:sz w:val="22"/>
          <w:szCs w:val="22"/>
        </w:rPr>
        <w:t xml:space="preserve"> Limited</w:t>
      </w:r>
      <w:r w:rsidRPr="007540D9">
        <w:rPr>
          <w:rFonts w:cs="Arial"/>
          <w:sz w:val="22"/>
          <w:szCs w:val="22"/>
        </w:rPr>
        <w:t xml:space="preserve"> is a company of the kind referred to in ASIC Class Order 98/0100, dated 10 July 1998, and in accordance with that Class Order amounts in the directors’ report and the financial report are rounded off to the nearest thousand dollars, unless otherwise indicated.</w:t>
      </w:r>
    </w:p>
    <w:p w14:paraId="5EA737C5" w14:textId="77777777" w:rsidR="004800B5" w:rsidRDefault="004800B5" w:rsidP="00BC61D4">
      <w:pPr>
        <w:jc w:val="both"/>
        <w:rPr>
          <w:rFonts w:cs="Arial"/>
          <w:sz w:val="22"/>
          <w:szCs w:val="22"/>
        </w:rPr>
      </w:pPr>
    </w:p>
    <w:p w14:paraId="5EA737C6" w14:textId="77777777" w:rsidR="004924BA" w:rsidRPr="004924BA" w:rsidRDefault="004924BA" w:rsidP="002206F9">
      <w:pPr>
        <w:rPr>
          <w:rFonts w:cs="Arial"/>
          <w:sz w:val="22"/>
          <w:szCs w:val="22"/>
        </w:rPr>
      </w:pPr>
      <w:r>
        <w:rPr>
          <w:rFonts w:cs="Arial"/>
          <w:b/>
          <w:sz w:val="22"/>
          <w:szCs w:val="22"/>
        </w:rPr>
        <w:br w:type="page"/>
      </w:r>
      <w:r w:rsidRPr="004924BA">
        <w:rPr>
          <w:rFonts w:cs="Arial"/>
          <w:sz w:val="22"/>
          <w:szCs w:val="22"/>
        </w:rPr>
        <w:lastRenderedPageBreak/>
        <w:t>The principal accounting policies are set out below.</w:t>
      </w:r>
    </w:p>
    <w:p w14:paraId="5EA737C7" w14:textId="77777777" w:rsidR="004924BA" w:rsidRDefault="004924BA" w:rsidP="002206F9">
      <w:pPr>
        <w:rPr>
          <w:rFonts w:cs="Arial"/>
          <w:b/>
          <w:sz w:val="22"/>
          <w:szCs w:val="22"/>
        </w:rPr>
      </w:pPr>
    </w:p>
    <w:p w14:paraId="5EA737C8" w14:textId="77777777" w:rsidR="004800B5" w:rsidRPr="00FA7C6C" w:rsidRDefault="004800B5" w:rsidP="00FA7C6C">
      <w:pPr>
        <w:pStyle w:val="Heading2"/>
        <w:rPr>
          <w:sz w:val="22"/>
          <w:szCs w:val="22"/>
        </w:rPr>
      </w:pPr>
      <w:bookmarkStart w:id="153" w:name="_Toc430613038"/>
      <w:bookmarkStart w:id="154" w:name="_Toc430613344"/>
      <w:bookmarkStart w:id="155" w:name="_Toc430613715"/>
      <w:r w:rsidRPr="00FA7C6C">
        <w:rPr>
          <w:sz w:val="22"/>
          <w:szCs w:val="22"/>
        </w:rPr>
        <w:t>3.3 Basis of Consolidation</w:t>
      </w:r>
      <w:bookmarkEnd w:id="153"/>
      <w:bookmarkEnd w:id="154"/>
      <w:bookmarkEnd w:id="155"/>
    </w:p>
    <w:p w14:paraId="5EA737C9" w14:textId="77777777" w:rsidR="004800B5" w:rsidRPr="00EE5A6D" w:rsidRDefault="004800B5" w:rsidP="002206F9">
      <w:pPr>
        <w:rPr>
          <w:rFonts w:cs="Arial"/>
          <w:sz w:val="18"/>
          <w:szCs w:val="22"/>
        </w:rPr>
      </w:pPr>
    </w:p>
    <w:p w14:paraId="5EA737CA" w14:textId="77777777" w:rsidR="004924BA" w:rsidRPr="00890DD6" w:rsidRDefault="004924BA" w:rsidP="002206F9">
      <w:pPr>
        <w:autoSpaceDE w:val="0"/>
        <w:autoSpaceDN w:val="0"/>
        <w:adjustRightInd w:val="0"/>
        <w:rPr>
          <w:rFonts w:cs="Arial"/>
          <w:sz w:val="22"/>
          <w:szCs w:val="22"/>
        </w:rPr>
      </w:pPr>
      <w:r w:rsidRPr="00890DD6">
        <w:rPr>
          <w:rFonts w:cs="Arial"/>
          <w:sz w:val="22"/>
          <w:szCs w:val="22"/>
        </w:rPr>
        <w:t>The consolidated financial statements incorporate the financial statements of the Company and</w:t>
      </w:r>
      <w:r w:rsidR="00890DD6">
        <w:rPr>
          <w:rFonts w:cs="Arial"/>
          <w:sz w:val="22"/>
          <w:szCs w:val="22"/>
        </w:rPr>
        <w:t xml:space="preserve"> </w:t>
      </w:r>
      <w:r w:rsidRPr="00890DD6">
        <w:rPr>
          <w:rFonts w:cs="Arial"/>
          <w:sz w:val="22"/>
          <w:szCs w:val="22"/>
        </w:rPr>
        <w:t>entities (including structured entities) controlled by the Company and its subsidiaries. Control is</w:t>
      </w:r>
      <w:r w:rsidR="00890DD6">
        <w:rPr>
          <w:rFonts w:cs="Arial"/>
          <w:sz w:val="22"/>
          <w:szCs w:val="22"/>
        </w:rPr>
        <w:t xml:space="preserve"> </w:t>
      </w:r>
      <w:r w:rsidRPr="00890DD6">
        <w:rPr>
          <w:rFonts w:cs="Arial"/>
          <w:sz w:val="22"/>
          <w:szCs w:val="22"/>
        </w:rPr>
        <w:t>achieved when the Company:</w:t>
      </w:r>
    </w:p>
    <w:p w14:paraId="5EA737CB" w14:textId="77777777" w:rsidR="001F776D" w:rsidRDefault="001F776D" w:rsidP="002206F9">
      <w:pPr>
        <w:autoSpaceDE w:val="0"/>
        <w:autoSpaceDN w:val="0"/>
        <w:adjustRightInd w:val="0"/>
        <w:ind w:left="720"/>
        <w:rPr>
          <w:rFonts w:cs="Arial"/>
          <w:sz w:val="22"/>
          <w:szCs w:val="22"/>
        </w:rPr>
      </w:pPr>
    </w:p>
    <w:p w14:paraId="5EA737CC" w14:textId="77777777" w:rsidR="004924BA" w:rsidRPr="00890DD6" w:rsidRDefault="004924BA" w:rsidP="0031284D">
      <w:pPr>
        <w:numPr>
          <w:ilvl w:val="0"/>
          <w:numId w:val="20"/>
        </w:numPr>
        <w:autoSpaceDE w:val="0"/>
        <w:autoSpaceDN w:val="0"/>
        <w:adjustRightInd w:val="0"/>
        <w:rPr>
          <w:rFonts w:cs="Arial"/>
          <w:sz w:val="22"/>
          <w:szCs w:val="22"/>
        </w:rPr>
      </w:pPr>
      <w:r w:rsidRPr="00890DD6">
        <w:rPr>
          <w:rFonts w:cs="Arial"/>
          <w:sz w:val="22"/>
          <w:szCs w:val="22"/>
        </w:rPr>
        <w:t>has power over the investee;</w:t>
      </w:r>
    </w:p>
    <w:p w14:paraId="5EA737CD" w14:textId="77777777" w:rsidR="004924BA" w:rsidRPr="00890DD6" w:rsidRDefault="004924BA" w:rsidP="0031284D">
      <w:pPr>
        <w:numPr>
          <w:ilvl w:val="0"/>
          <w:numId w:val="20"/>
        </w:numPr>
        <w:autoSpaceDE w:val="0"/>
        <w:autoSpaceDN w:val="0"/>
        <w:adjustRightInd w:val="0"/>
        <w:rPr>
          <w:rFonts w:cs="Arial"/>
          <w:sz w:val="22"/>
          <w:szCs w:val="22"/>
        </w:rPr>
      </w:pPr>
      <w:r w:rsidRPr="00890DD6">
        <w:rPr>
          <w:rFonts w:cs="Arial"/>
          <w:sz w:val="22"/>
          <w:szCs w:val="22"/>
        </w:rPr>
        <w:t>is exposed, or has rights, to variable returns from its involvement with the investee; and</w:t>
      </w:r>
    </w:p>
    <w:p w14:paraId="5EA737CE" w14:textId="77777777" w:rsidR="004924BA" w:rsidRPr="00890DD6" w:rsidRDefault="004924BA" w:rsidP="0031284D">
      <w:pPr>
        <w:numPr>
          <w:ilvl w:val="0"/>
          <w:numId w:val="20"/>
        </w:numPr>
        <w:autoSpaceDE w:val="0"/>
        <w:autoSpaceDN w:val="0"/>
        <w:adjustRightInd w:val="0"/>
        <w:rPr>
          <w:rFonts w:cs="Arial"/>
          <w:sz w:val="22"/>
          <w:szCs w:val="22"/>
        </w:rPr>
      </w:pPr>
      <w:proofErr w:type="gramStart"/>
      <w:r w:rsidRPr="00890DD6">
        <w:rPr>
          <w:rFonts w:cs="Arial"/>
          <w:sz w:val="22"/>
          <w:szCs w:val="22"/>
        </w:rPr>
        <w:t>has</w:t>
      </w:r>
      <w:proofErr w:type="gramEnd"/>
      <w:r w:rsidRPr="00890DD6">
        <w:rPr>
          <w:rFonts w:cs="Arial"/>
          <w:sz w:val="22"/>
          <w:szCs w:val="22"/>
        </w:rPr>
        <w:t xml:space="preserve"> the ability to use its power to affect its returns.</w:t>
      </w:r>
    </w:p>
    <w:p w14:paraId="5EA737CF" w14:textId="77777777" w:rsidR="00890DD6" w:rsidRDefault="00890DD6" w:rsidP="002206F9">
      <w:pPr>
        <w:autoSpaceDE w:val="0"/>
        <w:autoSpaceDN w:val="0"/>
        <w:adjustRightInd w:val="0"/>
        <w:rPr>
          <w:rFonts w:cs="Arial"/>
          <w:sz w:val="22"/>
          <w:szCs w:val="22"/>
        </w:rPr>
      </w:pPr>
    </w:p>
    <w:p w14:paraId="5EA737D0" w14:textId="77777777" w:rsidR="004924BA" w:rsidRPr="00890DD6" w:rsidRDefault="004924BA" w:rsidP="002206F9">
      <w:pPr>
        <w:autoSpaceDE w:val="0"/>
        <w:autoSpaceDN w:val="0"/>
        <w:adjustRightInd w:val="0"/>
        <w:rPr>
          <w:rFonts w:cs="Arial"/>
          <w:sz w:val="22"/>
          <w:szCs w:val="22"/>
        </w:rPr>
      </w:pPr>
      <w:r w:rsidRPr="00890DD6">
        <w:rPr>
          <w:rFonts w:cs="Arial"/>
          <w:sz w:val="22"/>
          <w:szCs w:val="22"/>
        </w:rPr>
        <w:t>The Company reassesses whether or not it controls an investee if facts and circumstances indicate</w:t>
      </w:r>
      <w:r w:rsidR="00890DD6">
        <w:rPr>
          <w:rFonts w:cs="Arial"/>
          <w:sz w:val="22"/>
          <w:szCs w:val="22"/>
        </w:rPr>
        <w:t xml:space="preserve"> </w:t>
      </w:r>
      <w:r w:rsidRPr="00890DD6">
        <w:rPr>
          <w:rFonts w:cs="Arial"/>
          <w:sz w:val="22"/>
          <w:szCs w:val="22"/>
        </w:rPr>
        <w:t>that there are changes to one or more of the three elements of control listed above.</w:t>
      </w:r>
    </w:p>
    <w:p w14:paraId="5EA737D1" w14:textId="77777777" w:rsidR="008650FE" w:rsidRDefault="008650FE" w:rsidP="002206F9">
      <w:pPr>
        <w:autoSpaceDE w:val="0"/>
        <w:autoSpaceDN w:val="0"/>
        <w:adjustRightInd w:val="0"/>
        <w:rPr>
          <w:rFonts w:cs="Arial"/>
          <w:sz w:val="22"/>
          <w:szCs w:val="22"/>
        </w:rPr>
      </w:pPr>
    </w:p>
    <w:p w14:paraId="5EA737D2" w14:textId="77777777" w:rsidR="004924BA" w:rsidRDefault="004924BA" w:rsidP="002206F9">
      <w:pPr>
        <w:autoSpaceDE w:val="0"/>
        <w:autoSpaceDN w:val="0"/>
        <w:adjustRightInd w:val="0"/>
        <w:rPr>
          <w:rFonts w:cs="Arial"/>
          <w:sz w:val="22"/>
          <w:szCs w:val="22"/>
        </w:rPr>
      </w:pPr>
      <w:r w:rsidRPr="00890DD6">
        <w:rPr>
          <w:rFonts w:cs="Arial"/>
          <w:sz w:val="22"/>
          <w:szCs w:val="22"/>
        </w:rPr>
        <w:t>When the Company has less than a majority of the voting rights of an investee, it has power over the</w:t>
      </w:r>
      <w:r w:rsidR="00890DD6">
        <w:rPr>
          <w:rFonts w:cs="Arial"/>
          <w:sz w:val="22"/>
          <w:szCs w:val="22"/>
        </w:rPr>
        <w:t xml:space="preserve"> </w:t>
      </w:r>
      <w:r w:rsidRPr="00890DD6">
        <w:rPr>
          <w:rFonts w:cs="Arial"/>
          <w:sz w:val="22"/>
          <w:szCs w:val="22"/>
        </w:rPr>
        <w:t>investee when the voting rights are sufficient to give it the practical ability to direct the relevant</w:t>
      </w:r>
      <w:r w:rsidR="00890DD6">
        <w:rPr>
          <w:rFonts w:cs="Arial"/>
          <w:sz w:val="22"/>
          <w:szCs w:val="22"/>
        </w:rPr>
        <w:t xml:space="preserve"> </w:t>
      </w:r>
      <w:r w:rsidRPr="00890DD6">
        <w:rPr>
          <w:rFonts w:cs="Arial"/>
          <w:sz w:val="22"/>
          <w:szCs w:val="22"/>
        </w:rPr>
        <w:t>activities of the investee unilaterally. The Company considers all relevant facts and circumstances in</w:t>
      </w:r>
      <w:r w:rsidR="00890DD6">
        <w:rPr>
          <w:rFonts w:cs="Arial"/>
          <w:sz w:val="22"/>
          <w:szCs w:val="22"/>
        </w:rPr>
        <w:t xml:space="preserve"> </w:t>
      </w:r>
      <w:r w:rsidRPr="00890DD6">
        <w:rPr>
          <w:rFonts w:cs="Arial"/>
          <w:sz w:val="22"/>
          <w:szCs w:val="22"/>
        </w:rPr>
        <w:t>assessing whether or not the Company's voting rights in an investee are sufficient to give it power,</w:t>
      </w:r>
      <w:r w:rsidR="00890DD6">
        <w:rPr>
          <w:rFonts w:cs="Arial"/>
          <w:sz w:val="22"/>
          <w:szCs w:val="22"/>
        </w:rPr>
        <w:t xml:space="preserve"> </w:t>
      </w:r>
      <w:r w:rsidRPr="00890DD6">
        <w:rPr>
          <w:rFonts w:cs="Arial"/>
          <w:sz w:val="22"/>
          <w:szCs w:val="22"/>
        </w:rPr>
        <w:t>including:</w:t>
      </w:r>
    </w:p>
    <w:p w14:paraId="5EA737D3" w14:textId="77777777" w:rsidR="008650FE" w:rsidRPr="00890DD6" w:rsidRDefault="008650FE" w:rsidP="002206F9">
      <w:pPr>
        <w:autoSpaceDE w:val="0"/>
        <w:autoSpaceDN w:val="0"/>
        <w:adjustRightInd w:val="0"/>
        <w:rPr>
          <w:rFonts w:cs="Arial"/>
          <w:sz w:val="22"/>
          <w:szCs w:val="22"/>
        </w:rPr>
      </w:pPr>
    </w:p>
    <w:p w14:paraId="5EA737D4" w14:textId="77777777" w:rsidR="004924BA" w:rsidRPr="00890DD6" w:rsidRDefault="004924BA" w:rsidP="0031284D">
      <w:pPr>
        <w:numPr>
          <w:ilvl w:val="0"/>
          <w:numId w:val="20"/>
        </w:numPr>
        <w:autoSpaceDE w:val="0"/>
        <w:autoSpaceDN w:val="0"/>
        <w:adjustRightInd w:val="0"/>
        <w:rPr>
          <w:rFonts w:cs="Arial"/>
          <w:sz w:val="22"/>
          <w:szCs w:val="22"/>
        </w:rPr>
      </w:pPr>
      <w:r w:rsidRPr="00890DD6">
        <w:rPr>
          <w:rFonts w:cs="Arial"/>
          <w:sz w:val="22"/>
          <w:szCs w:val="22"/>
        </w:rPr>
        <w:t>the size of the Company's holding of voting rights relative to the size and dispersion of holdings</w:t>
      </w:r>
      <w:r w:rsidR="00890DD6">
        <w:rPr>
          <w:rFonts w:cs="Arial"/>
          <w:sz w:val="22"/>
          <w:szCs w:val="22"/>
        </w:rPr>
        <w:t xml:space="preserve"> </w:t>
      </w:r>
      <w:r w:rsidRPr="00890DD6">
        <w:rPr>
          <w:rFonts w:cs="Arial"/>
          <w:sz w:val="22"/>
          <w:szCs w:val="22"/>
        </w:rPr>
        <w:t>of the other vote holders;</w:t>
      </w:r>
    </w:p>
    <w:p w14:paraId="5EA737D5" w14:textId="77777777" w:rsidR="004924BA" w:rsidRPr="00890DD6" w:rsidRDefault="004924BA" w:rsidP="0031284D">
      <w:pPr>
        <w:numPr>
          <w:ilvl w:val="0"/>
          <w:numId w:val="20"/>
        </w:numPr>
        <w:autoSpaceDE w:val="0"/>
        <w:autoSpaceDN w:val="0"/>
        <w:adjustRightInd w:val="0"/>
        <w:rPr>
          <w:rFonts w:cs="Arial"/>
          <w:sz w:val="22"/>
          <w:szCs w:val="22"/>
        </w:rPr>
      </w:pPr>
      <w:r w:rsidRPr="00890DD6">
        <w:rPr>
          <w:rFonts w:cs="Arial"/>
          <w:sz w:val="22"/>
          <w:szCs w:val="22"/>
        </w:rPr>
        <w:t>potential voting rights held by the Company, other vote holders or other parties;</w:t>
      </w:r>
    </w:p>
    <w:p w14:paraId="5EA737D6" w14:textId="77777777" w:rsidR="008650FE" w:rsidRDefault="004924BA" w:rsidP="0031284D">
      <w:pPr>
        <w:numPr>
          <w:ilvl w:val="0"/>
          <w:numId w:val="20"/>
        </w:numPr>
        <w:autoSpaceDE w:val="0"/>
        <w:autoSpaceDN w:val="0"/>
        <w:adjustRightInd w:val="0"/>
        <w:rPr>
          <w:rFonts w:cs="Arial"/>
          <w:sz w:val="22"/>
          <w:szCs w:val="22"/>
        </w:rPr>
      </w:pPr>
      <w:r w:rsidRPr="00890DD6">
        <w:rPr>
          <w:rFonts w:cs="Arial"/>
          <w:sz w:val="22"/>
          <w:szCs w:val="22"/>
        </w:rPr>
        <w:t>rights arising from other contractual arrangements; and</w:t>
      </w:r>
      <w:r w:rsidR="00890DD6" w:rsidRPr="00890DD6">
        <w:rPr>
          <w:rFonts w:cs="Arial"/>
          <w:sz w:val="22"/>
          <w:szCs w:val="22"/>
        </w:rPr>
        <w:t xml:space="preserve"> </w:t>
      </w:r>
    </w:p>
    <w:p w14:paraId="5EA737D7" w14:textId="77777777" w:rsidR="008650FE" w:rsidRDefault="008650FE" w:rsidP="002206F9">
      <w:pPr>
        <w:autoSpaceDE w:val="0"/>
        <w:autoSpaceDN w:val="0"/>
        <w:adjustRightInd w:val="0"/>
        <w:rPr>
          <w:rFonts w:cs="Arial"/>
          <w:sz w:val="22"/>
          <w:szCs w:val="22"/>
        </w:rPr>
      </w:pPr>
    </w:p>
    <w:p w14:paraId="5EA737D8" w14:textId="77777777" w:rsidR="004924BA" w:rsidRDefault="004924BA" w:rsidP="002206F9">
      <w:pPr>
        <w:autoSpaceDE w:val="0"/>
        <w:autoSpaceDN w:val="0"/>
        <w:adjustRightInd w:val="0"/>
        <w:rPr>
          <w:rFonts w:cs="Arial"/>
          <w:sz w:val="22"/>
          <w:szCs w:val="22"/>
        </w:rPr>
      </w:pPr>
      <w:proofErr w:type="gramStart"/>
      <w:r w:rsidRPr="00890DD6">
        <w:rPr>
          <w:rFonts w:cs="Arial"/>
          <w:sz w:val="22"/>
          <w:szCs w:val="22"/>
        </w:rPr>
        <w:t>any</w:t>
      </w:r>
      <w:proofErr w:type="gramEnd"/>
      <w:r w:rsidRPr="00890DD6">
        <w:rPr>
          <w:rFonts w:cs="Arial"/>
          <w:sz w:val="22"/>
          <w:szCs w:val="22"/>
        </w:rPr>
        <w:t xml:space="preserve"> additional facts and circumstances that indicate that the Company has, or does not have, the</w:t>
      </w:r>
      <w:r w:rsidR="00890DD6" w:rsidRPr="00890DD6">
        <w:rPr>
          <w:rFonts w:cs="Arial"/>
          <w:sz w:val="22"/>
          <w:szCs w:val="22"/>
        </w:rPr>
        <w:t xml:space="preserve"> </w:t>
      </w:r>
      <w:r w:rsidRPr="00890DD6">
        <w:rPr>
          <w:rFonts w:cs="Arial"/>
          <w:sz w:val="22"/>
          <w:szCs w:val="22"/>
        </w:rPr>
        <w:t>current ability to direct the relevant activities at the time that decisions need to be made, including</w:t>
      </w:r>
      <w:r w:rsidR="00890DD6">
        <w:rPr>
          <w:rFonts w:cs="Arial"/>
          <w:sz w:val="22"/>
          <w:szCs w:val="22"/>
        </w:rPr>
        <w:t xml:space="preserve"> </w:t>
      </w:r>
      <w:r w:rsidRPr="00890DD6">
        <w:rPr>
          <w:rFonts w:cs="Arial"/>
          <w:sz w:val="22"/>
          <w:szCs w:val="22"/>
        </w:rPr>
        <w:t>voting patterns at previous shareholders' meetings.</w:t>
      </w:r>
    </w:p>
    <w:p w14:paraId="5EA737D9" w14:textId="77777777" w:rsidR="008650FE" w:rsidRPr="00890DD6" w:rsidRDefault="008650FE" w:rsidP="002206F9">
      <w:pPr>
        <w:autoSpaceDE w:val="0"/>
        <w:autoSpaceDN w:val="0"/>
        <w:adjustRightInd w:val="0"/>
        <w:rPr>
          <w:rFonts w:cs="Arial"/>
          <w:sz w:val="22"/>
          <w:szCs w:val="22"/>
        </w:rPr>
      </w:pPr>
    </w:p>
    <w:p w14:paraId="5EA737DA" w14:textId="77777777" w:rsidR="004800B5" w:rsidRPr="00890DD6" w:rsidRDefault="004924BA" w:rsidP="002206F9">
      <w:pPr>
        <w:autoSpaceDE w:val="0"/>
        <w:autoSpaceDN w:val="0"/>
        <w:adjustRightInd w:val="0"/>
        <w:rPr>
          <w:rFonts w:cs="Arial"/>
          <w:sz w:val="22"/>
          <w:szCs w:val="22"/>
        </w:rPr>
      </w:pPr>
      <w:r w:rsidRPr="00890DD6">
        <w:rPr>
          <w:rFonts w:cs="Arial"/>
          <w:sz w:val="22"/>
          <w:szCs w:val="22"/>
        </w:rPr>
        <w:t>Consolidation of a subsidiary begins when the Company obtains control over the subsidiary and</w:t>
      </w:r>
      <w:r w:rsidR="00890DD6">
        <w:rPr>
          <w:rFonts w:cs="Arial"/>
          <w:sz w:val="22"/>
          <w:szCs w:val="22"/>
        </w:rPr>
        <w:t xml:space="preserve"> </w:t>
      </w:r>
      <w:r w:rsidRPr="00890DD6">
        <w:rPr>
          <w:rFonts w:cs="Arial"/>
          <w:sz w:val="22"/>
          <w:szCs w:val="22"/>
        </w:rPr>
        <w:t>ceases when the Company loses control of the subsidiary. Specifically, income and expenses of a</w:t>
      </w:r>
      <w:r w:rsidR="00890DD6">
        <w:rPr>
          <w:rFonts w:cs="Arial"/>
          <w:sz w:val="22"/>
          <w:szCs w:val="22"/>
        </w:rPr>
        <w:t xml:space="preserve"> </w:t>
      </w:r>
      <w:r w:rsidRPr="00890DD6">
        <w:rPr>
          <w:rFonts w:cs="Arial"/>
          <w:sz w:val="22"/>
          <w:szCs w:val="22"/>
        </w:rPr>
        <w:t>subsidiary acquired or disposed of during the year are included in the consolidated statement of profit</w:t>
      </w:r>
      <w:r w:rsidR="00890DD6">
        <w:rPr>
          <w:rFonts w:cs="Arial"/>
          <w:sz w:val="22"/>
          <w:szCs w:val="22"/>
        </w:rPr>
        <w:t xml:space="preserve"> </w:t>
      </w:r>
      <w:r w:rsidRPr="00890DD6">
        <w:rPr>
          <w:rFonts w:cs="Arial"/>
          <w:sz w:val="22"/>
          <w:szCs w:val="22"/>
        </w:rPr>
        <w:t>or loss and other comprehensive income from the date the Company gains control until the date when</w:t>
      </w:r>
      <w:r w:rsidR="00890DD6">
        <w:rPr>
          <w:rFonts w:cs="Arial"/>
          <w:sz w:val="22"/>
          <w:szCs w:val="22"/>
        </w:rPr>
        <w:t xml:space="preserve"> </w:t>
      </w:r>
      <w:r w:rsidRPr="00890DD6">
        <w:rPr>
          <w:rFonts w:cs="Arial"/>
          <w:sz w:val="22"/>
          <w:szCs w:val="22"/>
        </w:rPr>
        <w:t>the Company ceases to control the subsidiary.</w:t>
      </w:r>
    </w:p>
    <w:p w14:paraId="5EA737DB" w14:textId="77777777" w:rsidR="004924BA" w:rsidRPr="00890DD6" w:rsidRDefault="004924BA" w:rsidP="002206F9">
      <w:pPr>
        <w:rPr>
          <w:rFonts w:cs="Arial"/>
          <w:sz w:val="22"/>
          <w:szCs w:val="22"/>
        </w:rPr>
      </w:pPr>
    </w:p>
    <w:p w14:paraId="5EA737DC" w14:textId="77777777" w:rsidR="004924BA" w:rsidRPr="00890DD6" w:rsidRDefault="004924BA" w:rsidP="002206F9">
      <w:pPr>
        <w:autoSpaceDE w:val="0"/>
        <w:autoSpaceDN w:val="0"/>
        <w:adjustRightInd w:val="0"/>
        <w:rPr>
          <w:rFonts w:cs="Arial"/>
          <w:sz w:val="22"/>
          <w:szCs w:val="22"/>
        </w:rPr>
      </w:pPr>
      <w:r w:rsidRPr="00890DD6">
        <w:rPr>
          <w:rFonts w:cs="Arial"/>
          <w:sz w:val="22"/>
          <w:szCs w:val="22"/>
        </w:rPr>
        <w:t>Profit or loss and each component of other comprehensive income are attributed to the owners of the</w:t>
      </w:r>
      <w:r w:rsidR="00890DD6">
        <w:rPr>
          <w:rFonts w:cs="Arial"/>
          <w:sz w:val="22"/>
          <w:szCs w:val="22"/>
        </w:rPr>
        <w:t xml:space="preserve"> </w:t>
      </w:r>
      <w:r w:rsidRPr="00890DD6">
        <w:rPr>
          <w:rFonts w:cs="Arial"/>
          <w:sz w:val="22"/>
          <w:szCs w:val="22"/>
        </w:rPr>
        <w:t>Company and to the non-controlling interests. Total comprehensive income of subsidiaries is</w:t>
      </w:r>
      <w:r w:rsidR="00890DD6">
        <w:rPr>
          <w:rFonts w:cs="Arial"/>
          <w:sz w:val="22"/>
          <w:szCs w:val="22"/>
        </w:rPr>
        <w:t xml:space="preserve"> </w:t>
      </w:r>
      <w:r w:rsidRPr="00890DD6">
        <w:rPr>
          <w:rFonts w:cs="Arial"/>
          <w:sz w:val="22"/>
          <w:szCs w:val="22"/>
        </w:rPr>
        <w:t>attributed to the owners of the Company and to the non-controlling interests even if this results in the</w:t>
      </w:r>
      <w:r w:rsidR="00890DD6">
        <w:rPr>
          <w:rFonts w:cs="Arial"/>
          <w:sz w:val="22"/>
          <w:szCs w:val="22"/>
        </w:rPr>
        <w:t xml:space="preserve"> </w:t>
      </w:r>
      <w:r w:rsidRPr="00890DD6">
        <w:rPr>
          <w:rFonts w:cs="Arial"/>
          <w:sz w:val="22"/>
          <w:szCs w:val="22"/>
        </w:rPr>
        <w:t>non-controlling interests having a deficit balance.</w:t>
      </w:r>
    </w:p>
    <w:p w14:paraId="5EA737DD" w14:textId="77777777" w:rsidR="008650FE" w:rsidRDefault="008650FE" w:rsidP="002206F9">
      <w:pPr>
        <w:autoSpaceDE w:val="0"/>
        <w:autoSpaceDN w:val="0"/>
        <w:adjustRightInd w:val="0"/>
        <w:rPr>
          <w:rFonts w:cs="Arial"/>
          <w:sz w:val="22"/>
          <w:szCs w:val="22"/>
        </w:rPr>
      </w:pPr>
    </w:p>
    <w:p w14:paraId="5EA737DE" w14:textId="77777777" w:rsidR="004924BA" w:rsidRPr="00890DD6" w:rsidRDefault="004924BA" w:rsidP="002206F9">
      <w:pPr>
        <w:autoSpaceDE w:val="0"/>
        <w:autoSpaceDN w:val="0"/>
        <w:adjustRightInd w:val="0"/>
        <w:rPr>
          <w:rFonts w:cs="Arial"/>
          <w:sz w:val="22"/>
          <w:szCs w:val="22"/>
        </w:rPr>
      </w:pPr>
      <w:r w:rsidRPr="00890DD6">
        <w:rPr>
          <w:rFonts w:cs="Arial"/>
          <w:sz w:val="22"/>
          <w:szCs w:val="22"/>
        </w:rPr>
        <w:t>When necessary, adjustments are made to the financial statements of subsidiaries to bring their</w:t>
      </w:r>
      <w:r w:rsidR="00890DD6">
        <w:rPr>
          <w:rFonts w:cs="Arial"/>
          <w:sz w:val="22"/>
          <w:szCs w:val="22"/>
        </w:rPr>
        <w:t xml:space="preserve"> </w:t>
      </w:r>
      <w:r w:rsidRPr="00890DD6">
        <w:rPr>
          <w:rFonts w:cs="Arial"/>
          <w:sz w:val="22"/>
          <w:szCs w:val="22"/>
        </w:rPr>
        <w:t>accounting policies into line with the Group's accounting policies.</w:t>
      </w:r>
    </w:p>
    <w:p w14:paraId="5EA737DF" w14:textId="77777777" w:rsidR="008650FE" w:rsidRDefault="008650FE" w:rsidP="002206F9">
      <w:pPr>
        <w:autoSpaceDE w:val="0"/>
        <w:autoSpaceDN w:val="0"/>
        <w:adjustRightInd w:val="0"/>
        <w:rPr>
          <w:rFonts w:cs="Arial"/>
          <w:sz w:val="22"/>
          <w:szCs w:val="22"/>
        </w:rPr>
      </w:pPr>
    </w:p>
    <w:p w14:paraId="5EA737E0" w14:textId="77777777" w:rsidR="008650FE" w:rsidRDefault="004924BA" w:rsidP="002206F9">
      <w:pPr>
        <w:autoSpaceDE w:val="0"/>
        <w:autoSpaceDN w:val="0"/>
        <w:adjustRightInd w:val="0"/>
        <w:rPr>
          <w:rFonts w:cs="Arial"/>
          <w:sz w:val="22"/>
          <w:szCs w:val="22"/>
        </w:rPr>
      </w:pPr>
      <w:r w:rsidRPr="00890DD6">
        <w:rPr>
          <w:rFonts w:cs="Arial"/>
          <w:sz w:val="22"/>
          <w:szCs w:val="22"/>
        </w:rPr>
        <w:t>All intragroup assets and liabilities, equity, income, expenses and cash flows relating to transactions</w:t>
      </w:r>
      <w:r w:rsidR="00890DD6">
        <w:rPr>
          <w:rFonts w:cs="Arial"/>
          <w:sz w:val="22"/>
          <w:szCs w:val="22"/>
        </w:rPr>
        <w:t xml:space="preserve"> </w:t>
      </w:r>
      <w:r w:rsidRPr="00890DD6">
        <w:rPr>
          <w:rFonts w:cs="Arial"/>
          <w:sz w:val="22"/>
          <w:szCs w:val="22"/>
        </w:rPr>
        <w:t>between members of the Group are eliminated in full on consolidation.</w:t>
      </w:r>
      <w:r w:rsidR="00890DD6">
        <w:rPr>
          <w:rFonts w:cs="Arial"/>
          <w:sz w:val="22"/>
          <w:szCs w:val="22"/>
        </w:rPr>
        <w:t xml:space="preserve"> </w:t>
      </w:r>
    </w:p>
    <w:p w14:paraId="5EA737E1" w14:textId="77777777" w:rsidR="008650FE" w:rsidRDefault="008650FE" w:rsidP="002206F9">
      <w:pPr>
        <w:autoSpaceDE w:val="0"/>
        <w:autoSpaceDN w:val="0"/>
        <w:adjustRightInd w:val="0"/>
        <w:rPr>
          <w:rFonts w:cs="Arial"/>
          <w:sz w:val="22"/>
          <w:szCs w:val="22"/>
        </w:rPr>
      </w:pPr>
    </w:p>
    <w:p w14:paraId="5EA737E2" w14:textId="77777777" w:rsidR="008650FE" w:rsidRPr="00FA7C6C" w:rsidRDefault="004924BA" w:rsidP="00FA7C6C">
      <w:pPr>
        <w:pStyle w:val="Heading3"/>
        <w:jc w:val="left"/>
        <w:rPr>
          <w:color w:val="auto"/>
          <w:sz w:val="22"/>
          <w:szCs w:val="22"/>
        </w:rPr>
      </w:pPr>
      <w:bookmarkStart w:id="156" w:name="_Toc430613039"/>
      <w:bookmarkStart w:id="157" w:name="_Toc430613345"/>
      <w:bookmarkStart w:id="158" w:name="_Toc430613716"/>
      <w:r w:rsidRPr="00FA7C6C">
        <w:rPr>
          <w:color w:val="auto"/>
          <w:sz w:val="22"/>
          <w:szCs w:val="22"/>
        </w:rPr>
        <w:t>3.3.1 Changes in the Group's ownership interests in existing subsidiaries</w:t>
      </w:r>
      <w:bookmarkEnd w:id="156"/>
      <w:bookmarkEnd w:id="157"/>
      <w:bookmarkEnd w:id="158"/>
      <w:r w:rsidR="00890DD6" w:rsidRPr="00FA7C6C">
        <w:rPr>
          <w:color w:val="auto"/>
          <w:sz w:val="22"/>
          <w:szCs w:val="22"/>
        </w:rPr>
        <w:t xml:space="preserve"> </w:t>
      </w:r>
    </w:p>
    <w:p w14:paraId="5EA737E3" w14:textId="77777777" w:rsidR="008650FE" w:rsidRDefault="008650FE" w:rsidP="002206F9">
      <w:pPr>
        <w:autoSpaceDE w:val="0"/>
        <w:autoSpaceDN w:val="0"/>
        <w:adjustRightInd w:val="0"/>
        <w:rPr>
          <w:rFonts w:cs="Arial"/>
          <w:sz w:val="22"/>
          <w:szCs w:val="22"/>
        </w:rPr>
      </w:pPr>
    </w:p>
    <w:p w14:paraId="5EA737E4" w14:textId="77777777" w:rsidR="004924BA" w:rsidRPr="00890DD6" w:rsidRDefault="004924BA" w:rsidP="002206F9">
      <w:pPr>
        <w:autoSpaceDE w:val="0"/>
        <w:autoSpaceDN w:val="0"/>
        <w:adjustRightInd w:val="0"/>
        <w:rPr>
          <w:rFonts w:cs="Arial"/>
          <w:sz w:val="22"/>
          <w:szCs w:val="22"/>
        </w:rPr>
      </w:pPr>
      <w:r w:rsidRPr="00890DD6">
        <w:rPr>
          <w:rFonts w:cs="Arial"/>
          <w:sz w:val="22"/>
          <w:szCs w:val="22"/>
        </w:rPr>
        <w:t>Changes in the Group's ownership interests in subsidiaries that do not result in the Group losing</w:t>
      </w:r>
      <w:r w:rsidR="00890DD6">
        <w:rPr>
          <w:rFonts w:cs="Arial"/>
          <w:sz w:val="22"/>
          <w:szCs w:val="22"/>
        </w:rPr>
        <w:t xml:space="preserve"> </w:t>
      </w:r>
      <w:r w:rsidRPr="00890DD6">
        <w:rPr>
          <w:rFonts w:cs="Arial"/>
          <w:sz w:val="22"/>
          <w:szCs w:val="22"/>
        </w:rPr>
        <w:t>control over the subsidiaries are accounted for as equity transactions. The carrying amounts of the</w:t>
      </w:r>
      <w:r w:rsidR="00890DD6">
        <w:rPr>
          <w:rFonts w:cs="Arial"/>
          <w:sz w:val="22"/>
          <w:szCs w:val="22"/>
        </w:rPr>
        <w:t xml:space="preserve"> </w:t>
      </w:r>
      <w:r w:rsidRPr="00890DD6">
        <w:rPr>
          <w:rFonts w:cs="Arial"/>
          <w:sz w:val="22"/>
          <w:szCs w:val="22"/>
        </w:rPr>
        <w:t>Group's interests and the non-controlling interests are adjusted to reflect the changes in their relative</w:t>
      </w:r>
      <w:r w:rsidR="008650FE">
        <w:rPr>
          <w:rFonts w:cs="Arial"/>
          <w:sz w:val="22"/>
          <w:szCs w:val="22"/>
        </w:rPr>
        <w:t xml:space="preserve"> </w:t>
      </w:r>
      <w:r w:rsidRPr="00890DD6">
        <w:rPr>
          <w:rFonts w:cs="Arial"/>
          <w:sz w:val="22"/>
          <w:szCs w:val="22"/>
        </w:rPr>
        <w:t>interests in the subsidiaries. Any difference between the amount by which the non-controlling</w:t>
      </w:r>
      <w:r w:rsidR="008650FE">
        <w:rPr>
          <w:rFonts w:cs="Arial"/>
          <w:sz w:val="22"/>
          <w:szCs w:val="22"/>
        </w:rPr>
        <w:t xml:space="preserve"> </w:t>
      </w:r>
      <w:r w:rsidRPr="00890DD6">
        <w:rPr>
          <w:rFonts w:cs="Arial"/>
          <w:sz w:val="22"/>
          <w:szCs w:val="22"/>
        </w:rPr>
        <w:t>interests are adjusted and the fair value of the consideration paid or received is recognised directly in</w:t>
      </w:r>
      <w:r w:rsidR="00890DD6">
        <w:rPr>
          <w:rFonts w:cs="Arial"/>
          <w:sz w:val="22"/>
          <w:szCs w:val="22"/>
        </w:rPr>
        <w:t xml:space="preserve"> </w:t>
      </w:r>
      <w:r w:rsidRPr="00890DD6">
        <w:rPr>
          <w:rFonts w:cs="Arial"/>
          <w:sz w:val="22"/>
          <w:szCs w:val="22"/>
        </w:rPr>
        <w:t>equity and attributed to owners of the Company.</w:t>
      </w:r>
    </w:p>
    <w:p w14:paraId="5EA737E5" w14:textId="77777777" w:rsidR="004924BA" w:rsidRPr="00890DD6" w:rsidRDefault="004924BA" w:rsidP="002206F9">
      <w:pPr>
        <w:autoSpaceDE w:val="0"/>
        <w:autoSpaceDN w:val="0"/>
        <w:adjustRightInd w:val="0"/>
        <w:rPr>
          <w:rFonts w:cs="Arial"/>
          <w:sz w:val="22"/>
          <w:szCs w:val="22"/>
        </w:rPr>
      </w:pPr>
      <w:r w:rsidRPr="00890DD6">
        <w:rPr>
          <w:rFonts w:cs="Arial"/>
          <w:sz w:val="22"/>
          <w:szCs w:val="22"/>
        </w:rPr>
        <w:lastRenderedPageBreak/>
        <w:t>When the Group loses control of a subsidiary, a gain or loss is recognised in profit or loss and is</w:t>
      </w:r>
      <w:r w:rsidR="00890DD6">
        <w:rPr>
          <w:rFonts w:cs="Arial"/>
          <w:sz w:val="22"/>
          <w:szCs w:val="22"/>
        </w:rPr>
        <w:t xml:space="preserve"> </w:t>
      </w:r>
      <w:r w:rsidRPr="00890DD6">
        <w:rPr>
          <w:rFonts w:cs="Arial"/>
          <w:sz w:val="22"/>
          <w:szCs w:val="22"/>
        </w:rPr>
        <w:t>calculated as the difference between (</w:t>
      </w:r>
      <w:proofErr w:type="spellStart"/>
      <w:r w:rsidRPr="00890DD6">
        <w:rPr>
          <w:rFonts w:cs="Arial"/>
          <w:sz w:val="22"/>
          <w:szCs w:val="22"/>
        </w:rPr>
        <w:t>i</w:t>
      </w:r>
      <w:proofErr w:type="spellEnd"/>
      <w:r w:rsidRPr="00890DD6">
        <w:rPr>
          <w:rFonts w:cs="Arial"/>
          <w:sz w:val="22"/>
          <w:szCs w:val="22"/>
        </w:rPr>
        <w:t>) the aggregate of the fair value of the consideration received</w:t>
      </w:r>
      <w:r w:rsidR="00890DD6">
        <w:rPr>
          <w:rFonts w:cs="Arial"/>
          <w:sz w:val="22"/>
          <w:szCs w:val="22"/>
        </w:rPr>
        <w:t xml:space="preserve"> </w:t>
      </w:r>
      <w:r w:rsidRPr="00890DD6">
        <w:rPr>
          <w:rFonts w:cs="Arial"/>
          <w:sz w:val="22"/>
          <w:szCs w:val="22"/>
        </w:rPr>
        <w:t>and the fair value of any retained interest and (ii) the previous carrying amount of the assets</w:t>
      </w:r>
      <w:r w:rsidR="00890DD6">
        <w:rPr>
          <w:rFonts w:cs="Arial"/>
          <w:sz w:val="22"/>
          <w:szCs w:val="22"/>
        </w:rPr>
        <w:t xml:space="preserve"> </w:t>
      </w:r>
      <w:r w:rsidRPr="00890DD6">
        <w:rPr>
          <w:rFonts w:cs="Arial"/>
          <w:sz w:val="22"/>
          <w:szCs w:val="22"/>
        </w:rPr>
        <w:t>(including goodwill), and liabilities of the subsidiary and any non-controlling interests. All amounts</w:t>
      </w:r>
      <w:r w:rsidR="00890DD6">
        <w:rPr>
          <w:rFonts w:cs="Arial"/>
          <w:sz w:val="22"/>
          <w:szCs w:val="22"/>
        </w:rPr>
        <w:t xml:space="preserve"> </w:t>
      </w:r>
      <w:r w:rsidRPr="00890DD6">
        <w:rPr>
          <w:rFonts w:cs="Arial"/>
          <w:sz w:val="22"/>
          <w:szCs w:val="22"/>
        </w:rPr>
        <w:t>previously recognised in other comprehensive income in relation to that subsidiary are accounted for</w:t>
      </w:r>
      <w:r w:rsidR="00890DD6">
        <w:rPr>
          <w:rFonts w:cs="Arial"/>
          <w:sz w:val="22"/>
          <w:szCs w:val="22"/>
        </w:rPr>
        <w:t xml:space="preserve"> </w:t>
      </w:r>
      <w:r w:rsidRPr="00890DD6">
        <w:rPr>
          <w:rFonts w:cs="Arial"/>
          <w:sz w:val="22"/>
          <w:szCs w:val="22"/>
        </w:rPr>
        <w:t>as if the Group had directly disposed of the related assets or liabilities of the subsidiary (i.e.</w:t>
      </w:r>
      <w:r w:rsidR="00890DD6">
        <w:rPr>
          <w:rFonts w:cs="Arial"/>
          <w:sz w:val="22"/>
          <w:szCs w:val="22"/>
        </w:rPr>
        <w:t xml:space="preserve"> </w:t>
      </w:r>
      <w:r w:rsidRPr="00890DD6">
        <w:rPr>
          <w:rFonts w:cs="Arial"/>
          <w:sz w:val="22"/>
          <w:szCs w:val="22"/>
        </w:rPr>
        <w:t>reclassified to profit or loss or transferred to another category of equity as specified/permitted by</w:t>
      </w:r>
      <w:r w:rsidR="008650FE">
        <w:rPr>
          <w:rFonts w:cs="Arial"/>
          <w:sz w:val="22"/>
          <w:szCs w:val="22"/>
        </w:rPr>
        <w:t xml:space="preserve"> </w:t>
      </w:r>
      <w:r w:rsidRPr="00890DD6">
        <w:rPr>
          <w:rFonts w:cs="Arial"/>
          <w:sz w:val="22"/>
          <w:szCs w:val="22"/>
        </w:rPr>
        <w:t>applicable AASBs). The fair value of any investment retained in the former subsidiary at the date</w:t>
      </w:r>
      <w:r w:rsidR="008650FE">
        <w:rPr>
          <w:rFonts w:cs="Arial"/>
          <w:sz w:val="22"/>
          <w:szCs w:val="22"/>
        </w:rPr>
        <w:t xml:space="preserve"> </w:t>
      </w:r>
      <w:r w:rsidRPr="00890DD6">
        <w:rPr>
          <w:rFonts w:cs="Arial"/>
          <w:sz w:val="22"/>
          <w:szCs w:val="22"/>
        </w:rPr>
        <w:t>when control is lost is regarded as the fair value on initial recognition for subsequent accounting</w:t>
      </w:r>
      <w:r w:rsidR="008650FE">
        <w:rPr>
          <w:rFonts w:cs="Arial"/>
          <w:sz w:val="22"/>
          <w:szCs w:val="22"/>
        </w:rPr>
        <w:t xml:space="preserve"> </w:t>
      </w:r>
      <w:r w:rsidRPr="00890DD6">
        <w:rPr>
          <w:rFonts w:cs="Arial"/>
          <w:sz w:val="22"/>
          <w:szCs w:val="22"/>
        </w:rPr>
        <w:t>under AASB 139, when applicable, the cost on initial recognition of an investment in an associate or a</w:t>
      </w:r>
      <w:r w:rsidR="008650FE">
        <w:rPr>
          <w:rFonts w:cs="Arial"/>
          <w:sz w:val="22"/>
          <w:szCs w:val="22"/>
        </w:rPr>
        <w:t xml:space="preserve"> </w:t>
      </w:r>
      <w:r w:rsidRPr="00890DD6">
        <w:rPr>
          <w:rFonts w:cs="Arial"/>
          <w:sz w:val="22"/>
          <w:szCs w:val="22"/>
        </w:rPr>
        <w:t>joint venture.</w:t>
      </w:r>
    </w:p>
    <w:p w14:paraId="5EA737E6" w14:textId="77777777" w:rsidR="004924BA" w:rsidRPr="007540D9" w:rsidRDefault="004924BA" w:rsidP="002206F9">
      <w:pPr>
        <w:rPr>
          <w:rFonts w:cs="Arial"/>
          <w:sz w:val="22"/>
          <w:szCs w:val="22"/>
        </w:rPr>
      </w:pPr>
    </w:p>
    <w:p w14:paraId="5EA737E7" w14:textId="77777777" w:rsidR="004800B5" w:rsidRPr="00FA7C6C" w:rsidRDefault="004800B5" w:rsidP="00FA7C6C">
      <w:pPr>
        <w:pStyle w:val="Heading2"/>
        <w:rPr>
          <w:sz w:val="22"/>
          <w:szCs w:val="22"/>
        </w:rPr>
      </w:pPr>
      <w:bookmarkStart w:id="159" w:name="_Toc430613040"/>
      <w:bookmarkStart w:id="160" w:name="_Toc430613346"/>
      <w:bookmarkStart w:id="161" w:name="_Toc430613717"/>
      <w:r w:rsidRPr="00FA7C6C">
        <w:rPr>
          <w:sz w:val="22"/>
          <w:szCs w:val="22"/>
        </w:rPr>
        <w:t>3.4 Business Combinations</w:t>
      </w:r>
      <w:bookmarkEnd w:id="159"/>
      <w:bookmarkEnd w:id="160"/>
      <w:bookmarkEnd w:id="161"/>
    </w:p>
    <w:p w14:paraId="5EA737E8" w14:textId="77777777" w:rsidR="004800B5" w:rsidRPr="00EE5A6D" w:rsidRDefault="004800B5" w:rsidP="002206F9">
      <w:pPr>
        <w:rPr>
          <w:rFonts w:cs="Arial"/>
          <w:b/>
          <w:sz w:val="18"/>
          <w:szCs w:val="22"/>
        </w:rPr>
      </w:pPr>
    </w:p>
    <w:p w14:paraId="5EA737E9" w14:textId="77777777" w:rsidR="00FF3359" w:rsidRPr="007540D9" w:rsidRDefault="00FF3359" w:rsidP="002206F9">
      <w:pPr>
        <w:rPr>
          <w:rFonts w:cs="Arial"/>
          <w:sz w:val="22"/>
          <w:szCs w:val="22"/>
        </w:rPr>
      </w:pPr>
      <w:r w:rsidRPr="007540D9">
        <w:rPr>
          <w:rFonts w:cs="Arial"/>
          <w:sz w:val="22"/>
          <w:szCs w:val="22"/>
        </w:rPr>
        <w:t xml:space="preserve">Acquisitions of businesses are accounted for using the acquisition method.  The consideration transferred in a business combination is measured at fair value which is calculated as the sum of the acquisition-date fair values of assets transferred by the Group, liabilities incurred by the Group to the former owners of the </w:t>
      </w:r>
      <w:proofErr w:type="spellStart"/>
      <w:r w:rsidRPr="007540D9">
        <w:rPr>
          <w:rFonts w:cs="Arial"/>
          <w:sz w:val="22"/>
          <w:szCs w:val="22"/>
        </w:rPr>
        <w:t>acquire</w:t>
      </w:r>
      <w:r w:rsidR="002F0100" w:rsidRPr="007540D9">
        <w:rPr>
          <w:rFonts w:cs="Arial"/>
          <w:sz w:val="22"/>
          <w:szCs w:val="22"/>
        </w:rPr>
        <w:t>e</w:t>
      </w:r>
      <w:proofErr w:type="spellEnd"/>
      <w:r w:rsidRPr="007540D9">
        <w:rPr>
          <w:rFonts w:cs="Arial"/>
          <w:sz w:val="22"/>
          <w:szCs w:val="22"/>
        </w:rPr>
        <w:t xml:space="preserve"> and the equity instruments issued by the Group in exchange for control of the </w:t>
      </w:r>
      <w:proofErr w:type="spellStart"/>
      <w:r w:rsidRPr="007540D9">
        <w:rPr>
          <w:rFonts w:cs="Arial"/>
          <w:sz w:val="22"/>
          <w:szCs w:val="22"/>
        </w:rPr>
        <w:t>acquire</w:t>
      </w:r>
      <w:r w:rsidR="002F0100" w:rsidRPr="007540D9">
        <w:rPr>
          <w:rFonts w:cs="Arial"/>
          <w:sz w:val="22"/>
          <w:szCs w:val="22"/>
        </w:rPr>
        <w:t>e</w:t>
      </w:r>
      <w:proofErr w:type="spellEnd"/>
      <w:r w:rsidRPr="007540D9">
        <w:rPr>
          <w:rFonts w:cs="Arial"/>
          <w:sz w:val="22"/>
          <w:szCs w:val="22"/>
        </w:rPr>
        <w:t>.  Acquisition costs are recognised in profit or loss as incurred.</w:t>
      </w:r>
    </w:p>
    <w:p w14:paraId="5EA737EA" w14:textId="77777777" w:rsidR="00FF3359" w:rsidRPr="00EE5A6D" w:rsidRDefault="00FF3359" w:rsidP="002206F9">
      <w:pPr>
        <w:rPr>
          <w:rFonts w:cs="Arial"/>
          <w:sz w:val="16"/>
          <w:szCs w:val="22"/>
          <w:highlight w:val="yellow"/>
        </w:rPr>
      </w:pPr>
    </w:p>
    <w:p w14:paraId="5EA737EB" w14:textId="77777777" w:rsidR="00FF3359" w:rsidRPr="007540D9" w:rsidRDefault="00FF3359" w:rsidP="002206F9">
      <w:pPr>
        <w:rPr>
          <w:rFonts w:cs="Arial"/>
          <w:sz w:val="22"/>
          <w:szCs w:val="22"/>
        </w:rPr>
      </w:pPr>
      <w:r w:rsidRPr="007540D9">
        <w:rPr>
          <w:rFonts w:cs="Arial"/>
          <w:sz w:val="22"/>
          <w:szCs w:val="22"/>
        </w:rPr>
        <w:t xml:space="preserve">Non-controlling interests that are present ownership interests and entitle their holders to a proportionate share of the entity’s net assets in the event of </w:t>
      </w:r>
      <w:r w:rsidR="00506501" w:rsidRPr="007540D9">
        <w:rPr>
          <w:rFonts w:cs="Arial"/>
          <w:sz w:val="22"/>
          <w:szCs w:val="22"/>
        </w:rPr>
        <w:t>liquidation</w:t>
      </w:r>
      <w:r w:rsidRPr="007540D9">
        <w:rPr>
          <w:rFonts w:cs="Arial"/>
          <w:sz w:val="22"/>
          <w:szCs w:val="22"/>
        </w:rPr>
        <w:t xml:space="preserve"> may be initially measured either at fair value or at the non-controlling interests’ proportionate share of the recognised amounts of the </w:t>
      </w:r>
      <w:proofErr w:type="spellStart"/>
      <w:r w:rsidRPr="007540D9">
        <w:rPr>
          <w:rFonts w:cs="Arial"/>
          <w:sz w:val="22"/>
          <w:szCs w:val="22"/>
        </w:rPr>
        <w:t>acquiree’s</w:t>
      </w:r>
      <w:proofErr w:type="spellEnd"/>
      <w:r w:rsidRPr="007540D9">
        <w:rPr>
          <w:rFonts w:cs="Arial"/>
          <w:sz w:val="22"/>
          <w:szCs w:val="22"/>
        </w:rPr>
        <w:t xml:space="preserve"> identifiable net assets.  The choice of measurement basis is made on a transaction-by-transaction basis.  Other types of non-controlling interests are measured at fair value or, when applicable, on the basis specified in another Standard.</w:t>
      </w:r>
    </w:p>
    <w:p w14:paraId="5EA737EC" w14:textId="77777777" w:rsidR="00F10ACD" w:rsidRDefault="00F10ACD" w:rsidP="002206F9">
      <w:pPr>
        <w:rPr>
          <w:rFonts w:cs="Arial"/>
          <w:b/>
          <w:sz w:val="22"/>
          <w:szCs w:val="22"/>
        </w:rPr>
      </w:pPr>
    </w:p>
    <w:p w14:paraId="5EA737ED" w14:textId="77777777" w:rsidR="004800B5" w:rsidRPr="00FA7C6C" w:rsidRDefault="004800B5" w:rsidP="00FA7C6C">
      <w:pPr>
        <w:pStyle w:val="Heading2"/>
        <w:rPr>
          <w:sz w:val="22"/>
          <w:szCs w:val="22"/>
        </w:rPr>
      </w:pPr>
      <w:bookmarkStart w:id="162" w:name="_Toc430613041"/>
      <w:bookmarkStart w:id="163" w:name="_Toc430613347"/>
      <w:bookmarkStart w:id="164" w:name="_Toc430613718"/>
      <w:r w:rsidRPr="00FA7C6C">
        <w:rPr>
          <w:sz w:val="22"/>
          <w:szCs w:val="22"/>
        </w:rPr>
        <w:t>3.</w:t>
      </w:r>
      <w:r w:rsidR="007D5FF9" w:rsidRPr="00FA7C6C">
        <w:rPr>
          <w:sz w:val="22"/>
          <w:szCs w:val="22"/>
        </w:rPr>
        <w:t>5</w:t>
      </w:r>
      <w:r w:rsidRPr="00FA7C6C">
        <w:rPr>
          <w:sz w:val="22"/>
          <w:szCs w:val="22"/>
        </w:rPr>
        <w:t xml:space="preserve"> Cash and cash equivalents</w:t>
      </w:r>
      <w:bookmarkEnd w:id="162"/>
      <w:bookmarkEnd w:id="163"/>
      <w:bookmarkEnd w:id="164"/>
    </w:p>
    <w:p w14:paraId="5EA737EE" w14:textId="77777777" w:rsidR="004800B5" w:rsidRPr="007540D9" w:rsidRDefault="004800B5" w:rsidP="002206F9">
      <w:pPr>
        <w:rPr>
          <w:rFonts w:cs="Arial"/>
          <w:sz w:val="22"/>
          <w:szCs w:val="22"/>
        </w:rPr>
      </w:pPr>
    </w:p>
    <w:p w14:paraId="5EA737EF" w14:textId="77777777" w:rsidR="00FF3359" w:rsidRPr="007540D9" w:rsidRDefault="00FF3359" w:rsidP="002206F9">
      <w:pPr>
        <w:rPr>
          <w:rFonts w:cs="Arial"/>
          <w:sz w:val="22"/>
          <w:szCs w:val="22"/>
        </w:rPr>
      </w:pPr>
      <w:r w:rsidRPr="007540D9">
        <w:rPr>
          <w:rFonts w:cs="Arial"/>
          <w:sz w:val="22"/>
          <w:szCs w:val="22"/>
        </w:rPr>
        <w:t>Cash comprises cash on hand and demand deposits.  Cash equivalents are short-term, highly liquid investments that are readily convertible to</w:t>
      </w:r>
      <w:r w:rsidR="002F0100" w:rsidRPr="007540D9">
        <w:rPr>
          <w:rFonts w:cs="Arial"/>
          <w:sz w:val="22"/>
          <w:szCs w:val="22"/>
        </w:rPr>
        <w:t xml:space="preserve"> a</w:t>
      </w:r>
      <w:r w:rsidRPr="007540D9">
        <w:rPr>
          <w:rFonts w:cs="Arial"/>
          <w:sz w:val="22"/>
          <w:szCs w:val="22"/>
        </w:rPr>
        <w:t xml:space="preserve"> known amount of cash and which are subject to an insignificant risk of changes in value. </w:t>
      </w:r>
    </w:p>
    <w:p w14:paraId="5EA737F0" w14:textId="77777777" w:rsidR="000C00AD" w:rsidRDefault="000C00AD" w:rsidP="002206F9">
      <w:pPr>
        <w:rPr>
          <w:rFonts w:cs="Arial"/>
          <w:b/>
          <w:sz w:val="22"/>
          <w:szCs w:val="22"/>
        </w:rPr>
      </w:pPr>
    </w:p>
    <w:p w14:paraId="5EA737F1" w14:textId="77777777" w:rsidR="004800B5" w:rsidRPr="00FA7C6C" w:rsidRDefault="004800B5" w:rsidP="00FA7C6C">
      <w:pPr>
        <w:pStyle w:val="Heading2"/>
        <w:rPr>
          <w:sz w:val="22"/>
          <w:szCs w:val="22"/>
        </w:rPr>
      </w:pPr>
      <w:bookmarkStart w:id="165" w:name="_Toc430613042"/>
      <w:bookmarkStart w:id="166" w:name="_Toc430613348"/>
      <w:bookmarkStart w:id="167" w:name="_Toc430613719"/>
      <w:r w:rsidRPr="00FA7C6C">
        <w:rPr>
          <w:sz w:val="22"/>
          <w:szCs w:val="22"/>
        </w:rPr>
        <w:t>3.</w:t>
      </w:r>
      <w:r w:rsidR="007D5FF9" w:rsidRPr="00FA7C6C">
        <w:rPr>
          <w:sz w:val="22"/>
          <w:szCs w:val="22"/>
        </w:rPr>
        <w:t>6</w:t>
      </w:r>
      <w:r w:rsidRPr="00FA7C6C">
        <w:rPr>
          <w:sz w:val="22"/>
          <w:szCs w:val="22"/>
        </w:rPr>
        <w:t xml:space="preserve"> Employee benefits</w:t>
      </w:r>
      <w:bookmarkEnd w:id="165"/>
      <w:bookmarkEnd w:id="166"/>
      <w:bookmarkEnd w:id="167"/>
    </w:p>
    <w:p w14:paraId="5EA737F2" w14:textId="77777777" w:rsidR="004800B5" w:rsidRPr="007540D9" w:rsidRDefault="004800B5" w:rsidP="002206F9">
      <w:pPr>
        <w:rPr>
          <w:rFonts w:cs="Arial"/>
          <w:sz w:val="22"/>
          <w:szCs w:val="22"/>
        </w:rPr>
      </w:pPr>
    </w:p>
    <w:p w14:paraId="5EA737F3" w14:textId="77777777" w:rsidR="004800B5" w:rsidRPr="007540D9" w:rsidRDefault="004800B5" w:rsidP="002206F9">
      <w:pPr>
        <w:rPr>
          <w:rFonts w:cs="Arial"/>
          <w:sz w:val="22"/>
          <w:szCs w:val="22"/>
        </w:rPr>
      </w:pPr>
      <w:r w:rsidRPr="007540D9">
        <w:rPr>
          <w:rFonts w:cs="Arial"/>
          <w:sz w:val="22"/>
          <w:szCs w:val="22"/>
        </w:rPr>
        <w:t>A liability is recognised for benefits accruing to employees in respect of wages and salaries, annual leave and long service leave when it is probable that settlement will be required and they are capable of being measured reliably.</w:t>
      </w:r>
    </w:p>
    <w:p w14:paraId="5EA737F4" w14:textId="77777777" w:rsidR="004800B5" w:rsidRPr="007540D9" w:rsidRDefault="004800B5" w:rsidP="002206F9">
      <w:pPr>
        <w:ind w:left="748"/>
        <w:rPr>
          <w:rFonts w:cs="Arial"/>
          <w:sz w:val="22"/>
          <w:szCs w:val="22"/>
        </w:rPr>
      </w:pPr>
    </w:p>
    <w:p w14:paraId="5EA737F5" w14:textId="77777777" w:rsidR="004800B5" w:rsidRPr="007540D9" w:rsidRDefault="004800B5" w:rsidP="002206F9">
      <w:pPr>
        <w:rPr>
          <w:rFonts w:cs="Arial"/>
          <w:sz w:val="22"/>
          <w:szCs w:val="22"/>
        </w:rPr>
      </w:pPr>
      <w:r w:rsidRPr="007540D9">
        <w:rPr>
          <w:rFonts w:cs="Arial"/>
          <w:sz w:val="22"/>
          <w:szCs w:val="22"/>
        </w:rPr>
        <w:t xml:space="preserve">Liabilities recognised in respect of </w:t>
      </w:r>
      <w:r w:rsidR="00146F80" w:rsidRPr="007540D9">
        <w:rPr>
          <w:rFonts w:cs="Arial"/>
          <w:sz w:val="22"/>
          <w:szCs w:val="22"/>
        </w:rPr>
        <w:t xml:space="preserve">short term </w:t>
      </w:r>
      <w:r w:rsidRPr="007540D9">
        <w:rPr>
          <w:rFonts w:cs="Arial"/>
          <w:sz w:val="22"/>
          <w:szCs w:val="22"/>
        </w:rPr>
        <w:t>employee benefits, are measured at their nominal values using the remuneration rate expected to apply at the time of settlement.</w:t>
      </w:r>
    </w:p>
    <w:p w14:paraId="5EA737F6" w14:textId="77777777" w:rsidR="009E34D2" w:rsidRDefault="009E34D2" w:rsidP="002206F9">
      <w:pPr>
        <w:rPr>
          <w:rFonts w:cs="Arial"/>
          <w:sz w:val="22"/>
          <w:szCs w:val="22"/>
        </w:rPr>
      </w:pPr>
    </w:p>
    <w:p w14:paraId="5EA737F7" w14:textId="77777777" w:rsidR="004800B5" w:rsidRPr="007540D9" w:rsidRDefault="004800B5" w:rsidP="002206F9">
      <w:pPr>
        <w:rPr>
          <w:rFonts w:cs="Arial"/>
          <w:sz w:val="22"/>
          <w:szCs w:val="22"/>
        </w:rPr>
      </w:pPr>
      <w:r w:rsidRPr="007540D9">
        <w:rPr>
          <w:rFonts w:cs="Arial"/>
          <w:sz w:val="22"/>
          <w:szCs w:val="22"/>
        </w:rPr>
        <w:t xml:space="preserve">Liabilities recognised in respect of </w:t>
      </w:r>
      <w:r w:rsidR="00146F80" w:rsidRPr="007540D9">
        <w:rPr>
          <w:rFonts w:cs="Arial"/>
          <w:sz w:val="22"/>
          <w:szCs w:val="22"/>
        </w:rPr>
        <w:t xml:space="preserve">long term </w:t>
      </w:r>
      <w:r w:rsidRPr="007540D9">
        <w:rPr>
          <w:rFonts w:cs="Arial"/>
          <w:sz w:val="22"/>
          <w:szCs w:val="22"/>
        </w:rPr>
        <w:t>employee benefits</w:t>
      </w:r>
      <w:r w:rsidR="00146F80" w:rsidRPr="007540D9">
        <w:rPr>
          <w:rFonts w:cs="Arial"/>
          <w:sz w:val="22"/>
          <w:szCs w:val="22"/>
        </w:rPr>
        <w:t xml:space="preserve"> </w:t>
      </w:r>
      <w:r w:rsidRPr="007540D9">
        <w:rPr>
          <w:rFonts w:cs="Arial"/>
          <w:sz w:val="22"/>
          <w:szCs w:val="22"/>
        </w:rPr>
        <w:t xml:space="preserve">are measured as the present value of the estimated future cash outflows to be made by the </w:t>
      </w:r>
      <w:r w:rsidR="00146F80" w:rsidRPr="007540D9">
        <w:rPr>
          <w:rFonts w:cs="Arial"/>
          <w:sz w:val="22"/>
          <w:szCs w:val="22"/>
        </w:rPr>
        <w:t>Group</w:t>
      </w:r>
      <w:r w:rsidRPr="007540D9">
        <w:rPr>
          <w:rFonts w:cs="Arial"/>
          <w:sz w:val="22"/>
          <w:szCs w:val="22"/>
        </w:rPr>
        <w:t xml:space="preserve"> in respect of services provided by employees up to reporting date.</w:t>
      </w:r>
    </w:p>
    <w:p w14:paraId="5EA737F8" w14:textId="77777777" w:rsidR="004800B5" w:rsidRPr="007540D9" w:rsidRDefault="004800B5" w:rsidP="002206F9">
      <w:pPr>
        <w:ind w:left="748"/>
        <w:rPr>
          <w:rFonts w:cs="Arial"/>
          <w:sz w:val="22"/>
          <w:szCs w:val="22"/>
          <w:highlight w:val="yellow"/>
          <w:u w:val="single"/>
        </w:rPr>
      </w:pPr>
    </w:p>
    <w:p w14:paraId="5EA737F9" w14:textId="77777777" w:rsidR="004800B5" w:rsidRPr="00FA7C6C" w:rsidRDefault="004800B5" w:rsidP="00FA7C6C">
      <w:pPr>
        <w:pStyle w:val="Heading3"/>
        <w:jc w:val="left"/>
        <w:rPr>
          <w:color w:val="auto"/>
          <w:sz w:val="22"/>
          <w:szCs w:val="22"/>
        </w:rPr>
      </w:pPr>
      <w:bookmarkStart w:id="168" w:name="_Toc430613043"/>
      <w:bookmarkStart w:id="169" w:name="_Toc430613349"/>
      <w:bookmarkStart w:id="170" w:name="_Toc430613720"/>
      <w:r w:rsidRPr="00FA7C6C">
        <w:rPr>
          <w:color w:val="auto"/>
          <w:sz w:val="22"/>
          <w:szCs w:val="22"/>
        </w:rPr>
        <w:t>3.</w:t>
      </w:r>
      <w:r w:rsidR="007D5FF9" w:rsidRPr="00FA7C6C">
        <w:rPr>
          <w:color w:val="auto"/>
          <w:sz w:val="22"/>
          <w:szCs w:val="22"/>
        </w:rPr>
        <w:t>6</w:t>
      </w:r>
      <w:r w:rsidRPr="00FA7C6C">
        <w:rPr>
          <w:color w:val="auto"/>
          <w:sz w:val="22"/>
          <w:szCs w:val="22"/>
        </w:rPr>
        <w:t>.1 Defined contribution plans</w:t>
      </w:r>
      <w:bookmarkEnd w:id="168"/>
      <w:bookmarkEnd w:id="169"/>
      <w:bookmarkEnd w:id="170"/>
    </w:p>
    <w:p w14:paraId="5EA737FA" w14:textId="77777777" w:rsidR="004800B5" w:rsidRPr="007540D9" w:rsidRDefault="004800B5" w:rsidP="002206F9">
      <w:pPr>
        <w:rPr>
          <w:rFonts w:cs="Arial"/>
          <w:sz w:val="22"/>
          <w:szCs w:val="22"/>
          <w:u w:val="single"/>
        </w:rPr>
      </w:pPr>
    </w:p>
    <w:p w14:paraId="5EA737FB" w14:textId="77777777" w:rsidR="00146F80" w:rsidRPr="007540D9" w:rsidRDefault="00146F80" w:rsidP="002206F9">
      <w:pPr>
        <w:rPr>
          <w:rFonts w:cs="Arial"/>
          <w:sz w:val="22"/>
          <w:szCs w:val="22"/>
        </w:rPr>
      </w:pPr>
      <w:r w:rsidRPr="007540D9">
        <w:rPr>
          <w:rFonts w:cs="Arial"/>
          <w:sz w:val="22"/>
          <w:szCs w:val="22"/>
        </w:rPr>
        <w:t>Payments to defined contribution retirement benefit plans are recognised as an expense when employees have rendered service entitling them to the contributions.</w:t>
      </w:r>
    </w:p>
    <w:p w14:paraId="5EA737FC" w14:textId="77777777" w:rsidR="004800B5" w:rsidRPr="007540D9" w:rsidRDefault="004800B5" w:rsidP="00BC61D4">
      <w:pPr>
        <w:jc w:val="both"/>
        <w:rPr>
          <w:rFonts w:cs="Arial"/>
          <w:b/>
          <w:sz w:val="22"/>
          <w:szCs w:val="22"/>
          <w:highlight w:val="yellow"/>
        </w:rPr>
      </w:pPr>
    </w:p>
    <w:p w14:paraId="5EA737FD" w14:textId="77777777" w:rsidR="004800B5" w:rsidRPr="00FA7C6C" w:rsidRDefault="001341CF" w:rsidP="00FA7C6C">
      <w:pPr>
        <w:pStyle w:val="Heading3"/>
        <w:jc w:val="left"/>
        <w:rPr>
          <w:color w:val="auto"/>
          <w:sz w:val="22"/>
          <w:szCs w:val="22"/>
        </w:rPr>
      </w:pPr>
      <w:r>
        <w:br w:type="page"/>
      </w:r>
      <w:bookmarkStart w:id="171" w:name="_Toc430613044"/>
      <w:bookmarkStart w:id="172" w:name="_Toc430613350"/>
      <w:bookmarkStart w:id="173" w:name="_Toc430613721"/>
      <w:r w:rsidR="004800B5" w:rsidRPr="00FA7C6C">
        <w:rPr>
          <w:color w:val="auto"/>
          <w:sz w:val="22"/>
          <w:szCs w:val="22"/>
        </w:rPr>
        <w:lastRenderedPageBreak/>
        <w:t>3.</w:t>
      </w:r>
      <w:r w:rsidR="007D5FF9" w:rsidRPr="00FA7C6C">
        <w:rPr>
          <w:color w:val="auto"/>
          <w:sz w:val="22"/>
          <w:szCs w:val="22"/>
        </w:rPr>
        <w:t>6</w:t>
      </w:r>
      <w:r w:rsidR="004800B5" w:rsidRPr="00FA7C6C">
        <w:rPr>
          <w:color w:val="auto"/>
          <w:sz w:val="22"/>
          <w:szCs w:val="22"/>
        </w:rPr>
        <w:t>.2 Defined benefit plans</w:t>
      </w:r>
      <w:bookmarkEnd w:id="171"/>
      <w:bookmarkEnd w:id="172"/>
      <w:bookmarkEnd w:id="173"/>
    </w:p>
    <w:p w14:paraId="5EA737FE" w14:textId="77777777" w:rsidR="004800B5" w:rsidRPr="007540D9" w:rsidRDefault="004800B5" w:rsidP="002206F9">
      <w:pPr>
        <w:rPr>
          <w:rFonts w:cs="Arial"/>
          <w:sz w:val="22"/>
          <w:szCs w:val="22"/>
          <w:u w:val="single"/>
        </w:rPr>
      </w:pPr>
    </w:p>
    <w:p w14:paraId="5EA737FF" w14:textId="77777777" w:rsidR="004800B5" w:rsidRDefault="004800B5" w:rsidP="002206F9">
      <w:pPr>
        <w:rPr>
          <w:rFonts w:cs="Arial"/>
          <w:sz w:val="22"/>
          <w:szCs w:val="22"/>
          <w:lang w:eastAsia="en-AU"/>
        </w:rPr>
      </w:pPr>
      <w:r w:rsidRPr="007540D9">
        <w:rPr>
          <w:rFonts w:cs="Arial"/>
          <w:sz w:val="22"/>
          <w:szCs w:val="22"/>
          <w:lang w:eastAsia="en-AU"/>
        </w:rPr>
        <w:t xml:space="preserve">As the </w:t>
      </w:r>
      <w:r w:rsidR="001F776D">
        <w:rPr>
          <w:rFonts w:cs="Arial"/>
          <w:sz w:val="22"/>
          <w:szCs w:val="22"/>
          <w:lang w:eastAsia="en-AU"/>
        </w:rPr>
        <w:t>d</w:t>
      </w:r>
      <w:r w:rsidRPr="007540D9">
        <w:rPr>
          <w:rFonts w:cs="Arial"/>
          <w:sz w:val="22"/>
          <w:szCs w:val="22"/>
          <w:lang w:eastAsia="en-AU"/>
        </w:rPr>
        <w:t xml:space="preserve">efined benefit plan is a multi-employer plan, the </w:t>
      </w:r>
      <w:r w:rsidR="001F776D">
        <w:rPr>
          <w:rFonts w:cs="Arial"/>
          <w:sz w:val="22"/>
          <w:szCs w:val="22"/>
          <w:lang w:eastAsia="en-AU"/>
        </w:rPr>
        <w:t>d</w:t>
      </w:r>
      <w:r w:rsidRPr="007540D9">
        <w:rPr>
          <w:rFonts w:cs="Arial"/>
          <w:sz w:val="22"/>
          <w:szCs w:val="22"/>
          <w:lang w:eastAsia="en-AU"/>
        </w:rPr>
        <w:t xml:space="preserve">efined benefit plan is accounted for as if it were a </w:t>
      </w:r>
      <w:r w:rsidR="001F776D">
        <w:rPr>
          <w:rFonts w:cs="Arial"/>
          <w:sz w:val="22"/>
          <w:szCs w:val="22"/>
          <w:lang w:eastAsia="en-AU"/>
        </w:rPr>
        <w:t>d</w:t>
      </w:r>
      <w:r w:rsidRPr="007540D9">
        <w:rPr>
          <w:rFonts w:cs="Arial"/>
          <w:sz w:val="22"/>
          <w:szCs w:val="22"/>
          <w:lang w:eastAsia="en-AU"/>
        </w:rPr>
        <w:t>efined contribution plan.</w:t>
      </w:r>
    </w:p>
    <w:p w14:paraId="5EA73800" w14:textId="77777777" w:rsidR="00E246E7" w:rsidRDefault="00E246E7" w:rsidP="002206F9">
      <w:pPr>
        <w:rPr>
          <w:rFonts w:cs="Arial"/>
          <w:sz w:val="22"/>
          <w:szCs w:val="22"/>
          <w:lang w:eastAsia="en-AU"/>
        </w:rPr>
      </w:pPr>
    </w:p>
    <w:p w14:paraId="5EA73801" w14:textId="77777777" w:rsidR="00E246E7" w:rsidRPr="00FA7C6C" w:rsidRDefault="00E246E7" w:rsidP="00FA7C6C">
      <w:pPr>
        <w:pStyle w:val="Heading3"/>
        <w:jc w:val="left"/>
        <w:rPr>
          <w:color w:val="auto"/>
          <w:sz w:val="22"/>
          <w:szCs w:val="22"/>
        </w:rPr>
      </w:pPr>
      <w:bookmarkStart w:id="174" w:name="_Toc430613045"/>
      <w:bookmarkStart w:id="175" w:name="_Toc430613351"/>
      <w:bookmarkStart w:id="176" w:name="_Toc430613722"/>
      <w:r w:rsidRPr="00FA7C6C">
        <w:rPr>
          <w:color w:val="auto"/>
          <w:sz w:val="22"/>
          <w:szCs w:val="22"/>
        </w:rPr>
        <w:t>3.6.3 Termination benefit</w:t>
      </w:r>
      <w:bookmarkEnd w:id="174"/>
      <w:bookmarkEnd w:id="175"/>
      <w:bookmarkEnd w:id="176"/>
    </w:p>
    <w:p w14:paraId="5EA73802" w14:textId="77777777" w:rsidR="00E246E7" w:rsidRDefault="00E246E7" w:rsidP="002206F9">
      <w:pPr>
        <w:autoSpaceDE w:val="0"/>
        <w:autoSpaceDN w:val="0"/>
        <w:adjustRightInd w:val="0"/>
        <w:rPr>
          <w:rFonts w:ascii="ArialMT" w:hAnsi="ArialMT" w:cs="ArialMT"/>
          <w:sz w:val="18"/>
          <w:szCs w:val="18"/>
          <w:lang w:eastAsia="en-AU"/>
        </w:rPr>
      </w:pPr>
    </w:p>
    <w:p w14:paraId="5EA73803" w14:textId="77777777" w:rsidR="00E246E7" w:rsidRDefault="00E246E7" w:rsidP="002206F9">
      <w:pPr>
        <w:rPr>
          <w:rFonts w:cs="Arial"/>
          <w:sz w:val="22"/>
          <w:szCs w:val="22"/>
          <w:lang w:eastAsia="en-AU"/>
        </w:rPr>
      </w:pPr>
      <w:r w:rsidRPr="00E246E7">
        <w:rPr>
          <w:rFonts w:cs="Arial"/>
          <w:sz w:val="22"/>
          <w:szCs w:val="22"/>
          <w:lang w:eastAsia="en-AU"/>
        </w:rPr>
        <w:t>A liability for a termination benefit is recognised at the earlier of when the entity can no longer</w:t>
      </w:r>
      <w:r>
        <w:rPr>
          <w:rFonts w:cs="Arial"/>
          <w:sz w:val="22"/>
          <w:szCs w:val="22"/>
          <w:lang w:eastAsia="en-AU"/>
        </w:rPr>
        <w:t xml:space="preserve"> </w:t>
      </w:r>
      <w:r w:rsidRPr="00E246E7">
        <w:rPr>
          <w:rFonts w:cs="Arial"/>
          <w:sz w:val="22"/>
          <w:szCs w:val="22"/>
          <w:lang w:eastAsia="en-AU"/>
        </w:rPr>
        <w:t>withdraw the offer of the termination benefit and when the entity recognises any related restructuring</w:t>
      </w:r>
      <w:r>
        <w:rPr>
          <w:rFonts w:cs="Arial"/>
          <w:sz w:val="22"/>
          <w:szCs w:val="22"/>
          <w:lang w:eastAsia="en-AU"/>
        </w:rPr>
        <w:t xml:space="preserve"> </w:t>
      </w:r>
      <w:r w:rsidRPr="00E246E7">
        <w:rPr>
          <w:rFonts w:cs="Arial"/>
          <w:sz w:val="22"/>
          <w:szCs w:val="22"/>
          <w:lang w:eastAsia="en-AU"/>
        </w:rPr>
        <w:t>costs.</w:t>
      </w:r>
    </w:p>
    <w:p w14:paraId="5EA73804" w14:textId="77777777" w:rsidR="00E246E7" w:rsidRPr="007540D9" w:rsidRDefault="00E246E7" w:rsidP="002206F9">
      <w:pPr>
        <w:rPr>
          <w:rFonts w:cs="Arial"/>
          <w:sz w:val="22"/>
          <w:szCs w:val="22"/>
          <w:lang w:eastAsia="en-AU"/>
        </w:rPr>
      </w:pPr>
    </w:p>
    <w:p w14:paraId="5EA73805" w14:textId="77777777" w:rsidR="004800B5" w:rsidRPr="00FA7C6C" w:rsidRDefault="004800B5" w:rsidP="00FA7C6C">
      <w:pPr>
        <w:pStyle w:val="Heading2"/>
        <w:rPr>
          <w:sz w:val="22"/>
          <w:szCs w:val="22"/>
        </w:rPr>
      </w:pPr>
      <w:bookmarkStart w:id="177" w:name="_Toc430613046"/>
      <w:bookmarkStart w:id="178" w:name="_Toc430613352"/>
      <w:bookmarkStart w:id="179" w:name="_Toc430613723"/>
      <w:r w:rsidRPr="00FA7C6C">
        <w:rPr>
          <w:sz w:val="22"/>
          <w:szCs w:val="22"/>
        </w:rPr>
        <w:t>3.</w:t>
      </w:r>
      <w:r w:rsidR="007D5FF9" w:rsidRPr="00FA7C6C">
        <w:rPr>
          <w:sz w:val="22"/>
          <w:szCs w:val="22"/>
        </w:rPr>
        <w:t>7</w:t>
      </w:r>
      <w:r w:rsidRPr="00FA7C6C">
        <w:rPr>
          <w:sz w:val="22"/>
          <w:szCs w:val="22"/>
        </w:rPr>
        <w:t xml:space="preserve"> Financial assets</w:t>
      </w:r>
      <w:bookmarkEnd w:id="177"/>
      <w:bookmarkEnd w:id="178"/>
      <w:bookmarkEnd w:id="179"/>
    </w:p>
    <w:p w14:paraId="5EA73806" w14:textId="77777777" w:rsidR="004800B5" w:rsidRPr="007540D9" w:rsidRDefault="004800B5" w:rsidP="002206F9">
      <w:pPr>
        <w:rPr>
          <w:rFonts w:cs="Arial"/>
          <w:sz w:val="22"/>
          <w:szCs w:val="22"/>
        </w:rPr>
      </w:pPr>
    </w:p>
    <w:p w14:paraId="5EA73807" w14:textId="77777777" w:rsidR="004800B5" w:rsidRPr="007540D9" w:rsidRDefault="004800B5" w:rsidP="002206F9">
      <w:pPr>
        <w:rPr>
          <w:rFonts w:cs="Arial"/>
          <w:sz w:val="22"/>
          <w:szCs w:val="22"/>
        </w:rPr>
      </w:pPr>
      <w:r w:rsidRPr="007540D9">
        <w:rPr>
          <w:rFonts w:cs="Arial"/>
          <w:sz w:val="22"/>
          <w:szCs w:val="22"/>
        </w:rPr>
        <w:t>All financial assets are recognised and derecognised on trade date where purchase or sale of a financial asset is under a contract whose terms require delivery of the financial asset within the timeframe established by the market concerned, and are initially measured at fair value, net of transaction costs.</w:t>
      </w:r>
    </w:p>
    <w:p w14:paraId="5EA73808" w14:textId="77777777" w:rsidR="004800B5" w:rsidRPr="007540D9" w:rsidRDefault="004800B5" w:rsidP="002206F9">
      <w:pPr>
        <w:rPr>
          <w:rFonts w:cs="Arial"/>
          <w:sz w:val="22"/>
          <w:szCs w:val="22"/>
        </w:rPr>
      </w:pPr>
    </w:p>
    <w:p w14:paraId="5EA73809" w14:textId="77777777" w:rsidR="004800B5" w:rsidRPr="007540D9" w:rsidRDefault="004800B5" w:rsidP="002206F9">
      <w:pPr>
        <w:rPr>
          <w:rFonts w:cs="Arial"/>
          <w:sz w:val="22"/>
          <w:szCs w:val="22"/>
        </w:rPr>
      </w:pPr>
      <w:r w:rsidRPr="007540D9">
        <w:rPr>
          <w:rFonts w:cs="Arial"/>
          <w:sz w:val="22"/>
          <w:szCs w:val="22"/>
        </w:rPr>
        <w:t>Financial assets are classified into the following specified categories: ‘held to maturity’ investments, ‘available-for-sale’ investments, and ‘loans and receivables’. The classification depends on the nature and purpose of the financial assets and is determined at the time of initial recognition.</w:t>
      </w:r>
    </w:p>
    <w:p w14:paraId="5EA7380A" w14:textId="77777777" w:rsidR="00146F80" w:rsidRPr="007540D9" w:rsidRDefault="00146F80" w:rsidP="002206F9">
      <w:pPr>
        <w:rPr>
          <w:rFonts w:cs="Arial"/>
          <w:sz w:val="22"/>
          <w:szCs w:val="22"/>
        </w:rPr>
      </w:pPr>
    </w:p>
    <w:p w14:paraId="5EA7380B" w14:textId="77777777" w:rsidR="00146F80" w:rsidRPr="00FA7C6C" w:rsidRDefault="00146F80" w:rsidP="00FA7C6C">
      <w:pPr>
        <w:pStyle w:val="Heading3"/>
        <w:jc w:val="left"/>
        <w:rPr>
          <w:color w:val="auto"/>
          <w:sz w:val="22"/>
          <w:szCs w:val="22"/>
        </w:rPr>
      </w:pPr>
      <w:bookmarkStart w:id="180" w:name="_Toc430613047"/>
      <w:bookmarkStart w:id="181" w:name="_Toc430613353"/>
      <w:bookmarkStart w:id="182" w:name="_Toc430613724"/>
      <w:r w:rsidRPr="00FA7C6C">
        <w:rPr>
          <w:color w:val="auto"/>
          <w:sz w:val="22"/>
          <w:szCs w:val="22"/>
        </w:rPr>
        <w:t>3.</w:t>
      </w:r>
      <w:r w:rsidR="007D5FF9" w:rsidRPr="00FA7C6C">
        <w:rPr>
          <w:color w:val="auto"/>
          <w:sz w:val="22"/>
          <w:szCs w:val="22"/>
        </w:rPr>
        <w:t>7</w:t>
      </w:r>
      <w:r w:rsidRPr="00FA7C6C">
        <w:rPr>
          <w:color w:val="auto"/>
          <w:sz w:val="22"/>
          <w:szCs w:val="22"/>
        </w:rPr>
        <w:t>.1 Effective interest method</w:t>
      </w:r>
      <w:bookmarkEnd w:id="180"/>
      <w:bookmarkEnd w:id="181"/>
      <w:bookmarkEnd w:id="182"/>
    </w:p>
    <w:p w14:paraId="5EA7380C" w14:textId="77777777" w:rsidR="00146F80" w:rsidRPr="007540D9" w:rsidRDefault="00146F80" w:rsidP="002206F9">
      <w:pPr>
        <w:rPr>
          <w:rFonts w:cs="Arial"/>
          <w:sz w:val="22"/>
          <w:szCs w:val="22"/>
        </w:rPr>
      </w:pPr>
    </w:p>
    <w:p w14:paraId="5EA7380D" w14:textId="77777777" w:rsidR="00146F80" w:rsidRPr="007540D9" w:rsidRDefault="00146F80" w:rsidP="002206F9">
      <w:pPr>
        <w:rPr>
          <w:rFonts w:cs="Arial"/>
          <w:sz w:val="22"/>
          <w:szCs w:val="22"/>
        </w:rPr>
      </w:pPr>
      <w:r w:rsidRPr="007540D9">
        <w:rPr>
          <w:rFonts w:cs="Arial"/>
          <w:sz w:val="22"/>
          <w:szCs w:val="22"/>
        </w:rPr>
        <w:t>The effective interest method is a method of calculating the amortised cost of a debt instrument and allocating interest over the relevant period.  The effective interest rate is the rate that exactly discounts estimated future cash receipts (including all fees paid or received that form an integral part of the effective interest rate, transaction costs and other premiums or discounts) through the expected life of the debt instrument, or (where appropriate) a shorter period, to the net carrying amount on initial recognition.</w:t>
      </w:r>
    </w:p>
    <w:p w14:paraId="5EA7380E" w14:textId="77777777" w:rsidR="00146F80" w:rsidRPr="007540D9" w:rsidRDefault="00146F80" w:rsidP="002206F9">
      <w:pPr>
        <w:rPr>
          <w:rFonts w:cs="Arial"/>
          <w:sz w:val="22"/>
          <w:szCs w:val="22"/>
        </w:rPr>
      </w:pPr>
    </w:p>
    <w:p w14:paraId="5EA7380F" w14:textId="77777777" w:rsidR="004800B5" w:rsidRPr="00FA7C6C" w:rsidRDefault="004800B5" w:rsidP="00FA7C6C">
      <w:pPr>
        <w:pStyle w:val="Heading3"/>
        <w:jc w:val="left"/>
        <w:rPr>
          <w:color w:val="auto"/>
          <w:sz w:val="22"/>
          <w:szCs w:val="22"/>
        </w:rPr>
      </w:pPr>
      <w:bookmarkStart w:id="183" w:name="_Toc430613048"/>
      <w:bookmarkStart w:id="184" w:name="_Toc430613354"/>
      <w:bookmarkStart w:id="185" w:name="_Toc430613725"/>
      <w:r w:rsidRPr="00FA7C6C">
        <w:rPr>
          <w:color w:val="auto"/>
          <w:sz w:val="22"/>
          <w:szCs w:val="22"/>
        </w:rPr>
        <w:t>3.</w:t>
      </w:r>
      <w:r w:rsidR="007D5FF9" w:rsidRPr="00FA7C6C">
        <w:rPr>
          <w:color w:val="auto"/>
          <w:sz w:val="22"/>
          <w:szCs w:val="22"/>
        </w:rPr>
        <w:t>7</w:t>
      </w:r>
      <w:r w:rsidRPr="00FA7C6C">
        <w:rPr>
          <w:color w:val="auto"/>
          <w:sz w:val="22"/>
          <w:szCs w:val="22"/>
        </w:rPr>
        <w:t>.</w:t>
      </w:r>
      <w:r w:rsidR="00146F80" w:rsidRPr="00FA7C6C">
        <w:rPr>
          <w:color w:val="auto"/>
          <w:sz w:val="22"/>
          <w:szCs w:val="22"/>
        </w:rPr>
        <w:t>2</w:t>
      </w:r>
      <w:r w:rsidRPr="00FA7C6C">
        <w:rPr>
          <w:color w:val="auto"/>
          <w:sz w:val="22"/>
          <w:szCs w:val="22"/>
        </w:rPr>
        <w:t xml:space="preserve"> Held-to-maturity investments</w:t>
      </w:r>
      <w:bookmarkEnd w:id="183"/>
      <w:bookmarkEnd w:id="184"/>
      <w:bookmarkEnd w:id="185"/>
    </w:p>
    <w:p w14:paraId="5EA73810" w14:textId="77777777" w:rsidR="004800B5" w:rsidRPr="007540D9" w:rsidRDefault="004800B5" w:rsidP="002206F9">
      <w:pPr>
        <w:rPr>
          <w:rFonts w:cs="Arial"/>
          <w:sz w:val="22"/>
          <w:szCs w:val="22"/>
          <w:u w:val="single"/>
        </w:rPr>
      </w:pPr>
    </w:p>
    <w:p w14:paraId="5EA73811" w14:textId="77777777" w:rsidR="004800B5" w:rsidRPr="007540D9" w:rsidRDefault="004800B5" w:rsidP="002206F9">
      <w:pPr>
        <w:rPr>
          <w:rFonts w:cs="Arial"/>
          <w:sz w:val="22"/>
          <w:szCs w:val="22"/>
        </w:rPr>
      </w:pPr>
      <w:r w:rsidRPr="007540D9">
        <w:rPr>
          <w:rFonts w:cs="Arial"/>
          <w:sz w:val="22"/>
          <w:szCs w:val="22"/>
        </w:rPr>
        <w:t xml:space="preserve">Investments with fixed or determinable receipts and fixed maturity dates </w:t>
      </w:r>
      <w:r w:rsidR="00146F80" w:rsidRPr="007540D9">
        <w:rPr>
          <w:rFonts w:cs="Arial"/>
          <w:sz w:val="22"/>
          <w:szCs w:val="22"/>
        </w:rPr>
        <w:t>that</w:t>
      </w:r>
      <w:r w:rsidRPr="007540D9">
        <w:rPr>
          <w:rFonts w:cs="Arial"/>
          <w:sz w:val="22"/>
          <w:szCs w:val="22"/>
        </w:rPr>
        <w:t xml:space="preserve"> the </w:t>
      </w:r>
      <w:r w:rsidR="00146F80" w:rsidRPr="007540D9">
        <w:rPr>
          <w:rFonts w:cs="Arial"/>
          <w:sz w:val="22"/>
          <w:szCs w:val="22"/>
        </w:rPr>
        <w:t>Group</w:t>
      </w:r>
      <w:r w:rsidRPr="007540D9">
        <w:rPr>
          <w:rFonts w:cs="Arial"/>
          <w:sz w:val="22"/>
          <w:szCs w:val="22"/>
        </w:rPr>
        <w:t xml:space="preserve"> has the positive intent and ability to hold to maturity are classified as held-to-maturity investments. Held-to-maturity investments are recorded at </w:t>
      </w:r>
      <w:r w:rsidR="003824DA" w:rsidRPr="007540D9">
        <w:rPr>
          <w:rFonts w:cs="Arial"/>
          <w:sz w:val="22"/>
          <w:szCs w:val="22"/>
        </w:rPr>
        <w:t xml:space="preserve">amortised </w:t>
      </w:r>
      <w:r w:rsidRPr="007540D9">
        <w:rPr>
          <w:rFonts w:cs="Arial"/>
          <w:sz w:val="22"/>
          <w:szCs w:val="22"/>
        </w:rPr>
        <w:t>cost</w:t>
      </w:r>
      <w:r w:rsidR="00146F80" w:rsidRPr="007540D9">
        <w:rPr>
          <w:rFonts w:cs="Arial"/>
          <w:sz w:val="22"/>
          <w:szCs w:val="22"/>
        </w:rPr>
        <w:t xml:space="preserve"> using the effective interest method</w:t>
      </w:r>
      <w:r w:rsidR="003824DA" w:rsidRPr="007540D9">
        <w:rPr>
          <w:rFonts w:cs="Arial"/>
          <w:sz w:val="22"/>
          <w:szCs w:val="22"/>
        </w:rPr>
        <w:t xml:space="preserve"> less any impairment</w:t>
      </w:r>
      <w:r w:rsidRPr="007540D9">
        <w:rPr>
          <w:rFonts w:cs="Arial"/>
          <w:sz w:val="22"/>
          <w:szCs w:val="22"/>
        </w:rPr>
        <w:t>.</w:t>
      </w:r>
    </w:p>
    <w:p w14:paraId="5EA73812" w14:textId="77777777" w:rsidR="009A3406" w:rsidRDefault="009A3406" w:rsidP="002206F9">
      <w:pPr>
        <w:rPr>
          <w:rFonts w:cs="Arial"/>
          <w:sz w:val="22"/>
          <w:szCs w:val="22"/>
        </w:rPr>
      </w:pPr>
    </w:p>
    <w:p w14:paraId="5EA73813" w14:textId="77777777" w:rsidR="004800B5" w:rsidRPr="00FA7C6C" w:rsidRDefault="004800B5" w:rsidP="00FA7C6C">
      <w:pPr>
        <w:pStyle w:val="Heading3"/>
        <w:jc w:val="left"/>
        <w:rPr>
          <w:color w:val="auto"/>
          <w:sz w:val="22"/>
          <w:szCs w:val="22"/>
        </w:rPr>
      </w:pPr>
      <w:bookmarkStart w:id="186" w:name="_Toc430613049"/>
      <w:bookmarkStart w:id="187" w:name="_Toc430613355"/>
      <w:bookmarkStart w:id="188" w:name="_Toc430613726"/>
      <w:r w:rsidRPr="00FA7C6C">
        <w:rPr>
          <w:color w:val="auto"/>
          <w:sz w:val="22"/>
          <w:szCs w:val="22"/>
        </w:rPr>
        <w:t>3.</w:t>
      </w:r>
      <w:r w:rsidR="007D5FF9" w:rsidRPr="00FA7C6C">
        <w:rPr>
          <w:color w:val="auto"/>
          <w:sz w:val="22"/>
          <w:szCs w:val="22"/>
        </w:rPr>
        <w:t>7</w:t>
      </w:r>
      <w:r w:rsidRPr="00FA7C6C">
        <w:rPr>
          <w:color w:val="auto"/>
          <w:sz w:val="22"/>
          <w:szCs w:val="22"/>
        </w:rPr>
        <w:t>.</w:t>
      </w:r>
      <w:r w:rsidR="00146F80" w:rsidRPr="00FA7C6C">
        <w:rPr>
          <w:color w:val="auto"/>
          <w:sz w:val="22"/>
          <w:szCs w:val="22"/>
        </w:rPr>
        <w:t>3</w:t>
      </w:r>
      <w:r w:rsidRPr="00FA7C6C">
        <w:rPr>
          <w:color w:val="auto"/>
          <w:sz w:val="22"/>
          <w:szCs w:val="22"/>
        </w:rPr>
        <w:t xml:space="preserve"> Available-for-sale investments</w:t>
      </w:r>
      <w:bookmarkEnd w:id="186"/>
      <w:bookmarkEnd w:id="187"/>
      <w:bookmarkEnd w:id="188"/>
    </w:p>
    <w:p w14:paraId="5EA73814" w14:textId="77777777" w:rsidR="004800B5" w:rsidRPr="007540D9" w:rsidRDefault="004800B5" w:rsidP="002206F9">
      <w:pPr>
        <w:rPr>
          <w:rFonts w:cs="Arial"/>
          <w:sz w:val="22"/>
          <w:szCs w:val="22"/>
          <w:u w:val="single"/>
        </w:rPr>
      </w:pPr>
    </w:p>
    <w:p w14:paraId="5EA73815" w14:textId="77777777" w:rsidR="004800B5" w:rsidRPr="007540D9" w:rsidRDefault="004800B5" w:rsidP="002206F9">
      <w:pPr>
        <w:rPr>
          <w:rFonts w:cs="Arial"/>
          <w:sz w:val="22"/>
          <w:szCs w:val="22"/>
        </w:rPr>
      </w:pPr>
      <w:r w:rsidRPr="007540D9">
        <w:rPr>
          <w:rFonts w:cs="Arial"/>
          <w:sz w:val="22"/>
          <w:szCs w:val="22"/>
        </w:rPr>
        <w:t xml:space="preserve">Certain </w:t>
      </w:r>
      <w:r w:rsidR="003B0E32" w:rsidRPr="007540D9">
        <w:rPr>
          <w:rFonts w:cs="Arial"/>
          <w:sz w:val="22"/>
          <w:szCs w:val="22"/>
        </w:rPr>
        <w:t>securities</w:t>
      </w:r>
      <w:r w:rsidRPr="007540D9">
        <w:rPr>
          <w:rFonts w:cs="Arial"/>
          <w:sz w:val="22"/>
          <w:szCs w:val="22"/>
        </w:rPr>
        <w:t xml:space="preserve"> held by the </w:t>
      </w:r>
      <w:r w:rsidR="00146F80" w:rsidRPr="007540D9">
        <w:rPr>
          <w:rFonts w:cs="Arial"/>
          <w:sz w:val="22"/>
          <w:szCs w:val="22"/>
        </w:rPr>
        <w:t>Group</w:t>
      </w:r>
      <w:r w:rsidRPr="007540D9">
        <w:rPr>
          <w:rFonts w:cs="Arial"/>
          <w:sz w:val="22"/>
          <w:szCs w:val="22"/>
        </w:rPr>
        <w:t xml:space="preserve"> are classified as being available-for-sale and are stated at fair value. Gains and losses arising from changes in fair value are recognised in other comprehensive income and accumulated </w:t>
      </w:r>
      <w:r w:rsidR="007261EC" w:rsidRPr="007540D9">
        <w:rPr>
          <w:rFonts w:cs="Arial"/>
          <w:sz w:val="22"/>
          <w:szCs w:val="22"/>
        </w:rPr>
        <w:t xml:space="preserve">in </w:t>
      </w:r>
      <w:r w:rsidRPr="007540D9">
        <w:rPr>
          <w:rFonts w:cs="Arial"/>
          <w:sz w:val="22"/>
          <w:szCs w:val="22"/>
        </w:rPr>
        <w:t xml:space="preserve">the asset revaluation reserve with the exception of impairment losses and interest </w:t>
      </w:r>
      <w:r w:rsidR="00146F80" w:rsidRPr="007540D9">
        <w:rPr>
          <w:rFonts w:cs="Arial"/>
          <w:sz w:val="22"/>
          <w:szCs w:val="22"/>
        </w:rPr>
        <w:t xml:space="preserve">calculated using the effective interest method, which </w:t>
      </w:r>
      <w:proofErr w:type="gramStart"/>
      <w:r w:rsidR="00146F80" w:rsidRPr="007540D9">
        <w:rPr>
          <w:rFonts w:cs="Arial"/>
          <w:sz w:val="22"/>
          <w:szCs w:val="22"/>
        </w:rPr>
        <w:t>are</w:t>
      </w:r>
      <w:proofErr w:type="gramEnd"/>
      <w:r w:rsidR="00146F80" w:rsidRPr="007540D9">
        <w:rPr>
          <w:rFonts w:cs="Arial"/>
          <w:sz w:val="22"/>
          <w:szCs w:val="22"/>
        </w:rPr>
        <w:t xml:space="preserve"> recognised in profit or loss</w:t>
      </w:r>
      <w:r w:rsidRPr="007540D9">
        <w:rPr>
          <w:rFonts w:cs="Arial"/>
          <w:sz w:val="22"/>
          <w:szCs w:val="22"/>
        </w:rPr>
        <w:t xml:space="preserve">.  Where the investment is disposed of or determined to be impaired, the cumulative gain or loss previously recognised in the asset revaluation reserve is reclassified to profit or loss. </w:t>
      </w:r>
    </w:p>
    <w:p w14:paraId="5EA73816" w14:textId="77777777" w:rsidR="004800B5" w:rsidRPr="007540D9" w:rsidRDefault="004800B5" w:rsidP="002206F9">
      <w:pPr>
        <w:rPr>
          <w:rFonts w:cs="Arial"/>
          <w:sz w:val="22"/>
          <w:szCs w:val="22"/>
          <w:highlight w:val="yellow"/>
        </w:rPr>
      </w:pPr>
    </w:p>
    <w:p w14:paraId="5EA73817" w14:textId="77777777" w:rsidR="00146F80" w:rsidRPr="007540D9" w:rsidRDefault="00146F80" w:rsidP="002206F9">
      <w:pPr>
        <w:rPr>
          <w:rFonts w:cs="Arial"/>
          <w:sz w:val="22"/>
          <w:szCs w:val="22"/>
        </w:rPr>
      </w:pPr>
      <w:r w:rsidRPr="007540D9">
        <w:rPr>
          <w:rFonts w:cs="Arial"/>
          <w:sz w:val="22"/>
          <w:szCs w:val="22"/>
        </w:rPr>
        <w:t>Dividends on available-for-sale equity instruments are recognised in profit or loss when the Group’s right to receive the dividends is established.</w:t>
      </w:r>
    </w:p>
    <w:p w14:paraId="5EA73818" w14:textId="77777777" w:rsidR="004800B5" w:rsidRPr="007540D9" w:rsidRDefault="004800B5" w:rsidP="00BC61D4">
      <w:pPr>
        <w:ind w:left="748"/>
        <w:jc w:val="both"/>
        <w:rPr>
          <w:rFonts w:cs="Arial"/>
          <w:sz w:val="22"/>
          <w:szCs w:val="22"/>
          <w:u w:val="single"/>
        </w:rPr>
      </w:pPr>
    </w:p>
    <w:p w14:paraId="5EA73819" w14:textId="77777777" w:rsidR="004800B5" w:rsidRPr="00FA7C6C" w:rsidRDefault="00834469" w:rsidP="00FA7C6C">
      <w:pPr>
        <w:pStyle w:val="Heading3"/>
        <w:jc w:val="left"/>
        <w:rPr>
          <w:color w:val="auto"/>
          <w:sz w:val="22"/>
          <w:szCs w:val="22"/>
        </w:rPr>
      </w:pPr>
      <w:r>
        <w:br w:type="page"/>
      </w:r>
      <w:bookmarkStart w:id="189" w:name="_Toc430613050"/>
      <w:bookmarkStart w:id="190" w:name="_Toc430613356"/>
      <w:bookmarkStart w:id="191" w:name="_Toc430613727"/>
      <w:r w:rsidR="004800B5" w:rsidRPr="00FA7C6C">
        <w:rPr>
          <w:color w:val="auto"/>
          <w:sz w:val="22"/>
          <w:szCs w:val="22"/>
        </w:rPr>
        <w:lastRenderedPageBreak/>
        <w:t>3.</w:t>
      </w:r>
      <w:r w:rsidR="007D5FF9" w:rsidRPr="00FA7C6C">
        <w:rPr>
          <w:color w:val="auto"/>
          <w:sz w:val="22"/>
          <w:szCs w:val="22"/>
        </w:rPr>
        <w:t>7</w:t>
      </w:r>
      <w:r w:rsidR="004800B5" w:rsidRPr="00FA7C6C">
        <w:rPr>
          <w:color w:val="auto"/>
          <w:sz w:val="22"/>
          <w:szCs w:val="22"/>
        </w:rPr>
        <w:t>.</w:t>
      </w:r>
      <w:r w:rsidR="00146F80" w:rsidRPr="00FA7C6C">
        <w:rPr>
          <w:color w:val="auto"/>
          <w:sz w:val="22"/>
          <w:szCs w:val="22"/>
        </w:rPr>
        <w:t>4</w:t>
      </w:r>
      <w:r w:rsidR="004800B5" w:rsidRPr="00FA7C6C">
        <w:rPr>
          <w:color w:val="auto"/>
          <w:sz w:val="22"/>
          <w:szCs w:val="22"/>
        </w:rPr>
        <w:t xml:space="preserve"> Loans and receivables</w:t>
      </w:r>
      <w:bookmarkEnd w:id="189"/>
      <w:bookmarkEnd w:id="190"/>
      <w:bookmarkEnd w:id="191"/>
    </w:p>
    <w:p w14:paraId="5EA7381A" w14:textId="77777777" w:rsidR="00D83B2D" w:rsidRPr="007540D9" w:rsidRDefault="00D83B2D" w:rsidP="002206F9">
      <w:pPr>
        <w:rPr>
          <w:rFonts w:cs="Arial"/>
          <w:sz w:val="22"/>
          <w:szCs w:val="22"/>
        </w:rPr>
      </w:pPr>
    </w:p>
    <w:p w14:paraId="5EA7381B" w14:textId="77777777" w:rsidR="00146F80" w:rsidRPr="007540D9" w:rsidRDefault="004800B5" w:rsidP="002206F9">
      <w:pPr>
        <w:rPr>
          <w:rFonts w:cs="Arial"/>
          <w:sz w:val="22"/>
          <w:szCs w:val="22"/>
        </w:rPr>
      </w:pPr>
      <w:r w:rsidRPr="007540D9">
        <w:rPr>
          <w:rFonts w:cs="Arial"/>
          <w:sz w:val="22"/>
          <w:szCs w:val="22"/>
        </w:rPr>
        <w:t xml:space="preserve">Trade receivables, loans, and other receivables that have fixed or determinable payments that are not quoted in an active market are classified as ‘loans and receivables’. Loans and receivables are measured at </w:t>
      </w:r>
      <w:r w:rsidR="00146F80" w:rsidRPr="007540D9">
        <w:rPr>
          <w:rFonts w:cs="Arial"/>
          <w:sz w:val="22"/>
          <w:szCs w:val="22"/>
        </w:rPr>
        <w:t xml:space="preserve">amortised </w:t>
      </w:r>
      <w:r w:rsidRPr="007540D9">
        <w:rPr>
          <w:rFonts w:cs="Arial"/>
          <w:sz w:val="22"/>
          <w:szCs w:val="22"/>
        </w:rPr>
        <w:t>cost</w:t>
      </w:r>
      <w:r w:rsidR="00146F80" w:rsidRPr="007540D9">
        <w:rPr>
          <w:rFonts w:cs="Arial"/>
          <w:sz w:val="22"/>
          <w:szCs w:val="22"/>
        </w:rPr>
        <w:t xml:space="preserve"> using the effective interest method, less any impairment.  Interest income is recognised by applying the effective interest rate, except for short-term receivables when the recognition of interest would be immaterial.</w:t>
      </w:r>
    </w:p>
    <w:p w14:paraId="5EA7381C" w14:textId="77777777" w:rsidR="00393F0A" w:rsidRPr="007540D9" w:rsidRDefault="00393F0A" w:rsidP="002206F9">
      <w:pPr>
        <w:rPr>
          <w:rFonts w:cs="Arial"/>
          <w:sz w:val="22"/>
          <w:szCs w:val="22"/>
          <w:u w:val="single"/>
        </w:rPr>
      </w:pPr>
    </w:p>
    <w:p w14:paraId="5EA7381D" w14:textId="77777777" w:rsidR="004800B5" w:rsidRPr="00FA7C6C" w:rsidRDefault="004800B5" w:rsidP="00FA7C6C">
      <w:pPr>
        <w:pStyle w:val="Heading3"/>
        <w:jc w:val="left"/>
        <w:rPr>
          <w:color w:val="auto"/>
          <w:sz w:val="22"/>
          <w:szCs w:val="22"/>
        </w:rPr>
      </w:pPr>
      <w:bookmarkStart w:id="192" w:name="_Toc430613051"/>
      <w:bookmarkStart w:id="193" w:name="_Toc430613357"/>
      <w:bookmarkStart w:id="194" w:name="_Toc430613728"/>
      <w:r w:rsidRPr="00FA7C6C">
        <w:rPr>
          <w:color w:val="auto"/>
          <w:sz w:val="22"/>
          <w:szCs w:val="22"/>
        </w:rPr>
        <w:t>3.</w:t>
      </w:r>
      <w:r w:rsidR="007D5FF9" w:rsidRPr="00FA7C6C">
        <w:rPr>
          <w:color w:val="auto"/>
          <w:sz w:val="22"/>
          <w:szCs w:val="22"/>
        </w:rPr>
        <w:t>7</w:t>
      </w:r>
      <w:r w:rsidRPr="00FA7C6C">
        <w:rPr>
          <w:color w:val="auto"/>
          <w:sz w:val="22"/>
          <w:szCs w:val="22"/>
        </w:rPr>
        <w:t>.</w:t>
      </w:r>
      <w:r w:rsidR="00146F80" w:rsidRPr="00FA7C6C">
        <w:rPr>
          <w:color w:val="auto"/>
          <w:sz w:val="22"/>
          <w:szCs w:val="22"/>
        </w:rPr>
        <w:t>5</w:t>
      </w:r>
      <w:r w:rsidRPr="00FA7C6C">
        <w:rPr>
          <w:color w:val="auto"/>
          <w:sz w:val="22"/>
          <w:szCs w:val="22"/>
        </w:rPr>
        <w:t xml:space="preserve"> Impairment of financial assets</w:t>
      </w:r>
      <w:bookmarkEnd w:id="192"/>
      <w:bookmarkEnd w:id="193"/>
      <w:bookmarkEnd w:id="194"/>
    </w:p>
    <w:p w14:paraId="5EA7381E" w14:textId="77777777" w:rsidR="004800B5" w:rsidRPr="007540D9" w:rsidRDefault="004800B5" w:rsidP="002206F9">
      <w:pPr>
        <w:rPr>
          <w:rFonts w:cs="Arial"/>
          <w:sz w:val="22"/>
          <w:szCs w:val="22"/>
        </w:rPr>
      </w:pPr>
    </w:p>
    <w:p w14:paraId="5EA7381F" w14:textId="77777777" w:rsidR="004800B5" w:rsidRPr="007540D9" w:rsidRDefault="004800B5" w:rsidP="002206F9">
      <w:pPr>
        <w:rPr>
          <w:rFonts w:cs="Arial"/>
          <w:sz w:val="22"/>
          <w:szCs w:val="22"/>
        </w:rPr>
      </w:pPr>
      <w:r w:rsidRPr="007540D9">
        <w:rPr>
          <w:rFonts w:cs="Arial"/>
          <w:sz w:val="22"/>
          <w:szCs w:val="22"/>
        </w:rPr>
        <w:t xml:space="preserve">Financial assets are assessed for indicators of impairment at </w:t>
      </w:r>
      <w:r w:rsidR="00146F80" w:rsidRPr="007540D9">
        <w:rPr>
          <w:rFonts w:cs="Arial"/>
          <w:sz w:val="22"/>
          <w:szCs w:val="22"/>
        </w:rPr>
        <w:t xml:space="preserve">the end of </w:t>
      </w:r>
      <w:r w:rsidRPr="007540D9">
        <w:rPr>
          <w:rFonts w:cs="Arial"/>
          <w:sz w:val="22"/>
          <w:szCs w:val="22"/>
        </w:rPr>
        <w:t xml:space="preserve">each reporting period. Financial assets are considered to be impaired where there is objective evidence that, as a result of one or more events that have occurred after the initial recognition of the financial asset the estimated future cash flows of the investment have been impacted. </w:t>
      </w:r>
    </w:p>
    <w:p w14:paraId="5EA73820" w14:textId="77777777" w:rsidR="004800B5" w:rsidRPr="007540D9" w:rsidRDefault="004800B5" w:rsidP="002206F9">
      <w:pPr>
        <w:ind w:left="748"/>
        <w:rPr>
          <w:rFonts w:cs="Arial"/>
          <w:sz w:val="22"/>
          <w:szCs w:val="22"/>
          <w:highlight w:val="yellow"/>
        </w:rPr>
      </w:pPr>
    </w:p>
    <w:p w14:paraId="5EA73821" w14:textId="77777777" w:rsidR="004800B5" w:rsidRPr="007540D9" w:rsidRDefault="004800B5" w:rsidP="002206F9">
      <w:pPr>
        <w:pStyle w:val="TextPara"/>
        <w:autoSpaceDE/>
        <w:autoSpaceDN/>
        <w:adjustRightInd/>
        <w:rPr>
          <w:rFonts w:cs="Arial"/>
          <w:bCs/>
          <w:sz w:val="22"/>
          <w:szCs w:val="22"/>
        </w:rPr>
      </w:pPr>
      <w:r w:rsidRPr="007540D9">
        <w:rPr>
          <w:rFonts w:cs="Arial"/>
          <w:bCs/>
          <w:sz w:val="22"/>
          <w:szCs w:val="22"/>
        </w:rPr>
        <w:t>A significant or prolonged decline in the fair value of an equity instrument below its cost is considered to be objective evidence of impairment.  When the market value of</w:t>
      </w:r>
      <w:r w:rsidR="00DF68A7" w:rsidRPr="007540D9">
        <w:rPr>
          <w:rFonts w:cs="Arial"/>
          <w:bCs/>
          <w:sz w:val="22"/>
          <w:szCs w:val="22"/>
        </w:rPr>
        <w:t xml:space="preserve"> a</w:t>
      </w:r>
      <w:r w:rsidR="00994088" w:rsidRPr="007540D9">
        <w:rPr>
          <w:rFonts w:cs="Arial"/>
          <w:bCs/>
          <w:sz w:val="22"/>
          <w:szCs w:val="22"/>
        </w:rPr>
        <w:t>n</w:t>
      </w:r>
      <w:r w:rsidR="00DF68A7" w:rsidRPr="007540D9">
        <w:rPr>
          <w:rFonts w:cs="Arial"/>
          <w:bCs/>
          <w:sz w:val="22"/>
          <w:szCs w:val="22"/>
        </w:rPr>
        <w:t xml:space="preserve"> equity instrument held in the company’s</w:t>
      </w:r>
      <w:r w:rsidRPr="007540D9">
        <w:rPr>
          <w:rFonts w:cs="Arial"/>
          <w:bCs/>
          <w:sz w:val="22"/>
          <w:szCs w:val="22"/>
        </w:rPr>
        <w:t xml:space="preserve"> investment portfolios is below cost it is reviewed for impairment. The interpretation of impairment that has been used in the preparation of these accounts is that an impairment will have occurred when a stock has traded below its </w:t>
      </w:r>
      <w:r w:rsidR="00DF68A7" w:rsidRPr="007540D9">
        <w:rPr>
          <w:rFonts w:cs="Arial"/>
          <w:bCs/>
          <w:sz w:val="22"/>
          <w:szCs w:val="22"/>
        </w:rPr>
        <w:t>cost for more than 12 months or, at balance date</w:t>
      </w:r>
      <w:r w:rsidRPr="007540D9">
        <w:rPr>
          <w:rFonts w:cs="Arial"/>
          <w:bCs/>
          <w:sz w:val="22"/>
          <w:szCs w:val="22"/>
        </w:rPr>
        <w:t xml:space="preserve">, has a market value 20% or more less than its </w:t>
      </w:r>
      <w:r w:rsidR="00F10ACD">
        <w:rPr>
          <w:rFonts w:cs="Arial"/>
          <w:bCs/>
          <w:sz w:val="22"/>
          <w:szCs w:val="22"/>
        </w:rPr>
        <w:t>average cost</w:t>
      </w:r>
      <w:r w:rsidRPr="007540D9">
        <w:rPr>
          <w:rFonts w:cs="Arial"/>
          <w:bCs/>
          <w:sz w:val="22"/>
          <w:szCs w:val="22"/>
        </w:rPr>
        <w:t>.</w:t>
      </w:r>
    </w:p>
    <w:p w14:paraId="5EA73822" w14:textId="77777777" w:rsidR="004800B5" w:rsidRPr="007540D9" w:rsidRDefault="004800B5" w:rsidP="002206F9">
      <w:pPr>
        <w:rPr>
          <w:rFonts w:cs="Arial"/>
          <w:sz w:val="22"/>
          <w:szCs w:val="22"/>
        </w:rPr>
      </w:pPr>
    </w:p>
    <w:p w14:paraId="5EA73823" w14:textId="77777777" w:rsidR="004800B5" w:rsidRPr="007540D9" w:rsidRDefault="004800B5" w:rsidP="002206F9">
      <w:pPr>
        <w:autoSpaceDE w:val="0"/>
        <w:autoSpaceDN w:val="0"/>
        <w:adjustRightInd w:val="0"/>
        <w:rPr>
          <w:rFonts w:cs="Arial"/>
          <w:sz w:val="22"/>
          <w:szCs w:val="22"/>
        </w:rPr>
      </w:pPr>
      <w:r w:rsidRPr="007540D9">
        <w:rPr>
          <w:rFonts w:cs="Arial"/>
          <w:sz w:val="22"/>
          <w:szCs w:val="22"/>
        </w:rPr>
        <w:t>For certain categories of financial asset, such as trade receivables, assets that are assessed not to be impaired individually are, in addition, assessed for impairment on a collective basis.</w:t>
      </w:r>
      <w:r w:rsidR="00FE3A08">
        <w:rPr>
          <w:rFonts w:cs="Arial"/>
          <w:sz w:val="22"/>
          <w:szCs w:val="22"/>
        </w:rPr>
        <w:t xml:space="preserve"> </w:t>
      </w:r>
      <w:r w:rsidR="00FE3A08" w:rsidRPr="00FE3A08">
        <w:rPr>
          <w:rFonts w:cs="Arial"/>
          <w:sz w:val="22"/>
          <w:szCs w:val="22"/>
        </w:rPr>
        <w:t>Objective</w:t>
      </w:r>
      <w:r w:rsidR="00FE3A08">
        <w:rPr>
          <w:rFonts w:cs="Arial"/>
          <w:sz w:val="22"/>
          <w:szCs w:val="22"/>
        </w:rPr>
        <w:t xml:space="preserve"> </w:t>
      </w:r>
      <w:r w:rsidR="00FE3A08" w:rsidRPr="00FE3A08">
        <w:rPr>
          <w:rFonts w:cs="Arial"/>
          <w:sz w:val="22"/>
          <w:szCs w:val="22"/>
        </w:rPr>
        <w:t>evidence of impairment for a portfolio of receivables could include the Group’s</w:t>
      </w:r>
      <w:r w:rsidR="00FE3A08">
        <w:rPr>
          <w:rFonts w:cs="Arial"/>
          <w:sz w:val="22"/>
          <w:szCs w:val="22"/>
        </w:rPr>
        <w:t xml:space="preserve"> </w:t>
      </w:r>
      <w:r w:rsidR="00FE3A08" w:rsidRPr="00FE3A08">
        <w:rPr>
          <w:rFonts w:cs="Arial"/>
          <w:sz w:val="22"/>
          <w:szCs w:val="22"/>
        </w:rPr>
        <w:t>past experience of</w:t>
      </w:r>
      <w:r w:rsidR="00FE3A08">
        <w:rPr>
          <w:rFonts w:cs="Arial"/>
          <w:sz w:val="22"/>
          <w:szCs w:val="22"/>
        </w:rPr>
        <w:t xml:space="preserve"> </w:t>
      </w:r>
      <w:r w:rsidR="00FE3A08" w:rsidRPr="00FE3A08">
        <w:rPr>
          <w:rFonts w:cs="Arial"/>
          <w:sz w:val="22"/>
          <w:szCs w:val="22"/>
        </w:rPr>
        <w:t>collecting payments, an increase in the number of delayed payments in the portfolio past the average</w:t>
      </w:r>
      <w:r w:rsidR="00FE3A08">
        <w:rPr>
          <w:rFonts w:cs="Arial"/>
          <w:sz w:val="22"/>
          <w:szCs w:val="22"/>
        </w:rPr>
        <w:t xml:space="preserve"> credit period of 9</w:t>
      </w:r>
      <w:r w:rsidR="00FE3A08" w:rsidRPr="00FE3A08">
        <w:rPr>
          <w:rFonts w:cs="Arial"/>
          <w:sz w:val="22"/>
          <w:szCs w:val="22"/>
        </w:rPr>
        <w:t>0 days, as well as observable changes in national or local economic conditions that</w:t>
      </w:r>
      <w:r w:rsidR="00FE3A08">
        <w:rPr>
          <w:rFonts w:cs="Arial"/>
          <w:sz w:val="22"/>
          <w:szCs w:val="22"/>
        </w:rPr>
        <w:t xml:space="preserve"> </w:t>
      </w:r>
      <w:r w:rsidR="00FE3A08" w:rsidRPr="00FE3A08">
        <w:rPr>
          <w:rFonts w:cs="Arial"/>
          <w:sz w:val="22"/>
          <w:szCs w:val="22"/>
        </w:rPr>
        <w:t>correlate with default on receivables.</w:t>
      </w:r>
    </w:p>
    <w:p w14:paraId="5EA73824" w14:textId="77777777" w:rsidR="004800B5" w:rsidRPr="007540D9" w:rsidRDefault="004800B5" w:rsidP="002206F9">
      <w:pPr>
        <w:rPr>
          <w:rFonts w:cs="Arial"/>
          <w:sz w:val="22"/>
          <w:szCs w:val="22"/>
        </w:rPr>
      </w:pPr>
    </w:p>
    <w:p w14:paraId="5EA73825" w14:textId="77777777" w:rsidR="004800B5" w:rsidRPr="007540D9" w:rsidRDefault="004800B5" w:rsidP="002206F9">
      <w:pPr>
        <w:rPr>
          <w:rFonts w:cs="Arial"/>
          <w:sz w:val="22"/>
          <w:szCs w:val="22"/>
        </w:rPr>
      </w:pPr>
      <w:r w:rsidRPr="007540D9">
        <w:rPr>
          <w:rFonts w:cs="Arial"/>
          <w:sz w:val="22"/>
          <w:szCs w:val="22"/>
        </w:rPr>
        <w:t xml:space="preserve">The carrying amount of the financial asset is reduced by the impairment loss directly for all financial assets with the exception of </w:t>
      </w:r>
      <w:r w:rsidR="00146F80" w:rsidRPr="007540D9">
        <w:rPr>
          <w:rFonts w:cs="Arial"/>
          <w:sz w:val="22"/>
          <w:szCs w:val="22"/>
        </w:rPr>
        <w:t>t</w:t>
      </w:r>
      <w:r w:rsidRPr="007540D9">
        <w:rPr>
          <w:rFonts w:cs="Arial"/>
          <w:sz w:val="22"/>
          <w:szCs w:val="22"/>
        </w:rPr>
        <w:t xml:space="preserve">rade </w:t>
      </w:r>
      <w:r w:rsidR="005B3034" w:rsidRPr="007540D9">
        <w:rPr>
          <w:rFonts w:cs="Arial"/>
          <w:sz w:val="22"/>
          <w:szCs w:val="22"/>
        </w:rPr>
        <w:t>r</w:t>
      </w:r>
      <w:r w:rsidRPr="007540D9">
        <w:rPr>
          <w:rFonts w:cs="Arial"/>
          <w:sz w:val="22"/>
          <w:szCs w:val="22"/>
        </w:rPr>
        <w:t>eceivables, where the carrying amount is reduced through the use of an allowance account.  When a trade receivable is considered uncollectable, it is written off against the allowance account.  Subsequent recoveries of amounts previously written off are credited against the allowance account.  Changes in the carrying amount of the allowance are recognised in profit and loss.</w:t>
      </w:r>
    </w:p>
    <w:p w14:paraId="5EA73826" w14:textId="77777777" w:rsidR="004800B5" w:rsidRPr="007540D9" w:rsidRDefault="004800B5" w:rsidP="002206F9">
      <w:pPr>
        <w:rPr>
          <w:rFonts w:cs="Arial"/>
          <w:sz w:val="22"/>
          <w:szCs w:val="22"/>
        </w:rPr>
      </w:pPr>
    </w:p>
    <w:p w14:paraId="5EA73827" w14:textId="77777777" w:rsidR="004800B5" w:rsidRPr="007540D9" w:rsidRDefault="004800B5" w:rsidP="002206F9">
      <w:pPr>
        <w:rPr>
          <w:rFonts w:cs="Arial"/>
          <w:sz w:val="22"/>
          <w:szCs w:val="22"/>
        </w:rPr>
      </w:pPr>
      <w:r w:rsidRPr="007540D9">
        <w:rPr>
          <w:rFonts w:cs="Arial"/>
          <w:sz w:val="22"/>
          <w:szCs w:val="22"/>
        </w:rPr>
        <w:t>With the exception of available-for-sale equity instruments, if, in a subsequent period, the amount of the impairment loss decreases and the decrease can be related objectively to an event occurring after the impairment was recognised, the previously recognised impairment loss is reversed through profit or loss to the extent the carrying amount of the investment at the date the impairment is reversed does not exceed what the cost would have been had the impairment not been recognised.</w:t>
      </w:r>
    </w:p>
    <w:p w14:paraId="5EA73828" w14:textId="77777777" w:rsidR="004800B5" w:rsidRPr="007540D9" w:rsidRDefault="004800B5" w:rsidP="002206F9">
      <w:pPr>
        <w:ind w:left="748"/>
        <w:rPr>
          <w:rFonts w:cs="Arial"/>
          <w:sz w:val="22"/>
          <w:szCs w:val="22"/>
        </w:rPr>
      </w:pPr>
    </w:p>
    <w:p w14:paraId="5EA73829" w14:textId="77777777" w:rsidR="004800B5" w:rsidRPr="007540D9" w:rsidRDefault="004800B5" w:rsidP="002206F9">
      <w:pPr>
        <w:rPr>
          <w:rFonts w:cs="Arial"/>
          <w:sz w:val="22"/>
          <w:szCs w:val="22"/>
        </w:rPr>
      </w:pPr>
      <w:r w:rsidRPr="007540D9">
        <w:rPr>
          <w:rFonts w:cs="Arial"/>
          <w:sz w:val="22"/>
          <w:szCs w:val="22"/>
        </w:rPr>
        <w:t>In respect of available-for-sale equity instruments impairment losses previously recognised in profit and loss are not reversed through profit and loss.  Any increase in fair value subsequent to an impairment loss is recognised in other comprehensive income</w:t>
      </w:r>
      <w:r w:rsidR="00146F80" w:rsidRPr="007540D9">
        <w:rPr>
          <w:rFonts w:cs="Arial"/>
          <w:sz w:val="22"/>
          <w:szCs w:val="22"/>
        </w:rPr>
        <w:t xml:space="preserve"> and accumulated in the asset revaluation reserve</w:t>
      </w:r>
      <w:r w:rsidRPr="007540D9">
        <w:rPr>
          <w:rFonts w:cs="Arial"/>
          <w:sz w:val="22"/>
          <w:szCs w:val="22"/>
        </w:rPr>
        <w:t>.</w:t>
      </w:r>
    </w:p>
    <w:p w14:paraId="5EA7382A" w14:textId="77777777" w:rsidR="004800B5" w:rsidRPr="007540D9" w:rsidRDefault="004800B5" w:rsidP="002206F9">
      <w:pPr>
        <w:rPr>
          <w:rFonts w:cs="Arial"/>
          <w:sz w:val="22"/>
          <w:szCs w:val="22"/>
        </w:rPr>
      </w:pPr>
    </w:p>
    <w:p w14:paraId="5EA7382B" w14:textId="77777777" w:rsidR="00B9497D" w:rsidRPr="00FA7C6C" w:rsidRDefault="00834469" w:rsidP="00FA7C6C">
      <w:pPr>
        <w:pStyle w:val="Heading2"/>
        <w:rPr>
          <w:sz w:val="22"/>
          <w:szCs w:val="22"/>
        </w:rPr>
      </w:pPr>
      <w:r>
        <w:br w:type="page"/>
      </w:r>
      <w:bookmarkStart w:id="195" w:name="_Toc430613052"/>
      <w:bookmarkStart w:id="196" w:name="_Toc430613358"/>
      <w:bookmarkStart w:id="197" w:name="_Toc430613729"/>
      <w:r w:rsidR="00B9497D" w:rsidRPr="00FA7C6C">
        <w:rPr>
          <w:sz w:val="22"/>
          <w:szCs w:val="22"/>
        </w:rPr>
        <w:lastRenderedPageBreak/>
        <w:t>3.</w:t>
      </w:r>
      <w:r w:rsidR="007D5FF9" w:rsidRPr="00FA7C6C">
        <w:rPr>
          <w:sz w:val="22"/>
          <w:szCs w:val="22"/>
        </w:rPr>
        <w:t>8</w:t>
      </w:r>
      <w:r w:rsidR="00B9497D" w:rsidRPr="00FA7C6C">
        <w:rPr>
          <w:sz w:val="22"/>
          <w:szCs w:val="22"/>
        </w:rPr>
        <w:t xml:space="preserve"> Financial liabilities</w:t>
      </w:r>
      <w:bookmarkEnd w:id="195"/>
      <w:bookmarkEnd w:id="196"/>
      <w:bookmarkEnd w:id="197"/>
    </w:p>
    <w:p w14:paraId="5EA7382C" w14:textId="77777777" w:rsidR="00B9497D" w:rsidRPr="007540D9" w:rsidRDefault="00B9497D" w:rsidP="002206F9">
      <w:pPr>
        <w:rPr>
          <w:rFonts w:cs="Arial"/>
          <w:b/>
          <w:sz w:val="22"/>
          <w:szCs w:val="22"/>
        </w:rPr>
      </w:pPr>
    </w:p>
    <w:p w14:paraId="5EA7382D" w14:textId="77777777" w:rsidR="00B9497D" w:rsidRPr="007540D9" w:rsidRDefault="00B9497D" w:rsidP="002206F9">
      <w:pPr>
        <w:rPr>
          <w:rFonts w:cs="Arial"/>
          <w:sz w:val="22"/>
          <w:szCs w:val="22"/>
        </w:rPr>
      </w:pPr>
      <w:r w:rsidRPr="007540D9">
        <w:rPr>
          <w:rFonts w:cs="Arial"/>
          <w:sz w:val="22"/>
          <w:szCs w:val="22"/>
        </w:rPr>
        <w:t>Financial liabilities, including borrowings, are initially measured at fair value, net of transaction costs.  Financial liabilities are subsequently measured at amortised cost using the effective interest method, with interest expense recognised on an effective yield basis.</w:t>
      </w:r>
    </w:p>
    <w:p w14:paraId="5EA7382E" w14:textId="77777777" w:rsidR="00B9497D" w:rsidRPr="007540D9" w:rsidRDefault="00B9497D" w:rsidP="002206F9">
      <w:pPr>
        <w:rPr>
          <w:rFonts w:cs="Arial"/>
          <w:sz w:val="22"/>
          <w:szCs w:val="22"/>
        </w:rPr>
      </w:pPr>
    </w:p>
    <w:p w14:paraId="5EA7382F" w14:textId="77777777" w:rsidR="00B9497D" w:rsidRPr="007540D9" w:rsidRDefault="00B9497D" w:rsidP="002206F9">
      <w:pPr>
        <w:rPr>
          <w:rFonts w:cs="Arial"/>
          <w:sz w:val="22"/>
          <w:szCs w:val="22"/>
        </w:rPr>
      </w:pPr>
      <w:r w:rsidRPr="007540D9">
        <w:rPr>
          <w:rFonts w:cs="Arial"/>
          <w:sz w:val="22"/>
          <w:szCs w:val="22"/>
        </w:rPr>
        <w:t>The effective interest method is a method of calculating the amortised cost of a financial liability and of allocating interest expense over the relevant period.  The effective interest rate is the rate that exactly discounts estimated future cash payments through the expected life of the financial liability, or (where appropriate) a shorter period, to the net carrying amount on initial recognition.</w:t>
      </w:r>
    </w:p>
    <w:p w14:paraId="5EA73830" w14:textId="77777777" w:rsidR="00B9497D" w:rsidRPr="007540D9" w:rsidRDefault="00B9497D" w:rsidP="002206F9">
      <w:pPr>
        <w:rPr>
          <w:rFonts w:cs="Arial"/>
          <w:sz w:val="22"/>
          <w:szCs w:val="22"/>
        </w:rPr>
      </w:pPr>
    </w:p>
    <w:p w14:paraId="5EA73831" w14:textId="77777777" w:rsidR="004800B5" w:rsidRPr="00FA7C6C" w:rsidRDefault="004800B5" w:rsidP="00FA7C6C">
      <w:pPr>
        <w:pStyle w:val="Heading2"/>
        <w:rPr>
          <w:sz w:val="22"/>
          <w:szCs w:val="22"/>
        </w:rPr>
      </w:pPr>
      <w:bookmarkStart w:id="198" w:name="_Toc430613053"/>
      <w:bookmarkStart w:id="199" w:name="_Toc430613359"/>
      <w:bookmarkStart w:id="200" w:name="_Toc430613730"/>
      <w:r w:rsidRPr="00FA7C6C">
        <w:rPr>
          <w:sz w:val="22"/>
          <w:szCs w:val="22"/>
        </w:rPr>
        <w:t>3.</w:t>
      </w:r>
      <w:r w:rsidR="007D5FF9" w:rsidRPr="00FA7C6C">
        <w:rPr>
          <w:sz w:val="22"/>
          <w:szCs w:val="22"/>
        </w:rPr>
        <w:t>9</w:t>
      </w:r>
      <w:r w:rsidRPr="00FA7C6C">
        <w:rPr>
          <w:sz w:val="22"/>
          <w:szCs w:val="22"/>
        </w:rPr>
        <w:t xml:space="preserve"> </w:t>
      </w:r>
      <w:r w:rsidR="00C635DD" w:rsidRPr="00FA7C6C">
        <w:rPr>
          <w:sz w:val="22"/>
          <w:szCs w:val="22"/>
        </w:rPr>
        <w:t>As</w:t>
      </w:r>
      <w:r w:rsidRPr="00FA7C6C">
        <w:rPr>
          <w:sz w:val="22"/>
          <w:szCs w:val="22"/>
        </w:rPr>
        <w:t>sets held for sale</w:t>
      </w:r>
      <w:bookmarkEnd w:id="198"/>
      <w:bookmarkEnd w:id="199"/>
      <w:bookmarkEnd w:id="200"/>
    </w:p>
    <w:p w14:paraId="5EA73832" w14:textId="77777777" w:rsidR="004800B5" w:rsidRPr="007540D9" w:rsidRDefault="004800B5" w:rsidP="002206F9">
      <w:pPr>
        <w:rPr>
          <w:rFonts w:cs="Arial"/>
          <w:sz w:val="22"/>
          <w:szCs w:val="22"/>
        </w:rPr>
      </w:pPr>
    </w:p>
    <w:p w14:paraId="5EA73833" w14:textId="77777777" w:rsidR="004800B5" w:rsidRPr="007540D9" w:rsidRDefault="00251055" w:rsidP="002206F9">
      <w:pPr>
        <w:rPr>
          <w:rFonts w:cs="Arial"/>
          <w:sz w:val="22"/>
          <w:szCs w:val="22"/>
        </w:rPr>
      </w:pPr>
      <w:r w:rsidRPr="007540D9">
        <w:rPr>
          <w:rFonts w:cs="Arial"/>
          <w:sz w:val="22"/>
          <w:szCs w:val="22"/>
        </w:rPr>
        <w:t>A</w:t>
      </w:r>
      <w:r w:rsidR="004800B5" w:rsidRPr="007540D9">
        <w:rPr>
          <w:rFonts w:cs="Arial"/>
          <w:sz w:val="22"/>
          <w:szCs w:val="22"/>
        </w:rPr>
        <w:t>ssets classified as held for sale are measured at the lower of carrying amount or fair value less costs to sell</w:t>
      </w:r>
      <w:r w:rsidRPr="007540D9">
        <w:rPr>
          <w:rFonts w:cs="Arial"/>
          <w:sz w:val="22"/>
          <w:szCs w:val="22"/>
        </w:rPr>
        <w:t xml:space="preserve"> and </w:t>
      </w:r>
      <w:r w:rsidR="004800B5" w:rsidRPr="007540D9">
        <w:rPr>
          <w:rFonts w:cs="Arial"/>
          <w:sz w:val="22"/>
          <w:szCs w:val="22"/>
        </w:rPr>
        <w:t xml:space="preserve">are classified as held for sale if their carrying amount will be recovered principally through a sale transaction rather than through continuing use. This condition is regarded as met only when the asset is available for immediate sale in its present condition subject only to terms that are usual and customary for such a sale and the sale is highly probable. The sale of the asset must be expected to be completed within one year from the date of classification, except in circumstances where sale is delayed by events or circumstances outside the </w:t>
      </w:r>
      <w:r w:rsidR="00B9497D" w:rsidRPr="007540D9">
        <w:rPr>
          <w:rFonts w:cs="Arial"/>
          <w:sz w:val="22"/>
          <w:szCs w:val="22"/>
        </w:rPr>
        <w:t>Group</w:t>
      </w:r>
      <w:r w:rsidR="004800B5" w:rsidRPr="007540D9">
        <w:rPr>
          <w:rFonts w:cs="Arial"/>
          <w:sz w:val="22"/>
          <w:szCs w:val="22"/>
        </w:rPr>
        <w:t xml:space="preserve">’s control and the </w:t>
      </w:r>
      <w:r w:rsidR="00B9497D" w:rsidRPr="007540D9">
        <w:rPr>
          <w:rFonts w:cs="Arial"/>
          <w:sz w:val="22"/>
          <w:szCs w:val="22"/>
        </w:rPr>
        <w:t>Group</w:t>
      </w:r>
      <w:r w:rsidR="004800B5" w:rsidRPr="007540D9">
        <w:rPr>
          <w:rFonts w:cs="Arial"/>
          <w:sz w:val="22"/>
          <w:szCs w:val="22"/>
        </w:rPr>
        <w:t xml:space="preserve"> remains committed to a sale.</w:t>
      </w:r>
    </w:p>
    <w:p w14:paraId="5EA73834" w14:textId="77777777" w:rsidR="004800B5" w:rsidRPr="007540D9" w:rsidRDefault="004800B5" w:rsidP="002206F9">
      <w:pPr>
        <w:rPr>
          <w:rFonts w:cs="Arial"/>
          <w:sz w:val="22"/>
          <w:szCs w:val="22"/>
        </w:rPr>
      </w:pPr>
    </w:p>
    <w:p w14:paraId="5EA73835" w14:textId="77777777" w:rsidR="004800B5" w:rsidRPr="00FA7C6C" w:rsidRDefault="004800B5" w:rsidP="00FA7C6C">
      <w:pPr>
        <w:pStyle w:val="Heading2"/>
        <w:rPr>
          <w:sz w:val="22"/>
          <w:szCs w:val="22"/>
        </w:rPr>
      </w:pPr>
      <w:bookmarkStart w:id="201" w:name="_Toc430613054"/>
      <w:bookmarkStart w:id="202" w:name="_Toc430613360"/>
      <w:bookmarkStart w:id="203" w:name="_Toc430613731"/>
      <w:r w:rsidRPr="00FA7C6C">
        <w:rPr>
          <w:sz w:val="22"/>
          <w:szCs w:val="22"/>
        </w:rPr>
        <w:t>3.</w:t>
      </w:r>
      <w:r w:rsidR="00B9497D" w:rsidRPr="00FA7C6C">
        <w:rPr>
          <w:sz w:val="22"/>
          <w:szCs w:val="22"/>
        </w:rPr>
        <w:t>1</w:t>
      </w:r>
      <w:r w:rsidR="007D5FF9" w:rsidRPr="00FA7C6C">
        <w:rPr>
          <w:sz w:val="22"/>
          <w:szCs w:val="22"/>
        </w:rPr>
        <w:t>0</w:t>
      </w:r>
      <w:r w:rsidRPr="00FA7C6C">
        <w:rPr>
          <w:sz w:val="22"/>
          <w:szCs w:val="22"/>
        </w:rPr>
        <w:t xml:space="preserve"> Intangible assets</w:t>
      </w:r>
      <w:bookmarkEnd w:id="201"/>
      <w:bookmarkEnd w:id="202"/>
      <w:bookmarkEnd w:id="203"/>
    </w:p>
    <w:p w14:paraId="5EA73836" w14:textId="77777777" w:rsidR="004800B5" w:rsidRPr="007540D9" w:rsidRDefault="004800B5" w:rsidP="002206F9">
      <w:pPr>
        <w:rPr>
          <w:rFonts w:cs="Arial"/>
          <w:sz w:val="22"/>
          <w:szCs w:val="22"/>
        </w:rPr>
      </w:pPr>
    </w:p>
    <w:p w14:paraId="5EA73837" w14:textId="77777777" w:rsidR="004800B5" w:rsidRPr="007540D9" w:rsidRDefault="004800B5" w:rsidP="002206F9">
      <w:pPr>
        <w:rPr>
          <w:rFonts w:cs="Arial"/>
          <w:sz w:val="22"/>
          <w:szCs w:val="22"/>
        </w:rPr>
      </w:pPr>
      <w:r w:rsidRPr="007540D9">
        <w:rPr>
          <w:rFonts w:cs="Arial"/>
          <w:sz w:val="22"/>
          <w:szCs w:val="22"/>
        </w:rPr>
        <w:t>Intangible assets are recorded at cost less accumulated amortisation and impairment.  Amortisation is charged on a straight-line basis over their useful lives as follows:</w:t>
      </w:r>
    </w:p>
    <w:p w14:paraId="5EA73838" w14:textId="77777777" w:rsidR="004800B5" w:rsidRPr="007540D9" w:rsidRDefault="004800B5" w:rsidP="002206F9">
      <w:pPr>
        <w:rPr>
          <w:rFonts w:cs="Arial"/>
          <w:sz w:val="22"/>
          <w:szCs w:val="22"/>
        </w:rPr>
      </w:pPr>
    </w:p>
    <w:p w14:paraId="5EA73839" w14:textId="77777777" w:rsidR="004800B5" w:rsidRPr="007540D9" w:rsidRDefault="004800B5" w:rsidP="00F3465C">
      <w:pPr>
        <w:rPr>
          <w:rFonts w:cs="Arial"/>
          <w:sz w:val="22"/>
          <w:szCs w:val="22"/>
        </w:rPr>
      </w:pPr>
      <w:r w:rsidRPr="007540D9">
        <w:rPr>
          <w:rFonts w:cs="Arial"/>
          <w:sz w:val="22"/>
          <w:szCs w:val="22"/>
        </w:rPr>
        <w:t>Audio Masters 5 years</w:t>
      </w:r>
      <w:r w:rsidR="00C17AB1" w:rsidRPr="007540D9">
        <w:rPr>
          <w:rFonts w:cs="Arial"/>
          <w:sz w:val="22"/>
          <w:szCs w:val="22"/>
        </w:rPr>
        <w:t xml:space="preserve"> </w:t>
      </w:r>
    </w:p>
    <w:p w14:paraId="5EA7383A" w14:textId="77777777" w:rsidR="004800B5" w:rsidRPr="007540D9" w:rsidRDefault="004800B5" w:rsidP="00F3465C">
      <w:pPr>
        <w:rPr>
          <w:rFonts w:cs="Arial"/>
          <w:sz w:val="22"/>
          <w:szCs w:val="22"/>
        </w:rPr>
      </w:pPr>
      <w:r w:rsidRPr="007540D9">
        <w:rPr>
          <w:rFonts w:cs="Arial"/>
          <w:sz w:val="22"/>
          <w:szCs w:val="22"/>
        </w:rPr>
        <w:t>Computer Software 3 years</w:t>
      </w:r>
    </w:p>
    <w:p w14:paraId="5EA7383B" w14:textId="77777777" w:rsidR="004800B5" w:rsidRPr="007540D9" w:rsidRDefault="004800B5" w:rsidP="002206F9">
      <w:pPr>
        <w:ind w:left="748"/>
        <w:rPr>
          <w:rFonts w:cs="Arial"/>
          <w:sz w:val="22"/>
          <w:szCs w:val="22"/>
        </w:rPr>
      </w:pPr>
    </w:p>
    <w:p w14:paraId="5EA7383C" w14:textId="77777777" w:rsidR="004800B5" w:rsidRPr="00FA7C6C" w:rsidRDefault="004800B5" w:rsidP="00FA7C6C">
      <w:pPr>
        <w:pStyle w:val="Heading2"/>
        <w:rPr>
          <w:sz w:val="22"/>
          <w:szCs w:val="22"/>
        </w:rPr>
      </w:pPr>
      <w:bookmarkStart w:id="204" w:name="_Toc430613055"/>
      <w:bookmarkStart w:id="205" w:name="_Toc430613361"/>
      <w:bookmarkStart w:id="206" w:name="_Toc430613732"/>
      <w:r w:rsidRPr="00FA7C6C">
        <w:rPr>
          <w:sz w:val="22"/>
          <w:szCs w:val="22"/>
        </w:rPr>
        <w:t>3.1</w:t>
      </w:r>
      <w:r w:rsidR="007D5FF9" w:rsidRPr="00FA7C6C">
        <w:rPr>
          <w:sz w:val="22"/>
          <w:szCs w:val="22"/>
        </w:rPr>
        <w:t>1</w:t>
      </w:r>
      <w:r w:rsidRPr="00FA7C6C">
        <w:rPr>
          <w:sz w:val="22"/>
          <w:szCs w:val="22"/>
        </w:rPr>
        <w:t xml:space="preserve"> Inventories</w:t>
      </w:r>
      <w:bookmarkEnd w:id="204"/>
      <w:bookmarkEnd w:id="205"/>
      <w:bookmarkEnd w:id="206"/>
    </w:p>
    <w:p w14:paraId="5EA7383D" w14:textId="77777777" w:rsidR="004800B5" w:rsidRPr="007540D9" w:rsidRDefault="004800B5" w:rsidP="002206F9">
      <w:pPr>
        <w:rPr>
          <w:rFonts w:cs="Arial"/>
          <w:sz w:val="22"/>
          <w:szCs w:val="22"/>
        </w:rPr>
      </w:pPr>
    </w:p>
    <w:p w14:paraId="5EA7383E" w14:textId="77777777" w:rsidR="004800B5" w:rsidRPr="007540D9" w:rsidRDefault="004800B5" w:rsidP="002206F9">
      <w:pPr>
        <w:rPr>
          <w:rFonts w:cs="Arial"/>
          <w:sz w:val="22"/>
          <w:szCs w:val="22"/>
        </w:rPr>
      </w:pPr>
      <w:r w:rsidRPr="007540D9">
        <w:rPr>
          <w:rFonts w:cs="Arial"/>
          <w:sz w:val="22"/>
          <w:szCs w:val="22"/>
        </w:rPr>
        <w:t>Inventories are stated at the lower of cost and net realisable value. Costs are assigned to inventory on hand by the method most appropriate to each particular class of inventory, with the majority being valued on a weighted average basis. Manufactured goods include an appropriate portion of fixed and variable overhead expenses. Net realisable value represents the estimated selling price less all estimated costs of completion and costs necessary to make the sale.</w:t>
      </w:r>
    </w:p>
    <w:p w14:paraId="5EA7383F" w14:textId="77777777" w:rsidR="004800B5" w:rsidRPr="007540D9" w:rsidRDefault="004800B5" w:rsidP="002206F9">
      <w:pPr>
        <w:rPr>
          <w:rFonts w:cs="Arial"/>
          <w:sz w:val="22"/>
          <w:szCs w:val="22"/>
        </w:rPr>
      </w:pPr>
    </w:p>
    <w:p w14:paraId="5EA73840" w14:textId="77777777" w:rsidR="004800B5" w:rsidRPr="00FA7C6C" w:rsidRDefault="004800B5" w:rsidP="00FA7C6C">
      <w:pPr>
        <w:pStyle w:val="Heading2"/>
        <w:rPr>
          <w:sz w:val="22"/>
          <w:szCs w:val="22"/>
        </w:rPr>
      </w:pPr>
      <w:bookmarkStart w:id="207" w:name="_Toc430613056"/>
      <w:bookmarkStart w:id="208" w:name="_Toc430613362"/>
      <w:bookmarkStart w:id="209" w:name="_Toc430613733"/>
      <w:r w:rsidRPr="00FA7C6C">
        <w:rPr>
          <w:sz w:val="22"/>
          <w:szCs w:val="22"/>
        </w:rPr>
        <w:t>3.1</w:t>
      </w:r>
      <w:r w:rsidR="007D5FF9" w:rsidRPr="00FA7C6C">
        <w:rPr>
          <w:sz w:val="22"/>
          <w:szCs w:val="22"/>
        </w:rPr>
        <w:t>2</w:t>
      </w:r>
      <w:r w:rsidRPr="00FA7C6C">
        <w:rPr>
          <w:sz w:val="22"/>
          <w:szCs w:val="22"/>
        </w:rPr>
        <w:t xml:space="preserve"> Investment property</w:t>
      </w:r>
      <w:bookmarkEnd w:id="207"/>
      <w:bookmarkEnd w:id="208"/>
      <w:bookmarkEnd w:id="209"/>
    </w:p>
    <w:p w14:paraId="5EA73841" w14:textId="77777777" w:rsidR="004800B5" w:rsidRPr="007540D9" w:rsidRDefault="004800B5" w:rsidP="002206F9">
      <w:pPr>
        <w:rPr>
          <w:rFonts w:cs="Arial"/>
          <w:sz w:val="22"/>
          <w:szCs w:val="22"/>
        </w:rPr>
      </w:pPr>
    </w:p>
    <w:p w14:paraId="5EA73842" w14:textId="77777777" w:rsidR="004800B5" w:rsidRPr="007540D9" w:rsidRDefault="004800B5" w:rsidP="002206F9">
      <w:pPr>
        <w:rPr>
          <w:rFonts w:cs="Arial"/>
          <w:sz w:val="22"/>
          <w:szCs w:val="22"/>
        </w:rPr>
      </w:pPr>
      <w:r w:rsidRPr="007540D9">
        <w:rPr>
          <w:rFonts w:cs="Arial"/>
          <w:sz w:val="22"/>
          <w:szCs w:val="22"/>
        </w:rPr>
        <w:t xml:space="preserve">Investment property, which is property held to earn rentals and/or for capital appreciation, is measured at cost, including transaction costs, less accumulated depreciation and impairment. </w:t>
      </w:r>
    </w:p>
    <w:p w14:paraId="5EA73843" w14:textId="77777777" w:rsidR="004800B5" w:rsidRPr="007540D9" w:rsidRDefault="004800B5" w:rsidP="002206F9">
      <w:pPr>
        <w:rPr>
          <w:rFonts w:cs="Arial"/>
          <w:sz w:val="22"/>
          <w:szCs w:val="22"/>
        </w:rPr>
      </w:pPr>
    </w:p>
    <w:p w14:paraId="5EA73844" w14:textId="77777777" w:rsidR="004800B5" w:rsidRPr="007540D9" w:rsidRDefault="004800B5" w:rsidP="002206F9">
      <w:pPr>
        <w:rPr>
          <w:rFonts w:cs="Arial"/>
          <w:sz w:val="22"/>
          <w:szCs w:val="22"/>
        </w:rPr>
      </w:pPr>
      <w:r w:rsidRPr="007540D9">
        <w:rPr>
          <w:rFonts w:cs="Arial"/>
          <w:sz w:val="22"/>
          <w:szCs w:val="22"/>
        </w:rPr>
        <w:t xml:space="preserve">Depreciation is provided on investment property, including freehold buildings but excluding land. Depreciation is calculated on a straight line basis so as to write off the net cost of each asset over its expected useful life </w:t>
      </w:r>
      <w:r w:rsidR="00F632C4" w:rsidRPr="007540D9">
        <w:rPr>
          <w:rFonts w:cs="Arial"/>
          <w:sz w:val="22"/>
          <w:szCs w:val="22"/>
        </w:rPr>
        <w:t xml:space="preserve">to </w:t>
      </w:r>
      <w:r w:rsidRPr="007540D9">
        <w:rPr>
          <w:rFonts w:cs="Arial"/>
          <w:sz w:val="22"/>
          <w:szCs w:val="22"/>
        </w:rPr>
        <w:t>its estimated residual value.</w:t>
      </w:r>
    </w:p>
    <w:p w14:paraId="5EA73845" w14:textId="77777777" w:rsidR="004800B5" w:rsidRPr="007540D9" w:rsidRDefault="004800B5" w:rsidP="00BC61D4">
      <w:pPr>
        <w:jc w:val="both"/>
        <w:rPr>
          <w:rFonts w:cs="Arial"/>
          <w:sz w:val="22"/>
          <w:szCs w:val="22"/>
        </w:rPr>
      </w:pPr>
    </w:p>
    <w:p w14:paraId="5EA73846" w14:textId="77777777" w:rsidR="004800B5" w:rsidRPr="00FA7C6C" w:rsidRDefault="00834469" w:rsidP="00FA7C6C">
      <w:pPr>
        <w:pStyle w:val="Heading2"/>
        <w:rPr>
          <w:sz w:val="22"/>
          <w:szCs w:val="22"/>
        </w:rPr>
      </w:pPr>
      <w:r>
        <w:br w:type="page"/>
      </w:r>
      <w:bookmarkStart w:id="210" w:name="_Toc430613057"/>
      <w:bookmarkStart w:id="211" w:name="_Toc430613363"/>
      <w:bookmarkStart w:id="212" w:name="_Toc430613734"/>
      <w:r w:rsidR="004800B5" w:rsidRPr="00FA7C6C">
        <w:rPr>
          <w:sz w:val="22"/>
          <w:szCs w:val="22"/>
        </w:rPr>
        <w:lastRenderedPageBreak/>
        <w:t>3.1</w:t>
      </w:r>
      <w:r w:rsidR="007D5FF9" w:rsidRPr="00FA7C6C">
        <w:rPr>
          <w:sz w:val="22"/>
          <w:szCs w:val="22"/>
        </w:rPr>
        <w:t>3</w:t>
      </w:r>
      <w:r w:rsidR="004800B5" w:rsidRPr="00FA7C6C">
        <w:rPr>
          <w:sz w:val="22"/>
          <w:szCs w:val="22"/>
        </w:rPr>
        <w:t xml:space="preserve"> Property, plant and equipment</w:t>
      </w:r>
      <w:bookmarkEnd w:id="210"/>
      <w:bookmarkEnd w:id="211"/>
      <w:bookmarkEnd w:id="212"/>
    </w:p>
    <w:p w14:paraId="5EA73847" w14:textId="77777777" w:rsidR="004800B5" w:rsidRPr="007540D9" w:rsidRDefault="004800B5" w:rsidP="002206F9">
      <w:pPr>
        <w:rPr>
          <w:rFonts w:cs="Arial"/>
          <w:sz w:val="22"/>
          <w:szCs w:val="22"/>
        </w:rPr>
      </w:pPr>
    </w:p>
    <w:p w14:paraId="5EA73848" w14:textId="77777777" w:rsidR="004800B5" w:rsidRPr="007540D9" w:rsidRDefault="004800B5" w:rsidP="002206F9">
      <w:pPr>
        <w:rPr>
          <w:rFonts w:cs="Arial"/>
          <w:sz w:val="22"/>
          <w:szCs w:val="22"/>
        </w:rPr>
      </w:pPr>
      <w:r w:rsidRPr="007540D9">
        <w:rPr>
          <w:rFonts w:cs="Arial"/>
          <w:sz w:val="22"/>
          <w:szCs w:val="22"/>
        </w:rPr>
        <w:t xml:space="preserve">Land is </w:t>
      </w:r>
      <w:r w:rsidR="009D390E" w:rsidRPr="007540D9">
        <w:rPr>
          <w:rFonts w:cs="Arial"/>
          <w:sz w:val="22"/>
          <w:szCs w:val="22"/>
        </w:rPr>
        <w:t>valued</w:t>
      </w:r>
      <w:r w:rsidRPr="007540D9">
        <w:rPr>
          <w:rFonts w:cs="Arial"/>
          <w:sz w:val="22"/>
          <w:szCs w:val="22"/>
        </w:rPr>
        <w:t xml:space="preserve"> at cost</w:t>
      </w:r>
      <w:r w:rsidR="006B3267" w:rsidRPr="007540D9">
        <w:rPr>
          <w:rFonts w:cs="Arial"/>
          <w:sz w:val="22"/>
          <w:szCs w:val="22"/>
        </w:rPr>
        <w:t xml:space="preserve"> less accumulated impairment</w:t>
      </w:r>
      <w:r w:rsidRPr="007540D9">
        <w:rPr>
          <w:rFonts w:cs="Arial"/>
          <w:sz w:val="22"/>
          <w:szCs w:val="22"/>
        </w:rPr>
        <w:t xml:space="preserve">. Buildings, leasehold improvements, plant and equipment, motor vehicles and computers are stated at cost less accumulated depreciation and accumulated impairment.  Cost includes expenditure that is directly attributable to the acquisition of the item. </w:t>
      </w:r>
    </w:p>
    <w:p w14:paraId="5EA73849" w14:textId="77777777" w:rsidR="004800B5" w:rsidRPr="007540D9" w:rsidRDefault="004800B5" w:rsidP="002206F9">
      <w:pPr>
        <w:rPr>
          <w:rFonts w:cs="Arial"/>
          <w:sz w:val="22"/>
          <w:szCs w:val="22"/>
        </w:rPr>
      </w:pPr>
    </w:p>
    <w:p w14:paraId="5EA7384A" w14:textId="77777777" w:rsidR="004800B5" w:rsidRDefault="004800B5" w:rsidP="002206F9">
      <w:pPr>
        <w:rPr>
          <w:rFonts w:cs="Arial"/>
          <w:sz w:val="22"/>
          <w:szCs w:val="22"/>
        </w:rPr>
      </w:pPr>
      <w:r w:rsidRPr="007540D9">
        <w:rPr>
          <w:rFonts w:cs="Arial"/>
          <w:sz w:val="22"/>
          <w:szCs w:val="22"/>
        </w:rPr>
        <w:t xml:space="preserve">Depreciation is provided on property, plant and equipment, including freehold buildings but excluding land. Depreciation is calculated on a straight line basis so as to write off the cost each asset over its expected useful life to its estimated residual value. Leasehold improvements are depreciated over the period of the lease or estimated useful life, whichever is the shorter, using the straight line method. The estimated useful lives, residual values and depreciation method are reviewed at the end of each annual reporting period, with the effect of any changes recognised on a prospective basis.  </w:t>
      </w:r>
    </w:p>
    <w:p w14:paraId="5EA7384B" w14:textId="77777777" w:rsidR="00A76214" w:rsidRPr="007540D9" w:rsidRDefault="00A76214" w:rsidP="002206F9">
      <w:pPr>
        <w:rPr>
          <w:rFonts w:cs="Arial"/>
          <w:sz w:val="22"/>
          <w:szCs w:val="22"/>
        </w:rPr>
      </w:pPr>
    </w:p>
    <w:p w14:paraId="5EA7384C" w14:textId="77777777" w:rsidR="004800B5" w:rsidRPr="007540D9" w:rsidRDefault="004800B5" w:rsidP="002206F9">
      <w:pPr>
        <w:rPr>
          <w:rFonts w:cs="Arial"/>
          <w:sz w:val="22"/>
          <w:szCs w:val="22"/>
        </w:rPr>
      </w:pPr>
      <w:r w:rsidRPr="007540D9">
        <w:rPr>
          <w:rFonts w:cs="Arial"/>
          <w:sz w:val="22"/>
          <w:szCs w:val="22"/>
        </w:rPr>
        <w:t>The following rates are used in the calculation of depreciation:</w:t>
      </w:r>
    </w:p>
    <w:p w14:paraId="5EA7384D" w14:textId="77777777" w:rsidR="004800B5" w:rsidRPr="007540D9" w:rsidRDefault="004800B5" w:rsidP="002206F9">
      <w:pPr>
        <w:rPr>
          <w:rFonts w:cs="Arial"/>
          <w:sz w:val="22"/>
          <w:szCs w:val="22"/>
          <w:highlight w:val="yellow"/>
        </w:rPr>
      </w:pPr>
    </w:p>
    <w:tbl>
      <w:tblPr>
        <w:tblStyle w:val="TableGrid"/>
        <w:tblW w:w="0" w:type="auto"/>
        <w:tblLook w:val="04A0" w:firstRow="1" w:lastRow="0" w:firstColumn="1" w:lastColumn="0" w:noHBand="0" w:noVBand="1"/>
      </w:tblPr>
      <w:tblGrid>
        <w:gridCol w:w="4223"/>
        <w:gridCol w:w="4224"/>
      </w:tblGrid>
      <w:tr w:rsidR="005C5EEC" w:rsidRPr="00BF3629" w14:paraId="28F346D8" w14:textId="77777777" w:rsidTr="005C5EEC">
        <w:trPr>
          <w:trHeight w:val="257"/>
          <w:tblHeader/>
        </w:trPr>
        <w:tc>
          <w:tcPr>
            <w:tcW w:w="4223" w:type="dxa"/>
          </w:tcPr>
          <w:p w14:paraId="5AD10C63" w14:textId="17F19E4B" w:rsidR="005C5EEC" w:rsidRPr="00BF3629" w:rsidRDefault="005C5EEC" w:rsidP="008E4F55">
            <w:pPr>
              <w:rPr>
                <w:rFonts w:cs="Arial"/>
                <w:sz w:val="22"/>
                <w:szCs w:val="22"/>
              </w:rPr>
            </w:pPr>
            <w:bookmarkStart w:id="213" w:name="Table_i"/>
            <w:bookmarkEnd w:id="213"/>
            <w:r>
              <w:rPr>
                <w:rFonts w:cs="Arial"/>
                <w:sz w:val="22"/>
                <w:szCs w:val="22"/>
              </w:rPr>
              <w:t>Asset</w:t>
            </w:r>
          </w:p>
        </w:tc>
        <w:tc>
          <w:tcPr>
            <w:tcW w:w="4224" w:type="dxa"/>
          </w:tcPr>
          <w:p w14:paraId="20D510D4" w14:textId="2B526436" w:rsidR="005C5EEC" w:rsidRPr="00BF3629" w:rsidRDefault="005C5EEC" w:rsidP="008E4F55">
            <w:pPr>
              <w:rPr>
                <w:rFonts w:cs="Arial"/>
                <w:sz w:val="22"/>
                <w:szCs w:val="22"/>
              </w:rPr>
            </w:pPr>
            <w:r>
              <w:rPr>
                <w:rFonts w:cs="Arial"/>
                <w:sz w:val="22"/>
                <w:szCs w:val="22"/>
              </w:rPr>
              <w:t>Rate</w:t>
            </w:r>
          </w:p>
        </w:tc>
      </w:tr>
      <w:tr w:rsidR="00BF3629" w:rsidRPr="00BF3629" w14:paraId="1FE11B85" w14:textId="77777777" w:rsidTr="005C5EEC">
        <w:trPr>
          <w:trHeight w:val="257"/>
        </w:trPr>
        <w:tc>
          <w:tcPr>
            <w:tcW w:w="4223" w:type="dxa"/>
          </w:tcPr>
          <w:p w14:paraId="397924EF" w14:textId="354350BB" w:rsidR="00BF3629" w:rsidRPr="00BF3629" w:rsidRDefault="00BF3629" w:rsidP="008E4F55">
            <w:pPr>
              <w:rPr>
                <w:rFonts w:cs="Arial"/>
                <w:sz w:val="22"/>
                <w:szCs w:val="22"/>
              </w:rPr>
            </w:pPr>
            <w:bookmarkStart w:id="214" w:name="Table_"/>
            <w:bookmarkEnd w:id="214"/>
            <w:r w:rsidRPr="00BF3629">
              <w:rPr>
                <w:rFonts w:cs="Arial"/>
                <w:sz w:val="22"/>
                <w:szCs w:val="22"/>
              </w:rPr>
              <w:t>Buildings</w:t>
            </w:r>
          </w:p>
        </w:tc>
        <w:tc>
          <w:tcPr>
            <w:tcW w:w="4224" w:type="dxa"/>
          </w:tcPr>
          <w:p w14:paraId="778AB8D1" w14:textId="6C2FE678" w:rsidR="00BF3629" w:rsidRPr="00BF3629" w:rsidRDefault="00BF3629" w:rsidP="008E4F55">
            <w:pPr>
              <w:rPr>
                <w:rFonts w:cs="Arial"/>
                <w:sz w:val="22"/>
                <w:szCs w:val="22"/>
              </w:rPr>
            </w:pPr>
            <w:r w:rsidRPr="00BF3629">
              <w:rPr>
                <w:rFonts w:cs="Arial"/>
                <w:sz w:val="22"/>
                <w:szCs w:val="22"/>
              </w:rPr>
              <w:t>2%</w:t>
            </w:r>
          </w:p>
        </w:tc>
      </w:tr>
      <w:tr w:rsidR="00BF3629" w:rsidRPr="00BF3629" w14:paraId="208EBEB5" w14:textId="77777777" w:rsidTr="005C5EEC">
        <w:trPr>
          <w:trHeight w:val="273"/>
        </w:trPr>
        <w:tc>
          <w:tcPr>
            <w:tcW w:w="4223" w:type="dxa"/>
          </w:tcPr>
          <w:p w14:paraId="19E97EE2" w14:textId="6D51AD49" w:rsidR="00BF3629" w:rsidRPr="00BF3629" w:rsidRDefault="00BF3629" w:rsidP="008E4F55">
            <w:pPr>
              <w:rPr>
                <w:rFonts w:cs="Arial"/>
                <w:sz w:val="22"/>
                <w:szCs w:val="22"/>
              </w:rPr>
            </w:pPr>
            <w:r w:rsidRPr="00BF3629">
              <w:rPr>
                <w:rFonts w:cs="Arial"/>
                <w:sz w:val="22"/>
                <w:szCs w:val="22"/>
              </w:rPr>
              <w:t>Leasehold Improvements</w:t>
            </w:r>
          </w:p>
        </w:tc>
        <w:tc>
          <w:tcPr>
            <w:tcW w:w="4224" w:type="dxa"/>
          </w:tcPr>
          <w:p w14:paraId="2DB5551B" w14:textId="50C9E3AB" w:rsidR="00BF3629" w:rsidRPr="00BF3629" w:rsidRDefault="00BF3629" w:rsidP="008E4F55">
            <w:pPr>
              <w:rPr>
                <w:rFonts w:cs="Arial"/>
                <w:sz w:val="22"/>
                <w:szCs w:val="22"/>
              </w:rPr>
            </w:pPr>
            <w:r w:rsidRPr="00BF3629">
              <w:rPr>
                <w:rFonts w:cs="Arial"/>
                <w:sz w:val="22"/>
                <w:szCs w:val="22"/>
              </w:rPr>
              <w:t>20%</w:t>
            </w:r>
          </w:p>
        </w:tc>
      </w:tr>
      <w:tr w:rsidR="00BF3629" w:rsidRPr="00BF3629" w14:paraId="2961975A" w14:textId="77777777" w:rsidTr="005C5EEC">
        <w:trPr>
          <w:trHeight w:val="257"/>
        </w:trPr>
        <w:tc>
          <w:tcPr>
            <w:tcW w:w="4223" w:type="dxa"/>
          </w:tcPr>
          <w:p w14:paraId="1F36EDB0" w14:textId="52AA6117" w:rsidR="00BF3629" w:rsidRPr="00BF3629" w:rsidRDefault="00BF3629" w:rsidP="008E4F55">
            <w:pPr>
              <w:rPr>
                <w:rFonts w:cs="Arial"/>
                <w:sz w:val="22"/>
                <w:szCs w:val="22"/>
              </w:rPr>
            </w:pPr>
            <w:r w:rsidRPr="00BF3629">
              <w:rPr>
                <w:rFonts w:cs="Arial"/>
                <w:sz w:val="22"/>
                <w:szCs w:val="22"/>
              </w:rPr>
              <w:t>Computer Equipment</w:t>
            </w:r>
          </w:p>
        </w:tc>
        <w:tc>
          <w:tcPr>
            <w:tcW w:w="4224" w:type="dxa"/>
          </w:tcPr>
          <w:p w14:paraId="19493ACD" w14:textId="3CA63EF4" w:rsidR="00BF3629" w:rsidRPr="00BF3629" w:rsidRDefault="00BF3629" w:rsidP="008E4F55">
            <w:pPr>
              <w:rPr>
                <w:rFonts w:cs="Arial"/>
                <w:sz w:val="22"/>
                <w:szCs w:val="22"/>
              </w:rPr>
            </w:pPr>
            <w:r w:rsidRPr="00BF3629">
              <w:rPr>
                <w:rFonts w:cs="Arial"/>
                <w:sz w:val="22"/>
                <w:szCs w:val="22"/>
              </w:rPr>
              <w:t>3 years</w:t>
            </w:r>
          </w:p>
        </w:tc>
      </w:tr>
      <w:tr w:rsidR="00BF3629" w:rsidRPr="00BF3629" w14:paraId="60D1BE15" w14:textId="77777777" w:rsidTr="005C5EEC">
        <w:trPr>
          <w:trHeight w:val="273"/>
        </w:trPr>
        <w:tc>
          <w:tcPr>
            <w:tcW w:w="4223" w:type="dxa"/>
          </w:tcPr>
          <w:p w14:paraId="1FF8191C" w14:textId="34BAE37A" w:rsidR="00BF3629" w:rsidRPr="00BF3629" w:rsidRDefault="00BF3629" w:rsidP="008E4F55">
            <w:pPr>
              <w:rPr>
                <w:rFonts w:cs="Arial"/>
                <w:sz w:val="22"/>
                <w:szCs w:val="22"/>
              </w:rPr>
            </w:pPr>
            <w:r w:rsidRPr="00BF3629">
              <w:rPr>
                <w:rFonts w:cs="Arial"/>
                <w:sz w:val="22"/>
                <w:szCs w:val="22"/>
              </w:rPr>
              <w:t>Furniture, Plant and Equipment</w:t>
            </w:r>
          </w:p>
        </w:tc>
        <w:tc>
          <w:tcPr>
            <w:tcW w:w="4224" w:type="dxa"/>
          </w:tcPr>
          <w:p w14:paraId="0BE8109B" w14:textId="556C73E0" w:rsidR="00BF3629" w:rsidRPr="00BF3629" w:rsidRDefault="00BF3629" w:rsidP="008E4F55">
            <w:pPr>
              <w:rPr>
                <w:rFonts w:cs="Arial"/>
                <w:sz w:val="22"/>
                <w:szCs w:val="22"/>
              </w:rPr>
            </w:pPr>
            <w:r w:rsidRPr="00BF3629">
              <w:rPr>
                <w:rFonts w:cs="Arial"/>
                <w:sz w:val="22"/>
                <w:szCs w:val="22"/>
              </w:rPr>
              <w:t>10-20%</w:t>
            </w:r>
          </w:p>
        </w:tc>
      </w:tr>
      <w:tr w:rsidR="00BF3629" w:rsidRPr="00BF3629" w14:paraId="7C673955" w14:textId="77777777" w:rsidTr="005C5EEC">
        <w:trPr>
          <w:trHeight w:val="273"/>
        </w:trPr>
        <w:tc>
          <w:tcPr>
            <w:tcW w:w="4223" w:type="dxa"/>
          </w:tcPr>
          <w:p w14:paraId="6976192C" w14:textId="301F4FCA" w:rsidR="00BF3629" w:rsidRPr="00BF3629" w:rsidRDefault="00BF3629" w:rsidP="008E4F55">
            <w:pPr>
              <w:rPr>
                <w:rFonts w:cs="Arial"/>
                <w:sz w:val="22"/>
                <w:szCs w:val="22"/>
              </w:rPr>
            </w:pPr>
            <w:r w:rsidRPr="00BF3629">
              <w:rPr>
                <w:rFonts w:cs="Arial"/>
                <w:sz w:val="22"/>
                <w:szCs w:val="22"/>
              </w:rPr>
              <w:t>Motor Vehicles</w:t>
            </w:r>
          </w:p>
        </w:tc>
        <w:tc>
          <w:tcPr>
            <w:tcW w:w="4224" w:type="dxa"/>
          </w:tcPr>
          <w:p w14:paraId="72B09C40" w14:textId="3BD11B9D" w:rsidR="00BF3629" w:rsidRPr="00BF3629" w:rsidRDefault="00BF3629" w:rsidP="008E4F55">
            <w:pPr>
              <w:rPr>
                <w:rFonts w:cs="Arial"/>
                <w:sz w:val="22"/>
                <w:szCs w:val="22"/>
              </w:rPr>
            </w:pPr>
            <w:r w:rsidRPr="00BF3629">
              <w:rPr>
                <w:rFonts w:cs="Arial"/>
                <w:sz w:val="22"/>
                <w:szCs w:val="22"/>
              </w:rPr>
              <w:t xml:space="preserve">15% </w:t>
            </w:r>
          </w:p>
        </w:tc>
      </w:tr>
    </w:tbl>
    <w:p w14:paraId="5EA73853" w14:textId="77777777" w:rsidR="00A344B4" w:rsidRPr="007540D9" w:rsidRDefault="00A344B4" w:rsidP="002206F9">
      <w:pPr>
        <w:rPr>
          <w:rFonts w:cs="Arial"/>
          <w:sz w:val="22"/>
          <w:szCs w:val="22"/>
          <w:highlight w:val="yellow"/>
        </w:rPr>
      </w:pPr>
    </w:p>
    <w:p w14:paraId="5EA73854" w14:textId="77777777" w:rsidR="00B9497D" w:rsidRPr="007540D9" w:rsidRDefault="002F0100" w:rsidP="002206F9">
      <w:pPr>
        <w:rPr>
          <w:rFonts w:cs="Arial"/>
          <w:sz w:val="22"/>
          <w:szCs w:val="22"/>
        </w:rPr>
      </w:pPr>
      <w:r w:rsidRPr="007540D9">
        <w:rPr>
          <w:rFonts w:cs="Arial"/>
          <w:sz w:val="22"/>
          <w:szCs w:val="22"/>
        </w:rPr>
        <w:t>Leasehold Improvements and a</w:t>
      </w:r>
      <w:r w:rsidR="00B9497D" w:rsidRPr="007540D9">
        <w:rPr>
          <w:rFonts w:cs="Arial"/>
          <w:sz w:val="22"/>
          <w:szCs w:val="22"/>
        </w:rPr>
        <w:t>ssets held under finance leases are depreciated over their expected useful lives on the same basis as owned assets or, where shorter, the term of the relevant lease.</w:t>
      </w:r>
    </w:p>
    <w:p w14:paraId="5EA73855" w14:textId="77777777" w:rsidR="00B9497D" w:rsidRPr="007540D9" w:rsidRDefault="00B9497D" w:rsidP="002206F9">
      <w:pPr>
        <w:rPr>
          <w:rFonts w:cs="Arial"/>
          <w:sz w:val="22"/>
          <w:szCs w:val="22"/>
        </w:rPr>
      </w:pPr>
    </w:p>
    <w:p w14:paraId="5EA73856" w14:textId="77777777" w:rsidR="004800B5" w:rsidRPr="007540D9" w:rsidRDefault="004800B5" w:rsidP="002206F9">
      <w:pPr>
        <w:rPr>
          <w:rFonts w:cs="Arial"/>
          <w:sz w:val="22"/>
          <w:szCs w:val="22"/>
        </w:rPr>
      </w:pPr>
      <w:r w:rsidRPr="007540D9">
        <w:rPr>
          <w:rFonts w:cs="Arial"/>
          <w:sz w:val="22"/>
          <w:szCs w:val="22"/>
        </w:rPr>
        <w:t xml:space="preserve">All repairs and maintenance are charged to the </w:t>
      </w:r>
      <w:r w:rsidR="00F10ACD">
        <w:rPr>
          <w:rFonts w:cs="Arial"/>
          <w:sz w:val="22"/>
          <w:szCs w:val="22"/>
        </w:rPr>
        <w:t xml:space="preserve">statement of profit or loss and other comprehensive income </w:t>
      </w:r>
      <w:r w:rsidRPr="007540D9">
        <w:rPr>
          <w:rFonts w:cs="Arial"/>
          <w:sz w:val="22"/>
          <w:szCs w:val="22"/>
        </w:rPr>
        <w:t>during the financial period in which they are incurred.</w:t>
      </w:r>
    </w:p>
    <w:p w14:paraId="5EA73857" w14:textId="77777777" w:rsidR="004800B5" w:rsidRPr="007540D9" w:rsidRDefault="004800B5" w:rsidP="002206F9">
      <w:pPr>
        <w:rPr>
          <w:rFonts w:cs="Arial"/>
          <w:sz w:val="22"/>
          <w:szCs w:val="22"/>
        </w:rPr>
      </w:pPr>
    </w:p>
    <w:p w14:paraId="5EA73858" w14:textId="2BE243A2" w:rsidR="00B9497D" w:rsidRPr="007540D9" w:rsidRDefault="00B9497D" w:rsidP="002206F9">
      <w:pPr>
        <w:rPr>
          <w:rFonts w:cs="Arial"/>
          <w:sz w:val="22"/>
          <w:szCs w:val="22"/>
        </w:rPr>
      </w:pPr>
      <w:r w:rsidRPr="007540D9">
        <w:rPr>
          <w:rFonts w:cs="Arial"/>
          <w:sz w:val="22"/>
          <w:szCs w:val="22"/>
        </w:rPr>
        <w:t>An item of property, plant and equipment is derecognised upon disposal or when no future economic benefits are expected to arise from the continued use of the asset.  Any gain or loss arising on the disposal or retirement of an item of property, plant and equipment is determined as the difference between the sale proceeds and the carrying amount of the asset and is recognised in profit or loss.</w:t>
      </w:r>
    </w:p>
    <w:p w14:paraId="5EA73859" w14:textId="77777777" w:rsidR="004800B5" w:rsidRPr="007540D9" w:rsidRDefault="004800B5" w:rsidP="002206F9">
      <w:pPr>
        <w:rPr>
          <w:rFonts w:cs="Arial"/>
          <w:sz w:val="22"/>
          <w:szCs w:val="22"/>
        </w:rPr>
      </w:pPr>
    </w:p>
    <w:p w14:paraId="5EA7385A" w14:textId="77777777" w:rsidR="004800B5" w:rsidRPr="00FA7C6C" w:rsidRDefault="004800B5" w:rsidP="00FA7C6C">
      <w:pPr>
        <w:pStyle w:val="Heading2"/>
        <w:rPr>
          <w:sz w:val="22"/>
          <w:szCs w:val="22"/>
        </w:rPr>
      </w:pPr>
      <w:bookmarkStart w:id="215" w:name="_Toc430613058"/>
      <w:bookmarkStart w:id="216" w:name="_Toc430613364"/>
      <w:bookmarkStart w:id="217" w:name="_Toc430613735"/>
      <w:r w:rsidRPr="00FA7C6C">
        <w:rPr>
          <w:sz w:val="22"/>
          <w:szCs w:val="22"/>
        </w:rPr>
        <w:t>3.1</w:t>
      </w:r>
      <w:r w:rsidR="007D5FF9" w:rsidRPr="00FA7C6C">
        <w:rPr>
          <w:sz w:val="22"/>
          <w:szCs w:val="22"/>
        </w:rPr>
        <w:t>4</w:t>
      </w:r>
      <w:r w:rsidRPr="00FA7C6C">
        <w:rPr>
          <w:sz w:val="22"/>
          <w:szCs w:val="22"/>
        </w:rPr>
        <w:t xml:space="preserve"> Leased assets</w:t>
      </w:r>
      <w:bookmarkEnd w:id="215"/>
      <w:bookmarkEnd w:id="216"/>
      <w:bookmarkEnd w:id="217"/>
    </w:p>
    <w:p w14:paraId="5EA7385B" w14:textId="77777777" w:rsidR="004800B5" w:rsidRPr="007540D9" w:rsidRDefault="004800B5" w:rsidP="002206F9">
      <w:pPr>
        <w:rPr>
          <w:rFonts w:cs="Arial"/>
          <w:sz w:val="22"/>
          <w:szCs w:val="22"/>
        </w:rPr>
      </w:pPr>
    </w:p>
    <w:p w14:paraId="5EA7385C" w14:textId="77777777" w:rsidR="004800B5" w:rsidRPr="007540D9" w:rsidRDefault="004800B5" w:rsidP="002206F9">
      <w:pPr>
        <w:rPr>
          <w:rFonts w:cs="Arial"/>
          <w:sz w:val="22"/>
          <w:szCs w:val="22"/>
        </w:rPr>
      </w:pPr>
      <w:r w:rsidRPr="007540D9">
        <w:rPr>
          <w:rFonts w:cs="Arial"/>
          <w:sz w:val="22"/>
          <w:szCs w:val="22"/>
        </w:rPr>
        <w:t>Leases are classified as finance leases when the terms of the lease transfer substantially all the risks and rewards incidental to ownership of the leased asset to the lessee. All other leases are classified as operating leases.</w:t>
      </w:r>
    </w:p>
    <w:p w14:paraId="5EA7385D" w14:textId="77777777" w:rsidR="004800B5" w:rsidRPr="007540D9" w:rsidRDefault="004800B5" w:rsidP="002206F9">
      <w:pPr>
        <w:rPr>
          <w:rFonts w:cs="Arial"/>
          <w:sz w:val="22"/>
          <w:szCs w:val="22"/>
          <w:highlight w:val="yellow"/>
        </w:rPr>
      </w:pPr>
    </w:p>
    <w:p w14:paraId="5EA7385E" w14:textId="77777777" w:rsidR="004800B5" w:rsidRPr="00FA7C6C" w:rsidRDefault="004800B5" w:rsidP="00FA7C6C">
      <w:pPr>
        <w:pStyle w:val="Heading3"/>
        <w:jc w:val="left"/>
        <w:rPr>
          <w:color w:val="auto"/>
          <w:sz w:val="22"/>
          <w:szCs w:val="22"/>
        </w:rPr>
      </w:pPr>
      <w:bookmarkStart w:id="218" w:name="_Toc430613059"/>
      <w:bookmarkStart w:id="219" w:name="_Toc430613365"/>
      <w:bookmarkStart w:id="220" w:name="_Toc430613736"/>
      <w:r w:rsidRPr="00FA7C6C">
        <w:rPr>
          <w:color w:val="auto"/>
          <w:sz w:val="22"/>
          <w:szCs w:val="22"/>
        </w:rPr>
        <w:t>3.1</w:t>
      </w:r>
      <w:r w:rsidR="007D5FF9" w:rsidRPr="00FA7C6C">
        <w:rPr>
          <w:color w:val="auto"/>
          <w:sz w:val="22"/>
          <w:szCs w:val="22"/>
        </w:rPr>
        <w:t>4</w:t>
      </w:r>
      <w:r w:rsidRPr="00FA7C6C">
        <w:rPr>
          <w:color w:val="auto"/>
          <w:sz w:val="22"/>
          <w:szCs w:val="22"/>
        </w:rPr>
        <w:t xml:space="preserve">.1 </w:t>
      </w:r>
      <w:r w:rsidR="00B9497D" w:rsidRPr="00FA7C6C">
        <w:rPr>
          <w:color w:val="auto"/>
          <w:sz w:val="22"/>
          <w:szCs w:val="22"/>
        </w:rPr>
        <w:t>The Group</w:t>
      </w:r>
      <w:r w:rsidRPr="00FA7C6C">
        <w:rPr>
          <w:color w:val="auto"/>
          <w:sz w:val="22"/>
          <w:szCs w:val="22"/>
        </w:rPr>
        <w:t xml:space="preserve"> as lessor</w:t>
      </w:r>
      <w:bookmarkEnd w:id="218"/>
      <w:bookmarkEnd w:id="219"/>
      <w:bookmarkEnd w:id="220"/>
    </w:p>
    <w:p w14:paraId="5EA7385F" w14:textId="77777777" w:rsidR="004800B5" w:rsidRPr="007540D9" w:rsidRDefault="004800B5" w:rsidP="002206F9">
      <w:pPr>
        <w:rPr>
          <w:rFonts w:cs="Arial"/>
          <w:sz w:val="22"/>
          <w:szCs w:val="22"/>
          <w:u w:val="single"/>
        </w:rPr>
      </w:pPr>
    </w:p>
    <w:p w14:paraId="5EA73860" w14:textId="77777777" w:rsidR="00B9497D" w:rsidRPr="007540D9" w:rsidRDefault="004800B5" w:rsidP="002206F9">
      <w:pPr>
        <w:rPr>
          <w:rFonts w:cs="Arial"/>
          <w:sz w:val="22"/>
          <w:szCs w:val="22"/>
        </w:rPr>
      </w:pPr>
      <w:r w:rsidRPr="007540D9">
        <w:rPr>
          <w:rFonts w:cs="Arial"/>
          <w:sz w:val="22"/>
          <w:szCs w:val="22"/>
        </w:rPr>
        <w:t>Rental income from operating leases is recognised on a straight line basis over the term of the relevant lease.</w:t>
      </w:r>
      <w:r w:rsidR="00B9497D" w:rsidRPr="007540D9">
        <w:rPr>
          <w:rFonts w:cs="Arial"/>
          <w:sz w:val="22"/>
          <w:szCs w:val="22"/>
        </w:rPr>
        <w:t xml:space="preserve">  Initial direct costs incurred in negotiating and arranging an operating lease are added to the carrying amount of the leased asset and recognised on a straight-line basis over the lease term.</w:t>
      </w:r>
    </w:p>
    <w:p w14:paraId="5EA73861" w14:textId="77777777" w:rsidR="004800B5" w:rsidRPr="007540D9" w:rsidRDefault="004800B5" w:rsidP="002206F9">
      <w:pPr>
        <w:rPr>
          <w:rFonts w:cs="Arial"/>
          <w:sz w:val="22"/>
          <w:szCs w:val="22"/>
        </w:rPr>
      </w:pPr>
    </w:p>
    <w:p w14:paraId="5EA73862" w14:textId="77777777" w:rsidR="004800B5" w:rsidRPr="00FA7C6C" w:rsidRDefault="004800B5" w:rsidP="00FA7C6C">
      <w:pPr>
        <w:pStyle w:val="Heading3"/>
        <w:jc w:val="left"/>
        <w:rPr>
          <w:color w:val="auto"/>
          <w:sz w:val="22"/>
          <w:szCs w:val="22"/>
        </w:rPr>
      </w:pPr>
      <w:bookmarkStart w:id="221" w:name="_Toc430613060"/>
      <w:bookmarkStart w:id="222" w:name="_Toc430613366"/>
      <w:bookmarkStart w:id="223" w:name="_Toc430613737"/>
      <w:r w:rsidRPr="00FA7C6C">
        <w:rPr>
          <w:color w:val="auto"/>
          <w:sz w:val="22"/>
          <w:szCs w:val="22"/>
        </w:rPr>
        <w:t>3.1</w:t>
      </w:r>
      <w:r w:rsidR="007D5FF9" w:rsidRPr="00FA7C6C">
        <w:rPr>
          <w:color w:val="auto"/>
          <w:sz w:val="22"/>
          <w:szCs w:val="22"/>
        </w:rPr>
        <w:t>4</w:t>
      </w:r>
      <w:r w:rsidRPr="00FA7C6C">
        <w:rPr>
          <w:color w:val="auto"/>
          <w:sz w:val="22"/>
          <w:szCs w:val="22"/>
        </w:rPr>
        <w:t xml:space="preserve">.2 </w:t>
      </w:r>
      <w:r w:rsidR="00B9497D" w:rsidRPr="00FA7C6C">
        <w:rPr>
          <w:color w:val="auto"/>
          <w:sz w:val="22"/>
          <w:szCs w:val="22"/>
        </w:rPr>
        <w:t>The Group</w:t>
      </w:r>
      <w:r w:rsidRPr="00FA7C6C">
        <w:rPr>
          <w:color w:val="auto"/>
          <w:sz w:val="22"/>
          <w:szCs w:val="22"/>
        </w:rPr>
        <w:t xml:space="preserve"> as lessee</w:t>
      </w:r>
      <w:bookmarkEnd w:id="221"/>
      <w:bookmarkEnd w:id="222"/>
      <w:bookmarkEnd w:id="223"/>
    </w:p>
    <w:p w14:paraId="5EA73863" w14:textId="77777777" w:rsidR="004800B5" w:rsidRPr="00FA7C6C" w:rsidRDefault="004800B5" w:rsidP="00FA7C6C">
      <w:pPr>
        <w:rPr>
          <w:highlight w:val="yellow"/>
        </w:rPr>
      </w:pPr>
    </w:p>
    <w:p w14:paraId="5EA73864" w14:textId="77777777" w:rsidR="004800B5" w:rsidRPr="007540D9" w:rsidRDefault="004800B5" w:rsidP="002206F9">
      <w:pPr>
        <w:rPr>
          <w:rFonts w:cs="Arial"/>
          <w:sz w:val="22"/>
          <w:szCs w:val="22"/>
        </w:rPr>
      </w:pPr>
      <w:r w:rsidRPr="007540D9">
        <w:rPr>
          <w:rFonts w:cs="Arial"/>
          <w:sz w:val="22"/>
          <w:szCs w:val="22"/>
        </w:rPr>
        <w:lastRenderedPageBreak/>
        <w:t>Operating lease payments are recognised as an expense on a straight-line basis over the lease term, except where another systematic basis is more representative of the time pattern in which economic benefits from the leased asset are consumed.</w:t>
      </w:r>
    </w:p>
    <w:p w14:paraId="5EA73865" w14:textId="77777777" w:rsidR="004800B5" w:rsidRPr="007540D9" w:rsidRDefault="004800B5" w:rsidP="002206F9">
      <w:pPr>
        <w:rPr>
          <w:rFonts w:cs="Arial"/>
          <w:b/>
          <w:sz w:val="22"/>
          <w:szCs w:val="22"/>
        </w:rPr>
      </w:pPr>
    </w:p>
    <w:p w14:paraId="5EA73866" w14:textId="77777777" w:rsidR="004800B5" w:rsidRPr="00FA7C6C" w:rsidRDefault="004800B5" w:rsidP="00FA7C6C">
      <w:pPr>
        <w:pStyle w:val="Heading2"/>
        <w:rPr>
          <w:sz w:val="22"/>
          <w:szCs w:val="22"/>
        </w:rPr>
      </w:pPr>
      <w:bookmarkStart w:id="224" w:name="_Toc430613061"/>
      <w:bookmarkStart w:id="225" w:name="_Toc430613367"/>
      <w:bookmarkStart w:id="226" w:name="_Toc430613738"/>
      <w:r w:rsidRPr="00FA7C6C">
        <w:rPr>
          <w:sz w:val="22"/>
          <w:szCs w:val="22"/>
        </w:rPr>
        <w:t>3.1</w:t>
      </w:r>
      <w:r w:rsidR="007D5FF9" w:rsidRPr="00FA7C6C">
        <w:rPr>
          <w:sz w:val="22"/>
          <w:szCs w:val="22"/>
        </w:rPr>
        <w:t>5</w:t>
      </w:r>
      <w:r w:rsidRPr="00FA7C6C">
        <w:rPr>
          <w:sz w:val="22"/>
          <w:szCs w:val="22"/>
        </w:rPr>
        <w:t xml:space="preserve"> Impairment of non-current assets other than financial assets</w:t>
      </w:r>
      <w:bookmarkEnd w:id="224"/>
      <w:bookmarkEnd w:id="225"/>
      <w:bookmarkEnd w:id="226"/>
    </w:p>
    <w:p w14:paraId="5EA73867" w14:textId="77777777" w:rsidR="004800B5" w:rsidRPr="007540D9" w:rsidRDefault="004800B5" w:rsidP="002206F9">
      <w:pPr>
        <w:rPr>
          <w:rFonts w:cs="Arial"/>
          <w:sz w:val="22"/>
          <w:szCs w:val="22"/>
        </w:rPr>
      </w:pPr>
    </w:p>
    <w:p w14:paraId="5EA73868" w14:textId="77777777" w:rsidR="004800B5" w:rsidRPr="007540D9" w:rsidRDefault="004800B5" w:rsidP="002206F9">
      <w:pPr>
        <w:rPr>
          <w:rFonts w:cs="Arial"/>
          <w:sz w:val="22"/>
          <w:szCs w:val="22"/>
        </w:rPr>
      </w:pPr>
      <w:r w:rsidRPr="007540D9">
        <w:rPr>
          <w:rFonts w:cs="Arial"/>
          <w:sz w:val="22"/>
          <w:szCs w:val="22"/>
        </w:rPr>
        <w:t xml:space="preserve">At each reporting date, the </w:t>
      </w:r>
      <w:r w:rsidR="00B9497D" w:rsidRPr="007540D9">
        <w:rPr>
          <w:rFonts w:cs="Arial"/>
          <w:sz w:val="22"/>
          <w:szCs w:val="22"/>
        </w:rPr>
        <w:t>Group</w:t>
      </w:r>
      <w:r w:rsidRPr="007540D9">
        <w:rPr>
          <w:rFonts w:cs="Arial"/>
          <w:sz w:val="22"/>
          <w:szCs w:val="22"/>
        </w:rPr>
        <w:t xml:space="preserve"> reviews the carrying amounts of its assets to determine whether there is any indication that those assets have suffered an impairment loss. If any such indication exists, the recoverable amount of the asset is estimated in order to determine the extent of the impairment loss (if any). </w:t>
      </w:r>
    </w:p>
    <w:p w14:paraId="5EA73869" w14:textId="77777777" w:rsidR="004800B5" w:rsidRPr="007540D9" w:rsidRDefault="004800B5" w:rsidP="002206F9">
      <w:pPr>
        <w:ind w:left="28"/>
        <w:rPr>
          <w:rFonts w:cs="Arial"/>
          <w:sz w:val="22"/>
          <w:szCs w:val="22"/>
        </w:rPr>
      </w:pPr>
    </w:p>
    <w:p w14:paraId="5EA7386A" w14:textId="77777777" w:rsidR="004800B5" w:rsidRPr="007540D9" w:rsidRDefault="004800B5" w:rsidP="002206F9">
      <w:pPr>
        <w:rPr>
          <w:rFonts w:cs="Arial"/>
          <w:sz w:val="22"/>
          <w:szCs w:val="22"/>
        </w:rPr>
      </w:pPr>
      <w:r w:rsidRPr="007540D9">
        <w:rPr>
          <w:rFonts w:cs="Arial"/>
          <w:sz w:val="22"/>
          <w:szCs w:val="22"/>
        </w:rPr>
        <w:t xml:space="preserve">Recoverable amount is the higher of depreciated replacement cost and fair value less costs to sell. If the recoverable amount of an asset is estimated to be less than its carrying amount, the carrying amount of the asset is reduced to its recoverable amount and the impairment loss recognised immediately in </w:t>
      </w:r>
      <w:r w:rsidR="00F10ACD">
        <w:rPr>
          <w:rFonts w:cs="Arial"/>
          <w:sz w:val="22"/>
          <w:szCs w:val="22"/>
        </w:rPr>
        <w:t>the statement of profit or loss and other comprehensive income</w:t>
      </w:r>
      <w:r w:rsidRPr="007540D9">
        <w:rPr>
          <w:rFonts w:cs="Arial"/>
          <w:sz w:val="22"/>
          <w:szCs w:val="22"/>
        </w:rPr>
        <w:t>.</w:t>
      </w:r>
    </w:p>
    <w:p w14:paraId="5EA7386B" w14:textId="77777777" w:rsidR="004800B5" w:rsidRPr="007540D9" w:rsidRDefault="004800B5" w:rsidP="002206F9">
      <w:pPr>
        <w:rPr>
          <w:rFonts w:cs="Arial"/>
          <w:sz w:val="22"/>
          <w:szCs w:val="22"/>
        </w:rPr>
      </w:pPr>
    </w:p>
    <w:p w14:paraId="5EA7386C" w14:textId="77777777" w:rsidR="004800B5" w:rsidRPr="007540D9" w:rsidRDefault="004800B5" w:rsidP="002206F9">
      <w:pPr>
        <w:rPr>
          <w:rFonts w:cs="Arial"/>
          <w:sz w:val="22"/>
          <w:szCs w:val="22"/>
        </w:rPr>
      </w:pPr>
      <w:r w:rsidRPr="007540D9">
        <w:rPr>
          <w:rFonts w:cs="Arial"/>
          <w:sz w:val="22"/>
          <w:szCs w:val="22"/>
        </w:rPr>
        <w:t>Where an impairment loss subsequently reverses, the carrying amount of the asset is increased to the revised estimate of its recoverable amount, but only to the extent that the increased carrying amount does not exceed the carrying amount that would have been determined had no impairment loss been recognised for the asset in prior years. A reversal of an impairment loss is recognised immediately in</w:t>
      </w:r>
      <w:r w:rsidR="002F0100" w:rsidRPr="007540D9">
        <w:rPr>
          <w:rFonts w:cs="Arial"/>
          <w:sz w:val="22"/>
          <w:szCs w:val="22"/>
        </w:rPr>
        <w:t xml:space="preserve"> the</w:t>
      </w:r>
      <w:r w:rsidRPr="007540D9">
        <w:rPr>
          <w:rFonts w:cs="Arial"/>
          <w:sz w:val="22"/>
          <w:szCs w:val="22"/>
        </w:rPr>
        <w:t xml:space="preserve"> </w:t>
      </w:r>
      <w:r w:rsidR="000A2935">
        <w:rPr>
          <w:rFonts w:cs="Arial"/>
          <w:sz w:val="22"/>
          <w:szCs w:val="22"/>
        </w:rPr>
        <w:t>statement of profit or loss and other comprehensive income</w:t>
      </w:r>
      <w:r w:rsidRPr="007540D9">
        <w:rPr>
          <w:rFonts w:cs="Arial"/>
          <w:sz w:val="22"/>
          <w:szCs w:val="22"/>
        </w:rPr>
        <w:t xml:space="preserve">.  </w:t>
      </w:r>
    </w:p>
    <w:p w14:paraId="5EA7386D" w14:textId="77777777" w:rsidR="004800B5" w:rsidRPr="007540D9" w:rsidRDefault="004800B5" w:rsidP="002206F9">
      <w:pPr>
        <w:rPr>
          <w:rFonts w:cs="Arial"/>
          <w:sz w:val="22"/>
          <w:szCs w:val="22"/>
        </w:rPr>
      </w:pPr>
    </w:p>
    <w:p w14:paraId="5EA7386E" w14:textId="77777777" w:rsidR="004800B5" w:rsidRPr="00FA7C6C" w:rsidRDefault="004800B5" w:rsidP="00FA7C6C">
      <w:pPr>
        <w:pStyle w:val="Heading2"/>
        <w:rPr>
          <w:sz w:val="22"/>
          <w:szCs w:val="22"/>
        </w:rPr>
      </w:pPr>
      <w:bookmarkStart w:id="227" w:name="_Toc430613062"/>
      <w:bookmarkStart w:id="228" w:name="_Toc430613368"/>
      <w:bookmarkStart w:id="229" w:name="_Toc430613739"/>
      <w:r w:rsidRPr="00FA7C6C">
        <w:rPr>
          <w:sz w:val="22"/>
          <w:szCs w:val="22"/>
        </w:rPr>
        <w:t>3.1</w:t>
      </w:r>
      <w:r w:rsidR="007D5FF9" w:rsidRPr="00FA7C6C">
        <w:rPr>
          <w:sz w:val="22"/>
          <w:szCs w:val="22"/>
        </w:rPr>
        <w:t>6</w:t>
      </w:r>
      <w:r w:rsidRPr="00FA7C6C">
        <w:rPr>
          <w:sz w:val="22"/>
          <w:szCs w:val="22"/>
        </w:rPr>
        <w:t xml:space="preserve"> Provisions</w:t>
      </w:r>
      <w:bookmarkEnd w:id="227"/>
      <w:bookmarkEnd w:id="228"/>
      <w:bookmarkEnd w:id="229"/>
    </w:p>
    <w:p w14:paraId="5EA7386F" w14:textId="77777777" w:rsidR="004800B5" w:rsidRPr="007540D9" w:rsidRDefault="004800B5" w:rsidP="002206F9">
      <w:pPr>
        <w:rPr>
          <w:rFonts w:cs="Arial"/>
          <w:sz w:val="22"/>
          <w:szCs w:val="22"/>
        </w:rPr>
      </w:pPr>
    </w:p>
    <w:p w14:paraId="5EA73870" w14:textId="77777777" w:rsidR="004800B5" w:rsidRPr="007540D9" w:rsidRDefault="004800B5" w:rsidP="002206F9">
      <w:pPr>
        <w:rPr>
          <w:rFonts w:cs="Arial"/>
          <w:sz w:val="22"/>
          <w:szCs w:val="22"/>
        </w:rPr>
      </w:pPr>
      <w:r w:rsidRPr="007540D9">
        <w:rPr>
          <w:rFonts w:cs="Arial"/>
          <w:sz w:val="22"/>
          <w:szCs w:val="22"/>
        </w:rPr>
        <w:t>Provisions are recognised when</w:t>
      </w:r>
      <w:r w:rsidR="002F0100" w:rsidRPr="007540D9">
        <w:rPr>
          <w:rFonts w:cs="Arial"/>
          <w:sz w:val="22"/>
          <w:szCs w:val="22"/>
        </w:rPr>
        <w:t xml:space="preserve"> the</w:t>
      </w:r>
      <w:r w:rsidRPr="007540D9">
        <w:rPr>
          <w:rFonts w:cs="Arial"/>
          <w:sz w:val="22"/>
          <w:szCs w:val="22"/>
        </w:rPr>
        <w:t xml:space="preserve"> </w:t>
      </w:r>
      <w:r w:rsidR="00B9497D" w:rsidRPr="007540D9">
        <w:rPr>
          <w:rFonts w:cs="Arial"/>
          <w:sz w:val="22"/>
          <w:szCs w:val="22"/>
        </w:rPr>
        <w:t>Group</w:t>
      </w:r>
      <w:r w:rsidRPr="007540D9">
        <w:rPr>
          <w:rFonts w:cs="Arial"/>
          <w:sz w:val="22"/>
          <w:szCs w:val="22"/>
        </w:rPr>
        <w:t xml:space="preserve"> has a present obligation </w:t>
      </w:r>
      <w:r w:rsidR="00B9497D" w:rsidRPr="007540D9">
        <w:rPr>
          <w:rFonts w:cs="Arial"/>
          <w:sz w:val="22"/>
          <w:szCs w:val="22"/>
        </w:rPr>
        <w:t xml:space="preserve">(legal or constructive) </w:t>
      </w:r>
      <w:r w:rsidRPr="007540D9">
        <w:rPr>
          <w:rFonts w:cs="Arial"/>
          <w:sz w:val="22"/>
          <w:szCs w:val="22"/>
        </w:rPr>
        <w:t xml:space="preserve">as a result of a past event, it is probable that the </w:t>
      </w:r>
      <w:r w:rsidR="00B9497D" w:rsidRPr="007540D9">
        <w:rPr>
          <w:rFonts w:cs="Arial"/>
          <w:sz w:val="22"/>
          <w:szCs w:val="22"/>
        </w:rPr>
        <w:t>Group</w:t>
      </w:r>
      <w:r w:rsidRPr="007540D9">
        <w:rPr>
          <w:rFonts w:cs="Arial"/>
          <w:sz w:val="22"/>
          <w:szCs w:val="22"/>
        </w:rPr>
        <w:t xml:space="preserve"> will be required to settle the obligation, and a reliable estimate can be made of the amount of the obligation.  </w:t>
      </w:r>
    </w:p>
    <w:p w14:paraId="5EA73871" w14:textId="77777777" w:rsidR="004800B5" w:rsidRPr="007540D9" w:rsidRDefault="004800B5" w:rsidP="002206F9">
      <w:pPr>
        <w:rPr>
          <w:rFonts w:cs="Arial"/>
          <w:sz w:val="22"/>
          <w:szCs w:val="22"/>
        </w:rPr>
      </w:pPr>
    </w:p>
    <w:p w14:paraId="5EA73872" w14:textId="3F3427C1" w:rsidR="004800B5" w:rsidRPr="007540D9" w:rsidRDefault="004800B5" w:rsidP="002206F9">
      <w:pPr>
        <w:rPr>
          <w:rFonts w:cs="Arial"/>
          <w:sz w:val="22"/>
          <w:szCs w:val="22"/>
        </w:rPr>
      </w:pPr>
      <w:r w:rsidRPr="007540D9">
        <w:rPr>
          <w:rFonts w:cs="Arial"/>
          <w:sz w:val="22"/>
          <w:szCs w:val="22"/>
        </w:rPr>
        <w:t xml:space="preserve">The amount recognised as a provision is the best estimate of the consideration required to settle the present obligation at reporting date, taking into account the risks and uncertainties surrounding the obligation. Where a provision is measured using the </w:t>
      </w:r>
      <w:r w:rsidR="0054179F" w:rsidRPr="007540D9">
        <w:rPr>
          <w:rFonts w:cs="Arial"/>
          <w:sz w:val="22"/>
          <w:szCs w:val="22"/>
        </w:rPr>
        <w:t>cash flows</w:t>
      </w:r>
      <w:r w:rsidRPr="007540D9">
        <w:rPr>
          <w:rFonts w:cs="Arial"/>
          <w:sz w:val="22"/>
          <w:szCs w:val="22"/>
        </w:rPr>
        <w:t xml:space="preserve"> estimated to settle the present obligation, its carrying amount is the present value of those </w:t>
      </w:r>
      <w:r w:rsidR="0054179F" w:rsidRPr="007540D9">
        <w:rPr>
          <w:rFonts w:cs="Arial"/>
          <w:sz w:val="22"/>
          <w:szCs w:val="22"/>
        </w:rPr>
        <w:t>cash flows</w:t>
      </w:r>
      <w:r w:rsidR="00B9497D" w:rsidRPr="007540D9">
        <w:rPr>
          <w:rFonts w:cs="Arial"/>
          <w:sz w:val="22"/>
          <w:szCs w:val="22"/>
        </w:rPr>
        <w:t xml:space="preserve"> (where the effect of the time value of money is immaterial)</w:t>
      </w:r>
      <w:r w:rsidRPr="007540D9">
        <w:rPr>
          <w:rFonts w:cs="Arial"/>
          <w:sz w:val="22"/>
          <w:szCs w:val="22"/>
        </w:rPr>
        <w:t>.</w:t>
      </w:r>
    </w:p>
    <w:p w14:paraId="5EA73873" w14:textId="77777777" w:rsidR="004800B5" w:rsidRPr="007540D9" w:rsidRDefault="004800B5" w:rsidP="002206F9">
      <w:pPr>
        <w:rPr>
          <w:rFonts w:cs="Arial"/>
          <w:sz w:val="22"/>
          <w:szCs w:val="22"/>
        </w:rPr>
      </w:pPr>
    </w:p>
    <w:p w14:paraId="5EA73874" w14:textId="77777777" w:rsidR="004800B5" w:rsidRPr="007540D9" w:rsidRDefault="004800B5" w:rsidP="002206F9">
      <w:pPr>
        <w:rPr>
          <w:rFonts w:cs="Arial"/>
          <w:sz w:val="22"/>
          <w:szCs w:val="22"/>
        </w:rPr>
      </w:pPr>
      <w:r w:rsidRPr="007540D9">
        <w:rPr>
          <w:rFonts w:cs="Arial"/>
          <w:sz w:val="22"/>
          <w:szCs w:val="22"/>
        </w:rPr>
        <w:t xml:space="preserve">When some or all of the economic benefits required to settle a provision are expected to be recovered from a third party, </w:t>
      </w:r>
      <w:r w:rsidR="00B9497D" w:rsidRPr="007540D9">
        <w:rPr>
          <w:rFonts w:cs="Arial"/>
          <w:sz w:val="22"/>
          <w:szCs w:val="22"/>
        </w:rPr>
        <w:t>a</w:t>
      </w:r>
      <w:r w:rsidRPr="007540D9">
        <w:rPr>
          <w:rFonts w:cs="Arial"/>
          <w:sz w:val="22"/>
          <w:szCs w:val="22"/>
        </w:rPr>
        <w:t xml:space="preserve"> receivable is recognised as an asset if it is virtually certain that reimbursement will be received and the amount of the receivable can be measured reliably.</w:t>
      </w:r>
    </w:p>
    <w:p w14:paraId="5EA73875" w14:textId="77777777" w:rsidR="004800B5" w:rsidRPr="007540D9" w:rsidRDefault="004800B5" w:rsidP="002206F9">
      <w:pPr>
        <w:rPr>
          <w:rFonts w:cs="Arial"/>
          <w:sz w:val="22"/>
          <w:szCs w:val="22"/>
        </w:rPr>
      </w:pPr>
    </w:p>
    <w:p w14:paraId="5EA73876" w14:textId="77777777" w:rsidR="00BA1CA4" w:rsidRPr="00FA7C6C" w:rsidRDefault="00BA1CA4" w:rsidP="00FA7C6C">
      <w:pPr>
        <w:pStyle w:val="Heading3"/>
        <w:jc w:val="left"/>
        <w:rPr>
          <w:color w:val="auto"/>
          <w:sz w:val="22"/>
          <w:szCs w:val="22"/>
        </w:rPr>
      </w:pPr>
      <w:bookmarkStart w:id="230" w:name="_Toc430613063"/>
      <w:bookmarkStart w:id="231" w:name="_Toc430613369"/>
      <w:bookmarkStart w:id="232" w:name="_Toc430613740"/>
      <w:r w:rsidRPr="00FA7C6C">
        <w:rPr>
          <w:color w:val="auto"/>
          <w:sz w:val="22"/>
          <w:szCs w:val="22"/>
        </w:rPr>
        <w:t>3.16.1 Restructuring</w:t>
      </w:r>
      <w:r w:rsidR="0081249B" w:rsidRPr="00FA7C6C">
        <w:rPr>
          <w:color w:val="auto"/>
          <w:sz w:val="22"/>
          <w:szCs w:val="22"/>
        </w:rPr>
        <w:t>s</w:t>
      </w:r>
      <w:bookmarkEnd w:id="230"/>
      <w:bookmarkEnd w:id="231"/>
      <w:bookmarkEnd w:id="232"/>
    </w:p>
    <w:p w14:paraId="5EA73877" w14:textId="77777777" w:rsidR="00BA1CA4" w:rsidRPr="007540D9" w:rsidRDefault="00BA1CA4" w:rsidP="002206F9">
      <w:pPr>
        <w:rPr>
          <w:rFonts w:cs="Arial"/>
          <w:sz w:val="22"/>
          <w:szCs w:val="22"/>
        </w:rPr>
      </w:pPr>
    </w:p>
    <w:p w14:paraId="5EA73878" w14:textId="77777777" w:rsidR="00BA1CA4" w:rsidRPr="007540D9" w:rsidRDefault="00BA1CA4" w:rsidP="002206F9">
      <w:pPr>
        <w:rPr>
          <w:rFonts w:cs="Arial"/>
          <w:sz w:val="22"/>
          <w:szCs w:val="22"/>
        </w:rPr>
      </w:pPr>
      <w:r w:rsidRPr="007540D9">
        <w:rPr>
          <w:rFonts w:cs="Arial"/>
          <w:sz w:val="22"/>
          <w:szCs w:val="22"/>
        </w:rPr>
        <w:t xml:space="preserve">A restructuring provision is recognised when the Group has developed a detailed formal plan for the restructuring and has raised a valid expectation </w:t>
      </w:r>
      <w:r w:rsidR="00B54A91">
        <w:rPr>
          <w:rFonts w:cs="Arial"/>
          <w:sz w:val="22"/>
          <w:szCs w:val="22"/>
        </w:rPr>
        <w:t>for</w:t>
      </w:r>
      <w:r w:rsidR="00B54A91" w:rsidRPr="007540D9">
        <w:rPr>
          <w:rFonts w:cs="Arial"/>
          <w:sz w:val="22"/>
          <w:szCs w:val="22"/>
        </w:rPr>
        <w:t xml:space="preserve"> </w:t>
      </w:r>
      <w:r w:rsidRPr="007540D9">
        <w:rPr>
          <w:rFonts w:cs="Arial"/>
          <w:sz w:val="22"/>
          <w:szCs w:val="22"/>
        </w:rPr>
        <w:t xml:space="preserve">those affected that it will carry out the restructuring by starting to implement the plan or announcing its main features to those affected by it. The </w:t>
      </w:r>
      <w:r w:rsidR="00CD6067" w:rsidRPr="007540D9">
        <w:rPr>
          <w:rFonts w:cs="Arial"/>
          <w:sz w:val="22"/>
          <w:szCs w:val="22"/>
        </w:rPr>
        <w:t>measurement of a restructuring provision includes only the direct expenditures arising from the restructuring, which are those amounts that are both necessarily entailed by the restructuring an</w:t>
      </w:r>
      <w:r w:rsidR="00460D14" w:rsidRPr="007540D9">
        <w:rPr>
          <w:rFonts w:cs="Arial"/>
          <w:sz w:val="22"/>
          <w:szCs w:val="22"/>
        </w:rPr>
        <w:t>d</w:t>
      </w:r>
      <w:r w:rsidR="00CD6067" w:rsidRPr="007540D9">
        <w:rPr>
          <w:rFonts w:cs="Arial"/>
          <w:sz w:val="22"/>
          <w:szCs w:val="22"/>
        </w:rPr>
        <w:t xml:space="preserve"> not associated with the ongoing activities of the entity.</w:t>
      </w:r>
    </w:p>
    <w:p w14:paraId="5EA73879" w14:textId="77777777" w:rsidR="00CD6067" w:rsidRPr="007540D9" w:rsidRDefault="00CD6067" w:rsidP="00BC61D4">
      <w:pPr>
        <w:jc w:val="both"/>
        <w:rPr>
          <w:rFonts w:cs="Arial"/>
          <w:sz w:val="22"/>
          <w:szCs w:val="22"/>
        </w:rPr>
      </w:pPr>
    </w:p>
    <w:p w14:paraId="5EA7387A" w14:textId="77777777" w:rsidR="004800B5" w:rsidRPr="007540D9" w:rsidRDefault="00834469" w:rsidP="00FA7C6C">
      <w:pPr>
        <w:pStyle w:val="Heading2"/>
      </w:pPr>
      <w:r>
        <w:br w:type="page"/>
      </w:r>
      <w:bookmarkStart w:id="233" w:name="_Toc430613064"/>
      <w:bookmarkStart w:id="234" w:name="_Toc430613370"/>
      <w:bookmarkStart w:id="235" w:name="_Toc430613741"/>
      <w:r w:rsidR="004800B5" w:rsidRPr="007540D9">
        <w:lastRenderedPageBreak/>
        <w:t>3.1</w:t>
      </w:r>
      <w:r w:rsidR="007D5FF9" w:rsidRPr="007540D9">
        <w:t>7</w:t>
      </w:r>
      <w:r w:rsidR="004800B5" w:rsidRPr="007540D9">
        <w:t xml:space="preserve"> Revenue</w:t>
      </w:r>
      <w:bookmarkEnd w:id="233"/>
      <w:bookmarkEnd w:id="234"/>
      <w:bookmarkEnd w:id="235"/>
      <w:r w:rsidR="004800B5" w:rsidRPr="007540D9">
        <w:t xml:space="preserve"> </w:t>
      </w:r>
    </w:p>
    <w:p w14:paraId="5EA7387B" w14:textId="77777777" w:rsidR="004800B5" w:rsidRPr="007540D9" w:rsidRDefault="004800B5" w:rsidP="002206F9">
      <w:pPr>
        <w:rPr>
          <w:rFonts w:cs="Arial"/>
          <w:sz w:val="22"/>
          <w:szCs w:val="22"/>
        </w:rPr>
      </w:pPr>
    </w:p>
    <w:p w14:paraId="5EA7387C" w14:textId="77777777" w:rsidR="004800B5" w:rsidRPr="007540D9" w:rsidRDefault="004800B5" w:rsidP="002206F9">
      <w:pPr>
        <w:rPr>
          <w:rFonts w:cs="Arial"/>
          <w:sz w:val="22"/>
          <w:szCs w:val="22"/>
        </w:rPr>
      </w:pPr>
      <w:r w:rsidRPr="007540D9">
        <w:rPr>
          <w:rFonts w:cs="Arial"/>
          <w:sz w:val="22"/>
          <w:szCs w:val="22"/>
        </w:rPr>
        <w:t xml:space="preserve">Revenue is measured at the fair value of the consideration received or receivable.  Revenue is reduced for customer returns.  </w:t>
      </w:r>
    </w:p>
    <w:p w14:paraId="5EA7387D" w14:textId="77777777" w:rsidR="004800B5" w:rsidRPr="007540D9" w:rsidRDefault="004800B5" w:rsidP="002206F9">
      <w:pPr>
        <w:ind w:left="748"/>
        <w:rPr>
          <w:rFonts w:cs="Arial"/>
          <w:sz w:val="22"/>
          <w:szCs w:val="22"/>
          <w:highlight w:val="yellow"/>
          <w:u w:val="single"/>
        </w:rPr>
      </w:pPr>
    </w:p>
    <w:p w14:paraId="5EA7387E" w14:textId="77777777" w:rsidR="004800B5" w:rsidRPr="00FA7C6C" w:rsidRDefault="004800B5" w:rsidP="00FA7C6C">
      <w:pPr>
        <w:pStyle w:val="Heading3"/>
        <w:jc w:val="left"/>
        <w:rPr>
          <w:color w:val="auto"/>
          <w:sz w:val="22"/>
          <w:szCs w:val="22"/>
        </w:rPr>
      </w:pPr>
      <w:bookmarkStart w:id="236" w:name="_Toc430613065"/>
      <w:bookmarkStart w:id="237" w:name="_Toc430613371"/>
      <w:bookmarkStart w:id="238" w:name="_Toc430613742"/>
      <w:r w:rsidRPr="00FA7C6C">
        <w:rPr>
          <w:color w:val="auto"/>
          <w:sz w:val="22"/>
          <w:szCs w:val="22"/>
        </w:rPr>
        <w:t>3.1</w:t>
      </w:r>
      <w:r w:rsidR="007D5FF9" w:rsidRPr="00FA7C6C">
        <w:rPr>
          <w:color w:val="auto"/>
          <w:sz w:val="22"/>
          <w:szCs w:val="22"/>
        </w:rPr>
        <w:t>7</w:t>
      </w:r>
      <w:r w:rsidRPr="00FA7C6C">
        <w:rPr>
          <w:color w:val="auto"/>
          <w:sz w:val="22"/>
          <w:szCs w:val="22"/>
        </w:rPr>
        <w:t>.1 Revenue: General and Specific Grant Income</w:t>
      </w:r>
      <w:bookmarkEnd w:id="236"/>
      <w:bookmarkEnd w:id="237"/>
      <w:bookmarkEnd w:id="238"/>
    </w:p>
    <w:p w14:paraId="5EA7387F" w14:textId="77777777" w:rsidR="004800B5" w:rsidRPr="007540D9" w:rsidRDefault="004800B5" w:rsidP="002206F9">
      <w:pPr>
        <w:rPr>
          <w:rFonts w:cs="Arial"/>
          <w:sz w:val="22"/>
          <w:szCs w:val="22"/>
          <w:u w:val="single"/>
        </w:rPr>
      </w:pPr>
    </w:p>
    <w:p w14:paraId="5EA73880" w14:textId="77777777" w:rsidR="004800B5" w:rsidRPr="007540D9" w:rsidRDefault="004800B5" w:rsidP="002206F9">
      <w:pPr>
        <w:rPr>
          <w:rFonts w:cs="Arial"/>
          <w:sz w:val="22"/>
          <w:szCs w:val="22"/>
        </w:rPr>
      </w:pPr>
      <w:r w:rsidRPr="007540D9">
        <w:rPr>
          <w:rFonts w:cs="Arial"/>
          <w:sz w:val="22"/>
          <w:szCs w:val="22"/>
        </w:rPr>
        <w:t>General grant revenue is recognised at the time of receipt. Where specifically designated grant revenue and the designated expenditure for such grants during the year has not occurred or is incomplete and there is likely to be an obligation to repay, the resulting amount is carried forward and will be brought to account in future years as the funds are expended.</w:t>
      </w:r>
    </w:p>
    <w:p w14:paraId="5EA73881" w14:textId="77777777" w:rsidR="004800B5" w:rsidRPr="007540D9" w:rsidRDefault="004800B5" w:rsidP="002206F9">
      <w:pPr>
        <w:ind w:left="748"/>
        <w:rPr>
          <w:rFonts w:cs="Arial"/>
          <w:sz w:val="22"/>
          <w:szCs w:val="22"/>
          <w:highlight w:val="yellow"/>
        </w:rPr>
      </w:pPr>
    </w:p>
    <w:p w14:paraId="5EA73882" w14:textId="77777777" w:rsidR="004800B5" w:rsidRPr="00FA7C6C" w:rsidRDefault="004800B5" w:rsidP="00FA7C6C">
      <w:pPr>
        <w:pStyle w:val="Heading3"/>
        <w:jc w:val="left"/>
        <w:rPr>
          <w:color w:val="auto"/>
          <w:sz w:val="22"/>
          <w:szCs w:val="22"/>
        </w:rPr>
      </w:pPr>
      <w:bookmarkStart w:id="239" w:name="_Toc430613066"/>
      <w:bookmarkStart w:id="240" w:name="_Toc430613372"/>
      <w:bookmarkStart w:id="241" w:name="_Toc430613743"/>
      <w:r w:rsidRPr="00FA7C6C">
        <w:rPr>
          <w:color w:val="auto"/>
          <w:sz w:val="22"/>
          <w:szCs w:val="22"/>
        </w:rPr>
        <w:t>3.1</w:t>
      </w:r>
      <w:r w:rsidR="007D5FF9" w:rsidRPr="00FA7C6C">
        <w:rPr>
          <w:color w:val="auto"/>
          <w:sz w:val="22"/>
          <w:szCs w:val="22"/>
        </w:rPr>
        <w:t>7</w:t>
      </w:r>
      <w:r w:rsidRPr="00FA7C6C">
        <w:rPr>
          <w:color w:val="auto"/>
          <w:sz w:val="22"/>
          <w:szCs w:val="22"/>
        </w:rPr>
        <w:t>.2 Donations, Bequests and Estates</w:t>
      </w:r>
      <w:bookmarkEnd w:id="239"/>
      <w:bookmarkEnd w:id="240"/>
      <w:bookmarkEnd w:id="241"/>
    </w:p>
    <w:p w14:paraId="5EA73883" w14:textId="77777777" w:rsidR="004800B5" w:rsidRPr="007540D9" w:rsidRDefault="004800B5" w:rsidP="002206F9">
      <w:pPr>
        <w:rPr>
          <w:rFonts w:cs="Arial"/>
          <w:sz w:val="22"/>
          <w:szCs w:val="22"/>
          <w:u w:val="single"/>
        </w:rPr>
      </w:pPr>
    </w:p>
    <w:p w14:paraId="5EA73884" w14:textId="77777777" w:rsidR="004800B5" w:rsidRPr="007540D9" w:rsidRDefault="004800B5" w:rsidP="002206F9">
      <w:pPr>
        <w:rPr>
          <w:rFonts w:cs="Arial"/>
          <w:sz w:val="22"/>
          <w:szCs w:val="22"/>
        </w:rPr>
      </w:pPr>
      <w:r w:rsidRPr="007540D9">
        <w:rPr>
          <w:rFonts w:cs="Arial"/>
          <w:sz w:val="22"/>
          <w:szCs w:val="22"/>
        </w:rPr>
        <w:t xml:space="preserve">Revenue from estates is recognised when the </w:t>
      </w:r>
      <w:r w:rsidR="00B9497D" w:rsidRPr="007540D9">
        <w:rPr>
          <w:rFonts w:cs="Arial"/>
          <w:sz w:val="22"/>
          <w:szCs w:val="22"/>
        </w:rPr>
        <w:t>Group</w:t>
      </w:r>
      <w:r w:rsidRPr="007540D9">
        <w:rPr>
          <w:rFonts w:cs="Arial"/>
          <w:sz w:val="22"/>
          <w:szCs w:val="22"/>
        </w:rPr>
        <w:t xml:space="preserve"> gains control of the contribution. The deemed cost of marketable securities is the market value of such securities at the date of transfer. Revenue from specifically designated bequests, where the designated expenditure for such bequests during the year has not occurred or is incomplete, and where there is an obligation to repay the funds, the resulting amount will be transferred to </w:t>
      </w:r>
      <w:r w:rsidR="00A81245">
        <w:rPr>
          <w:rFonts w:cs="Arial"/>
          <w:sz w:val="22"/>
          <w:szCs w:val="22"/>
        </w:rPr>
        <w:t>trade and other payables</w:t>
      </w:r>
      <w:r w:rsidRPr="007540D9">
        <w:rPr>
          <w:rFonts w:cs="Arial"/>
          <w:sz w:val="22"/>
          <w:szCs w:val="22"/>
        </w:rPr>
        <w:t xml:space="preserve"> and will be brought to account in future years as the funds are expended. Revenue from donations is recognised at the time of receipt.</w:t>
      </w:r>
    </w:p>
    <w:p w14:paraId="5EA73885" w14:textId="77777777" w:rsidR="004800B5" w:rsidRPr="007540D9" w:rsidRDefault="004800B5" w:rsidP="002206F9">
      <w:pPr>
        <w:ind w:left="748"/>
        <w:rPr>
          <w:rFonts w:cs="Arial"/>
          <w:sz w:val="22"/>
          <w:szCs w:val="22"/>
          <w:highlight w:val="yellow"/>
        </w:rPr>
      </w:pPr>
    </w:p>
    <w:p w14:paraId="5EA73886" w14:textId="77777777" w:rsidR="004800B5" w:rsidRPr="00FA7C6C" w:rsidRDefault="004800B5" w:rsidP="00FA7C6C">
      <w:pPr>
        <w:pStyle w:val="Heading3"/>
        <w:jc w:val="left"/>
        <w:rPr>
          <w:color w:val="auto"/>
          <w:sz w:val="22"/>
          <w:szCs w:val="22"/>
        </w:rPr>
      </w:pPr>
      <w:bookmarkStart w:id="242" w:name="_Toc430613067"/>
      <w:bookmarkStart w:id="243" w:name="_Toc430613373"/>
      <w:bookmarkStart w:id="244" w:name="_Toc430613744"/>
      <w:r w:rsidRPr="00FA7C6C">
        <w:rPr>
          <w:color w:val="auto"/>
          <w:sz w:val="22"/>
          <w:szCs w:val="22"/>
        </w:rPr>
        <w:t>3.1</w:t>
      </w:r>
      <w:r w:rsidR="007D5FF9" w:rsidRPr="00FA7C6C">
        <w:rPr>
          <w:color w:val="auto"/>
          <w:sz w:val="22"/>
          <w:szCs w:val="22"/>
        </w:rPr>
        <w:t>7</w:t>
      </w:r>
      <w:r w:rsidRPr="00FA7C6C">
        <w:rPr>
          <w:color w:val="auto"/>
          <w:sz w:val="22"/>
          <w:szCs w:val="22"/>
        </w:rPr>
        <w:t>.3 Fundraising</w:t>
      </w:r>
      <w:bookmarkEnd w:id="242"/>
      <w:bookmarkEnd w:id="243"/>
      <w:bookmarkEnd w:id="244"/>
    </w:p>
    <w:p w14:paraId="5EA73887" w14:textId="77777777" w:rsidR="004800B5" w:rsidRPr="007540D9" w:rsidRDefault="004800B5" w:rsidP="002206F9">
      <w:pPr>
        <w:rPr>
          <w:rFonts w:cs="Arial"/>
          <w:sz w:val="22"/>
          <w:szCs w:val="22"/>
          <w:u w:val="single"/>
        </w:rPr>
      </w:pPr>
    </w:p>
    <w:p w14:paraId="5EA73888" w14:textId="77777777" w:rsidR="004800B5" w:rsidRPr="007540D9" w:rsidRDefault="004800B5" w:rsidP="002206F9">
      <w:pPr>
        <w:rPr>
          <w:rFonts w:cs="Arial"/>
          <w:sz w:val="22"/>
          <w:szCs w:val="22"/>
        </w:rPr>
      </w:pPr>
      <w:r w:rsidRPr="007540D9">
        <w:rPr>
          <w:rFonts w:cs="Arial"/>
          <w:sz w:val="22"/>
          <w:szCs w:val="22"/>
        </w:rPr>
        <w:t>Revenue in relation to fundraising is recognised at the time the funds are received.</w:t>
      </w:r>
    </w:p>
    <w:p w14:paraId="5EA73889" w14:textId="77777777" w:rsidR="001B2798" w:rsidRPr="007540D9" w:rsidRDefault="001B2798" w:rsidP="002206F9">
      <w:pPr>
        <w:rPr>
          <w:rFonts w:cs="Arial"/>
          <w:sz w:val="22"/>
          <w:szCs w:val="22"/>
          <w:highlight w:val="yellow"/>
          <w:u w:val="single"/>
        </w:rPr>
      </w:pPr>
    </w:p>
    <w:p w14:paraId="5EA7388A" w14:textId="77777777" w:rsidR="004800B5" w:rsidRPr="00FA7C6C" w:rsidRDefault="004800B5" w:rsidP="00FA7C6C">
      <w:pPr>
        <w:pStyle w:val="Heading3"/>
        <w:jc w:val="left"/>
        <w:rPr>
          <w:color w:val="auto"/>
          <w:sz w:val="22"/>
          <w:szCs w:val="22"/>
        </w:rPr>
      </w:pPr>
      <w:bookmarkStart w:id="245" w:name="_Toc430613068"/>
      <w:bookmarkStart w:id="246" w:name="_Toc430613374"/>
      <w:bookmarkStart w:id="247" w:name="_Toc430613745"/>
      <w:r w:rsidRPr="00FA7C6C">
        <w:rPr>
          <w:color w:val="auto"/>
          <w:sz w:val="22"/>
          <w:szCs w:val="22"/>
        </w:rPr>
        <w:t>3.1</w:t>
      </w:r>
      <w:r w:rsidR="007D5FF9" w:rsidRPr="00FA7C6C">
        <w:rPr>
          <w:color w:val="auto"/>
          <w:sz w:val="22"/>
          <w:szCs w:val="22"/>
        </w:rPr>
        <w:t>7</w:t>
      </w:r>
      <w:r w:rsidRPr="00FA7C6C">
        <w:rPr>
          <w:color w:val="auto"/>
          <w:sz w:val="22"/>
          <w:szCs w:val="22"/>
        </w:rPr>
        <w:t>.4 Sale of Goods and Disposal of Assets</w:t>
      </w:r>
      <w:bookmarkEnd w:id="245"/>
      <w:bookmarkEnd w:id="246"/>
      <w:bookmarkEnd w:id="247"/>
    </w:p>
    <w:p w14:paraId="5EA7388B" w14:textId="77777777" w:rsidR="004800B5" w:rsidRPr="007540D9" w:rsidRDefault="004800B5" w:rsidP="002206F9">
      <w:pPr>
        <w:rPr>
          <w:rFonts w:cs="Arial"/>
          <w:sz w:val="22"/>
          <w:szCs w:val="22"/>
          <w:u w:val="single"/>
        </w:rPr>
      </w:pPr>
    </w:p>
    <w:p w14:paraId="5EA7388C" w14:textId="77777777" w:rsidR="004800B5" w:rsidRPr="007540D9" w:rsidRDefault="004800B5" w:rsidP="002206F9">
      <w:pPr>
        <w:rPr>
          <w:rFonts w:cs="Arial"/>
          <w:sz w:val="22"/>
          <w:szCs w:val="22"/>
        </w:rPr>
      </w:pPr>
      <w:r w:rsidRPr="007540D9">
        <w:rPr>
          <w:rFonts w:cs="Arial"/>
          <w:sz w:val="22"/>
          <w:szCs w:val="22"/>
        </w:rPr>
        <w:t xml:space="preserve">Revenue from the sale of goods and disposal of other assets is recognised when all the following conditions are satisfied:   </w:t>
      </w:r>
    </w:p>
    <w:p w14:paraId="5EA7388D" w14:textId="77777777" w:rsidR="00D224DC" w:rsidRPr="007540D9" w:rsidRDefault="004800B5" w:rsidP="0031284D">
      <w:pPr>
        <w:numPr>
          <w:ilvl w:val="0"/>
          <w:numId w:val="14"/>
        </w:numPr>
        <w:rPr>
          <w:rFonts w:cs="Arial"/>
          <w:sz w:val="22"/>
          <w:szCs w:val="22"/>
        </w:rPr>
      </w:pPr>
      <w:r w:rsidRPr="007540D9">
        <w:rPr>
          <w:rFonts w:cs="Arial"/>
          <w:sz w:val="22"/>
          <w:szCs w:val="22"/>
        </w:rPr>
        <w:t xml:space="preserve">the </w:t>
      </w:r>
      <w:r w:rsidR="002D770E" w:rsidRPr="007540D9">
        <w:rPr>
          <w:rFonts w:cs="Arial"/>
          <w:sz w:val="22"/>
          <w:szCs w:val="22"/>
        </w:rPr>
        <w:t>Group</w:t>
      </w:r>
      <w:r w:rsidRPr="007540D9">
        <w:rPr>
          <w:rFonts w:cs="Arial"/>
          <w:sz w:val="22"/>
          <w:szCs w:val="22"/>
        </w:rPr>
        <w:t xml:space="preserve"> has transferred to the buyer the significant risks and rewards of ownership o</w:t>
      </w:r>
      <w:r w:rsidR="00D224DC" w:rsidRPr="007540D9">
        <w:rPr>
          <w:rFonts w:cs="Arial"/>
          <w:sz w:val="22"/>
          <w:szCs w:val="22"/>
        </w:rPr>
        <w:t>f</w:t>
      </w:r>
      <w:r w:rsidRPr="007540D9">
        <w:rPr>
          <w:rFonts w:cs="Arial"/>
          <w:sz w:val="22"/>
          <w:szCs w:val="22"/>
        </w:rPr>
        <w:t xml:space="preserve"> the goods;</w:t>
      </w:r>
    </w:p>
    <w:p w14:paraId="5EA7388E" w14:textId="77777777" w:rsidR="00D224DC" w:rsidRPr="007540D9" w:rsidRDefault="004800B5" w:rsidP="0031284D">
      <w:pPr>
        <w:numPr>
          <w:ilvl w:val="0"/>
          <w:numId w:val="14"/>
        </w:numPr>
        <w:rPr>
          <w:rFonts w:cs="Arial"/>
          <w:sz w:val="22"/>
          <w:szCs w:val="22"/>
        </w:rPr>
      </w:pPr>
      <w:r w:rsidRPr="007540D9">
        <w:rPr>
          <w:rFonts w:cs="Arial"/>
          <w:sz w:val="22"/>
          <w:szCs w:val="22"/>
        </w:rPr>
        <w:t xml:space="preserve">the </w:t>
      </w:r>
      <w:r w:rsidR="002D770E" w:rsidRPr="007540D9">
        <w:rPr>
          <w:rFonts w:cs="Arial"/>
          <w:sz w:val="22"/>
          <w:szCs w:val="22"/>
        </w:rPr>
        <w:t>Group</w:t>
      </w:r>
      <w:r w:rsidRPr="007540D9">
        <w:rPr>
          <w:rFonts w:cs="Arial"/>
          <w:sz w:val="22"/>
          <w:szCs w:val="22"/>
        </w:rPr>
        <w:t xml:space="preserve"> retains neither continuing managerial involvement to the degree usually associated with ownership nor effective control over the goods sold;</w:t>
      </w:r>
    </w:p>
    <w:p w14:paraId="5EA7388F" w14:textId="77777777" w:rsidR="00D224DC" w:rsidRPr="007540D9" w:rsidRDefault="004800B5" w:rsidP="0031284D">
      <w:pPr>
        <w:numPr>
          <w:ilvl w:val="0"/>
          <w:numId w:val="14"/>
        </w:numPr>
        <w:rPr>
          <w:rFonts w:cs="Arial"/>
          <w:sz w:val="22"/>
          <w:szCs w:val="22"/>
        </w:rPr>
      </w:pPr>
      <w:r w:rsidRPr="007540D9">
        <w:rPr>
          <w:rFonts w:cs="Arial"/>
          <w:sz w:val="22"/>
          <w:szCs w:val="22"/>
        </w:rPr>
        <w:t>the amount of revenue can be measured reliably;</w:t>
      </w:r>
    </w:p>
    <w:p w14:paraId="5EA73890" w14:textId="77777777" w:rsidR="00D224DC" w:rsidRPr="007540D9" w:rsidRDefault="004800B5" w:rsidP="0031284D">
      <w:pPr>
        <w:numPr>
          <w:ilvl w:val="0"/>
          <w:numId w:val="14"/>
        </w:numPr>
        <w:rPr>
          <w:rFonts w:cs="Arial"/>
          <w:sz w:val="22"/>
          <w:szCs w:val="22"/>
        </w:rPr>
      </w:pPr>
      <w:r w:rsidRPr="007540D9">
        <w:rPr>
          <w:rFonts w:cs="Arial"/>
          <w:sz w:val="22"/>
          <w:szCs w:val="22"/>
        </w:rPr>
        <w:t xml:space="preserve">it is probable that the economic benefits associated with the transaction will flow to the </w:t>
      </w:r>
      <w:r w:rsidR="002F0100" w:rsidRPr="007540D9">
        <w:rPr>
          <w:rFonts w:cs="Arial"/>
          <w:sz w:val="22"/>
          <w:szCs w:val="22"/>
        </w:rPr>
        <w:t>Group</w:t>
      </w:r>
      <w:r w:rsidRPr="007540D9">
        <w:rPr>
          <w:rFonts w:cs="Arial"/>
          <w:sz w:val="22"/>
          <w:szCs w:val="22"/>
        </w:rPr>
        <w:t>; and</w:t>
      </w:r>
    </w:p>
    <w:p w14:paraId="5EA73891" w14:textId="77777777" w:rsidR="004800B5" w:rsidRPr="007540D9" w:rsidRDefault="004800B5" w:rsidP="0031284D">
      <w:pPr>
        <w:numPr>
          <w:ilvl w:val="0"/>
          <w:numId w:val="14"/>
        </w:numPr>
        <w:rPr>
          <w:rFonts w:cs="Arial"/>
          <w:sz w:val="22"/>
          <w:szCs w:val="22"/>
        </w:rPr>
      </w:pPr>
      <w:proofErr w:type="gramStart"/>
      <w:r w:rsidRPr="007540D9">
        <w:rPr>
          <w:rFonts w:cs="Arial"/>
          <w:sz w:val="22"/>
          <w:szCs w:val="22"/>
        </w:rPr>
        <w:t>the</w:t>
      </w:r>
      <w:proofErr w:type="gramEnd"/>
      <w:r w:rsidRPr="007540D9">
        <w:rPr>
          <w:rFonts w:cs="Arial"/>
          <w:sz w:val="22"/>
          <w:szCs w:val="22"/>
        </w:rPr>
        <w:t xml:space="preserve"> costs incurred or to be incurred in respect of the transaction can be measured reliably.</w:t>
      </w:r>
    </w:p>
    <w:p w14:paraId="5EA73892" w14:textId="77777777" w:rsidR="004800B5" w:rsidRPr="007540D9" w:rsidRDefault="004800B5" w:rsidP="002206F9">
      <w:pPr>
        <w:rPr>
          <w:rFonts w:cs="Arial"/>
          <w:sz w:val="22"/>
          <w:szCs w:val="22"/>
        </w:rPr>
      </w:pPr>
    </w:p>
    <w:p w14:paraId="5EA73893" w14:textId="77777777" w:rsidR="002D770E" w:rsidRPr="007540D9" w:rsidRDefault="002D770E" w:rsidP="002206F9">
      <w:pPr>
        <w:rPr>
          <w:rFonts w:cs="Arial"/>
          <w:sz w:val="22"/>
          <w:szCs w:val="22"/>
        </w:rPr>
      </w:pPr>
      <w:r w:rsidRPr="007540D9">
        <w:rPr>
          <w:rFonts w:cs="Arial"/>
          <w:sz w:val="22"/>
          <w:szCs w:val="22"/>
        </w:rPr>
        <w:t>Specifically, revenue from the sale of goods is recognised when goods are delivered and legal title is passed.</w:t>
      </w:r>
    </w:p>
    <w:p w14:paraId="5EA73894" w14:textId="77777777" w:rsidR="002D770E" w:rsidRPr="007540D9" w:rsidRDefault="002D770E" w:rsidP="002206F9">
      <w:pPr>
        <w:rPr>
          <w:rFonts w:cs="Arial"/>
          <w:sz w:val="22"/>
          <w:szCs w:val="22"/>
          <w:highlight w:val="yellow"/>
        </w:rPr>
      </w:pPr>
    </w:p>
    <w:p w14:paraId="5EA73895" w14:textId="77777777" w:rsidR="004800B5" w:rsidRPr="00FA7C6C" w:rsidRDefault="00F632C4" w:rsidP="00FA7C6C">
      <w:pPr>
        <w:pStyle w:val="Heading3"/>
        <w:jc w:val="left"/>
        <w:rPr>
          <w:color w:val="auto"/>
          <w:sz w:val="22"/>
          <w:szCs w:val="22"/>
        </w:rPr>
      </w:pPr>
      <w:bookmarkStart w:id="248" w:name="_Toc430613069"/>
      <w:bookmarkStart w:id="249" w:name="_Toc430613375"/>
      <w:bookmarkStart w:id="250" w:name="_Toc430613746"/>
      <w:r w:rsidRPr="00FA7C6C">
        <w:rPr>
          <w:color w:val="auto"/>
          <w:sz w:val="22"/>
          <w:szCs w:val="22"/>
        </w:rPr>
        <w:t>3.1</w:t>
      </w:r>
      <w:r w:rsidR="007D5FF9" w:rsidRPr="00FA7C6C">
        <w:rPr>
          <w:color w:val="auto"/>
          <w:sz w:val="22"/>
          <w:szCs w:val="22"/>
        </w:rPr>
        <w:t>7</w:t>
      </w:r>
      <w:r w:rsidRPr="00FA7C6C">
        <w:rPr>
          <w:color w:val="auto"/>
          <w:sz w:val="22"/>
          <w:szCs w:val="22"/>
        </w:rPr>
        <w:t>.</w:t>
      </w:r>
      <w:r w:rsidR="004800B5" w:rsidRPr="00FA7C6C">
        <w:rPr>
          <w:color w:val="auto"/>
          <w:sz w:val="22"/>
          <w:szCs w:val="22"/>
        </w:rPr>
        <w:t>5 Rendering of Services</w:t>
      </w:r>
      <w:bookmarkEnd w:id="248"/>
      <w:bookmarkEnd w:id="249"/>
      <w:bookmarkEnd w:id="250"/>
    </w:p>
    <w:p w14:paraId="5EA73896" w14:textId="77777777" w:rsidR="004800B5" w:rsidRPr="007540D9" w:rsidRDefault="004800B5" w:rsidP="002206F9">
      <w:pPr>
        <w:rPr>
          <w:rFonts w:cs="Arial"/>
          <w:sz w:val="22"/>
          <w:szCs w:val="22"/>
          <w:u w:val="single"/>
        </w:rPr>
      </w:pPr>
    </w:p>
    <w:p w14:paraId="5EA73897" w14:textId="77777777" w:rsidR="004800B5" w:rsidRPr="007540D9" w:rsidRDefault="004800B5" w:rsidP="002206F9">
      <w:pPr>
        <w:rPr>
          <w:rFonts w:cs="Arial"/>
          <w:sz w:val="22"/>
          <w:szCs w:val="22"/>
        </w:rPr>
      </w:pPr>
      <w:r w:rsidRPr="007540D9">
        <w:rPr>
          <w:rFonts w:cs="Arial"/>
          <w:sz w:val="22"/>
          <w:szCs w:val="22"/>
        </w:rPr>
        <w:t xml:space="preserve">Revenue is recognised when the contract outcome can be reliably measured, control of the right to </w:t>
      </w:r>
      <w:r w:rsidR="00F632C4" w:rsidRPr="007540D9">
        <w:rPr>
          <w:rFonts w:cs="Arial"/>
          <w:sz w:val="22"/>
          <w:szCs w:val="22"/>
        </w:rPr>
        <w:t xml:space="preserve">be </w:t>
      </w:r>
      <w:r w:rsidRPr="007540D9">
        <w:rPr>
          <w:rFonts w:cs="Arial"/>
          <w:sz w:val="22"/>
          <w:szCs w:val="22"/>
        </w:rPr>
        <w:t>compensated for the services determined and the stage of completion can be readily measured.</w:t>
      </w:r>
    </w:p>
    <w:p w14:paraId="5EA73898" w14:textId="77777777" w:rsidR="002D770E" w:rsidRPr="007540D9" w:rsidRDefault="002D770E" w:rsidP="002206F9">
      <w:pPr>
        <w:rPr>
          <w:rFonts w:cs="Arial"/>
          <w:sz w:val="22"/>
          <w:szCs w:val="22"/>
        </w:rPr>
      </w:pPr>
    </w:p>
    <w:p w14:paraId="5EA73899" w14:textId="77777777" w:rsidR="002D770E" w:rsidRPr="007540D9" w:rsidRDefault="002D770E" w:rsidP="002206F9">
      <w:pPr>
        <w:rPr>
          <w:rFonts w:cs="Arial"/>
          <w:sz w:val="22"/>
          <w:szCs w:val="22"/>
        </w:rPr>
      </w:pPr>
      <w:r w:rsidRPr="007540D9">
        <w:rPr>
          <w:rFonts w:cs="Arial"/>
          <w:sz w:val="22"/>
          <w:szCs w:val="22"/>
        </w:rPr>
        <w:t xml:space="preserve">The stage of completion is determined for revenue for time and material contracts at the contractual rates as labour hours delivered and direct expenses incurred.  Services revenue is recognised </w:t>
      </w:r>
      <w:r w:rsidR="00A81245">
        <w:rPr>
          <w:rFonts w:cs="Arial"/>
          <w:sz w:val="22"/>
          <w:szCs w:val="22"/>
        </w:rPr>
        <w:t>when services have been delivered</w:t>
      </w:r>
      <w:r w:rsidRPr="007540D9">
        <w:rPr>
          <w:rFonts w:cs="Arial"/>
          <w:sz w:val="22"/>
          <w:szCs w:val="22"/>
        </w:rPr>
        <w:t>.</w:t>
      </w:r>
    </w:p>
    <w:p w14:paraId="5EA7389A" w14:textId="77777777" w:rsidR="004800B5" w:rsidRPr="007540D9" w:rsidRDefault="004800B5" w:rsidP="002206F9">
      <w:pPr>
        <w:ind w:left="748"/>
        <w:rPr>
          <w:rFonts w:cs="Arial"/>
          <w:sz w:val="22"/>
          <w:szCs w:val="22"/>
          <w:highlight w:val="yellow"/>
          <w:u w:val="single"/>
        </w:rPr>
      </w:pPr>
    </w:p>
    <w:p w14:paraId="5EA7389B" w14:textId="77777777" w:rsidR="00691DAB" w:rsidRDefault="00691DAB" w:rsidP="002206F9">
      <w:pPr>
        <w:rPr>
          <w:rFonts w:cs="Arial"/>
          <w:sz w:val="22"/>
          <w:szCs w:val="22"/>
          <w:u w:val="single"/>
        </w:rPr>
      </w:pPr>
    </w:p>
    <w:p w14:paraId="5EA7389C" w14:textId="77777777" w:rsidR="004800B5" w:rsidRPr="00FA7C6C" w:rsidRDefault="004800B5" w:rsidP="00FA7C6C">
      <w:pPr>
        <w:pStyle w:val="Heading3"/>
        <w:jc w:val="left"/>
        <w:rPr>
          <w:color w:val="auto"/>
          <w:sz w:val="22"/>
          <w:szCs w:val="22"/>
        </w:rPr>
      </w:pPr>
      <w:bookmarkStart w:id="251" w:name="_Toc430613070"/>
      <w:bookmarkStart w:id="252" w:name="_Toc430613376"/>
      <w:bookmarkStart w:id="253" w:name="_Toc430613747"/>
      <w:r w:rsidRPr="00FA7C6C">
        <w:rPr>
          <w:color w:val="auto"/>
          <w:sz w:val="22"/>
          <w:szCs w:val="22"/>
        </w:rPr>
        <w:lastRenderedPageBreak/>
        <w:t>3.1</w:t>
      </w:r>
      <w:r w:rsidR="007D5FF9" w:rsidRPr="00FA7C6C">
        <w:rPr>
          <w:color w:val="auto"/>
          <w:sz w:val="22"/>
          <w:szCs w:val="22"/>
        </w:rPr>
        <w:t>7</w:t>
      </w:r>
      <w:r w:rsidRPr="00FA7C6C">
        <w:rPr>
          <w:color w:val="auto"/>
          <w:sz w:val="22"/>
          <w:szCs w:val="22"/>
        </w:rPr>
        <w:t>.6 Contributions of Assets</w:t>
      </w:r>
      <w:bookmarkEnd w:id="251"/>
      <w:bookmarkEnd w:id="252"/>
      <w:bookmarkEnd w:id="253"/>
    </w:p>
    <w:p w14:paraId="5EA7389D" w14:textId="77777777" w:rsidR="004800B5" w:rsidRPr="007540D9" w:rsidRDefault="004800B5" w:rsidP="002206F9">
      <w:pPr>
        <w:rPr>
          <w:rFonts w:cs="Arial"/>
          <w:sz w:val="22"/>
          <w:szCs w:val="22"/>
          <w:u w:val="single"/>
        </w:rPr>
      </w:pPr>
    </w:p>
    <w:p w14:paraId="5EA7389E" w14:textId="77777777" w:rsidR="002D770E" w:rsidRPr="007540D9" w:rsidRDefault="002D770E" w:rsidP="002206F9">
      <w:pPr>
        <w:rPr>
          <w:rFonts w:cs="Arial"/>
          <w:sz w:val="22"/>
          <w:szCs w:val="22"/>
        </w:rPr>
      </w:pPr>
      <w:r w:rsidRPr="007540D9">
        <w:rPr>
          <w:rFonts w:cs="Arial"/>
          <w:sz w:val="22"/>
          <w:szCs w:val="22"/>
        </w:rPr>
        <w:t>Revenue arising from the contribution of assets is recognised when the Group gains control of the contribution or the right to receive the contribution, it is probable that the economic benefits comprising the contribution will flow to the Group and the amount of the contribution can be measured reliably.  Revenue from contributed assets is recorded at fair value at the date that control of the assets is assumed by the Group.</w:t>
      </w:r>
    </w:p>
    <w:p w14:paraId="5EA7389F" w14:textId="77777777" w:rsidR="002D770E" w:rsidRPr="007540D9" w:rsidRDefault="002D770E" w:rsidP="002206F9">
      <w:pPr>
        <w:rPr>
          <w:rFonts w:cs="Arial"/>
          <w:sz w:val="22"/>
          <w:szCs w:val="22"/>
          <w:highlight w:val="yellow"/>
          <w:u w:val="single"/>
        </w:rPr>
      </w:pPr>
    </w:p>
    <w:p w14:paraId="5EA738A0" w14:textId="77777777" w:rsidR="004800B5" w:rsidRPr="00FA7C6C" w:rsidRDefault="004800B5" w:rsidP="00FA7C6C">
      <w:pPr>
        <w:pStyle w:val="Heading3"/>
        <w:jc w:val="left"/>
        <w:rPr>
          <w:color w:val="auto"/>
          <w:sz w:val="22"/>
          <w:szCs w:val="22"/>
        </w:rPr>
      </w:pPr>
      <w:bookmarkStart w:id="254" w:name="_Toc430613071"/>
      <w:bookmarkStart w:id="255" w:name="_Toc430613377"/>
      <w:bookmarkStart w:id="256" w:name="_Toc430613748"/>
      <w:r w:rsidRPr="00FA7C6C">
        <w:rPr>
          <w:color w:val="auto"/>
          <w:sz w:val="22"/>
          <w:szCs w:val="22"/>
        </w:rPr>
        <w:t>3.1</w:t>
      </w:r>
      <w:r w:rsidR="007D5FF9" w:rsidRPr="00FA7C6C">
        <w:rPr>
          <w:color w:val="auto"/>
          <w:sz w:val="22"/>
          <w:szCs w:val="22"/>
        </w:rPr>
        <w:t>7</w:t>
      </w:r>
      <w:r w:rsidRPr="00FA7C6C">
        <w:rPr>
          <w:color w:val="auto"/>
          <w:sz w:val="22"/>
          <w:szCs w:val="22"/>
        </w:rPr>
        <w:t>.7 Liabilities Forgiven</w:t>
      </w:r>
      <w:bookmarkEnd w:id="254"/>
      <w:bookmarkEnd w:id="255"/>
      <w:bookmarkEnd w:id="256"/>
    </w:p>
    <w:p w14:paraId="5EA738A1" w14:textId="77777777" w:rsidR="004800B5" w:rsidRPr="00EE5A6D" w:rsidRDefault="004800B5" w:rsidP="002206F9">
      <w:pPr>
        <w:rPr>
          <w:rFonts w:cs="Arial"/>
          <w:sz w:val="22"/>
          <w:szCs w:val="22"/>
          <w:u w:val="single"/>
        </w:rPr>
      </w:pPr>
    </w:p>
    <w:p w14:paraId="5EA738A2" w14:textId="77777777" w:rsidR="004800B5" w:rsidRPr="007540D9" w:rsidRDefault="004800B5" w:rsidP="002206F9">
      <w:pPr>
        <w:rPr>
          <w:rFonts w:cs="Arial"/>
          <w:sz w:val="22"/>
          <w:szCs w:val="22"/>
        </w:rPr>
      </w:pPr>
      <w:r w:rsidRPr="00EE5A6D">
        <w:rPr>
          <w:rFonts w:cs="Arial"/>
          <w:sz w:val="22"/>
          <w:szCs w:val="22"/>
        </w:rPr>
        <w:t>The gross amount of liability forgiven by a creditor is recognised as revenue.</w:t>
      </w:r>
    </w:p>
    <w:p w14:paraId="5EA738A3" w14:textId="77777777" w:rsidR="004800B5" w:rsidRPr="007540D9" w:rsidRDefault="004800B5" w:rsidP="002206F9">
      <w:pPr>
        <w:rPr>
          <w:rFonts w:cs="Arial"/>
          <w:b/>
          <w:sz w:val="22"/>
          <w:szCs w:val="22"/>
        </w:rPr>
      </w:pPr>
    </w:p>
    <w:p w14:paraId="5EA738A4" w14:textId="77777777" w:rsidR="004800B5" w:rsidRPr="00FA7C6C" w:rsidRDefault="004800B5" w:rsidP="00FA7C6C">
      <w:pPr>
        <w:pStyle w:val="Heading3"/>
        <w:jc w:val="left"/>
        <w:rPr>
          <w:color w:val="auto"/>
          <w:sz w:val="22"/>
          <w:szCs w:val="22"/>
        </w:rPr>
      </w:pPr>
      <w:bookmarkStart w:id="257" w:name="_Toc430613072"/>
      <w:bookmarkStart w:id="258" w:name="_Toc430613378"/>
      <w:bookmarkStart w:id="259" w:name="_Toc430613749"/>
      <w:r w:rsidRPr="00FA7C6C">
        <w:rPr>
          <w:color w:val="auto"/>
          <w:sz w:val="22"/>
          <w:szCs w:val="22"/>
        </w:rPr>
        <w:t>3.1</w:t>
      </w:r>
      <w:r w:rsidR="007D5FF9" w:rsidRPr="00FA7C6C">
        <w:rPr>
          <w:color w:val="auto"/>
          <w:sz w:val="22"/>
          <w:szCs w:val="22"/>
        </w:rPr>
        <w:t>7</w:t>
      </w:r>
      <w:r w:rsidR="00792EA3" w:rsidRPr="00FA7C6C">
        <w:rPr>
          <w:color w:val="auto"/>
          <w:sz w:val="22"/>
          <w:szCs w:val="22"/>
        </w:rPr>
        <w:t xml:space="preserve">.8 Dividend </w:t>
      </w:r>
      <w:r w:rsidRPr="00FA7C6C">
        <w:rPr>
          <w:color w:val="auto"/>
          <w:sz w:val="22"/>
          <w:szCs w:val="22"/>
        </w:rPr>
        <w:t xml:space="preserve">and interest </w:t>
      </w:r>
      <w:r w:rsidR="00792EA3" w:rsidRPr="00FA7C6C">
        <w:rPr>
          <w:color w:val="auto"/>
          <w:sz w:val="22"/>
          <w:szCs w:val="22"/>
        </w:rPr>
        <w:t>income</w:t>
      </w:r>
      <w:bookmarkEnd w:id="257"/>
      <w:bookmarkEnd w:id="258"/>
      <w:bookmarkEnd w:id="259"/>
    </w:p>
    <w:p w14:paraId="5EA738A5" w14:textId="77777777" w:rsidR="004800B5" w:rsidRPr="007540D9" w:rsidRDefault="004800B5" w:rsidP="002206F9">
      <w:pPr>
        <w:rPr>
          <w:rFonts w:cs="Arial"/>
          <w:sz w:val="22"/>
          <w:szCs w:val="22"/>
          <w:u w:val="single"/>
        </w:rPr>
      </w:pPr>
    </w:p>
    <w:p w14:paraId="5EA738A6" w14:textId="77777777" w:rsidR="00792EA3" w:rsidRPr="007540D9" w:rsidRDefault="00792EA3" w:rsidP="002206F9">
      <w:pPr>
        <w:rPr>
          <w:rFonts w:cs="Arial"/>
          <w:sz w:val="22"/>
          <w:szCs w:val="22"/>
        </w:rPr>
      </w:pPr>
      <w:r w:rsidRPr="007540D9">
        <w:rPr>
          <w:rFonts w:cs="Arial"/>
          <w:sz w:val="22"/>
          <w:szCs w:val="22"/>
        </w:rPr>
        <w:t xml:space="preserve">Dividend income from investments is recognised when the shareholder’s right to receive payment has been established (provided that it is probable that the economic benefits will flow to the Group and the amount of income can be measured reliably). </w:t>
      </w:r>
    </w:p>
    <w:p w14:paraId="5EA738A7" w14:textId="77777777" w:rsidR="00792EA3" w:rsidRPr="007540D9" w:rsidRDefault="00792EA3" w:rsidP="002206F9">
      <w:pPr>
        <w:rPr>
          <w:rFonts w:cs="Arial"/>
          <w:sz w:val="22"/>
          <w:szCs w:val="22"/>
          <w:highlight w:val="yellow"/>
        </w:rPr>
      </w:pPr>
    </w:p>
    <w:p w14:paraId="5EA738A8" w14:textId="77777777" w:rsidR="00792EA3" w:rsidRPr="007540D9" w:rsidRDefault="00792EA3" w:rsidP="002206F9">
      <w:pPr>
        <w:rPr>
          <w:rFonts w:cs="Arial"/>
          <w:sz w:val="22"/>
          <w:szCs w:val="22"/>
        </w:rPr>
      </w:pPr>
      <w:r w:rsidRPr="007540D9">
        <w:rPr>
          <w:rFonts w:cs="Arial"/>
          <w:sz w:val="22"/>
          <w:szCs w:val="22"/>
        </w:rPr>
        <w:t>Interest income from a financial asset is recognised when it is probable that the economic benefits will flow to the Group and the amount or revenue can be measured reliably.  Interest income is accrued on a time basis, by reference to the principal outstanding and at the effective interest rate applicable, which is the rate that exactly discounts estimated future cash receipts through the expected life of the financial asset to that asset’s net carrying amount on initial recognition.</w:t>
      </w:r>
    </w:p>
    <w:p w14:paraId="5EA738A9" w14:textId="77777777" w:rsidR="00792EA3" w:rsidRPr="007540D9" w:rsidRDefault="00792EA3" w:rsidP="002206F9">
      <w:pPr>
        <w:rPr>
          <w:rFonts w:cs="Arial"/>
          <w:sz w:val="22"/>
          <w:szCs w:val="22"/>
        </w:rPr>
      </w:pPr>
    </w:p>
    <w:p w14:paraId="5EA738AA" w14:textId="77777777" w:rsidR="004800B5" w:rsidRPr="007540D9" w:rsidRDefault="004800B5" w:rsidP="002206F9">
      <w:pPr>
        <w:rPr>
          <w:rFonts w:cs="Arial"/>
          <w:sz w:val="22"/>
          <w:szCs w:val="22"/>
        </w:rPr>
      </w:pPr>
      <w:r w:rsidRPr="007540D9">
        <w:rPr>
          <w:rFonts w:cs="Arial"/>
          <w:sz w:val="22"/>
          <w:szCs w:val="22"/>
        </w:rPr>
        <w:t>Gains and losses from the sale of investments are recorded at the time of sale.</w:t>
      </w:r>
    </w:p>
    <w:p w14:paraId="5EA738AB" w14:textId="77777777" w:rsidR="004800B5" w:rsidRPr="007540D9" w:rsidRDefault="004800B5" w:rsidP="002206F9">
      <w:pPr>
        <w:ind w:left="748"/>
        <w:rPr>
          <w:rFonts w:cs="Arial"/>
          <w:sz w:val="22"/>
          <w:szCs w:val="22"/>
          <w:highlight w:val="yellow"/>
        </w:rPr>
      </w:pPr>
    </w:p>
    <w:p w14:paraId="5EA738AC" w14:textId="77777777" w:rsidR="004800B5" w:rsidRPr="00FA7C6C" w:rsidRDefault="004800B5" w:rsidP="00FA7C6C">
      <w:pPr>
        <w:pStyle w:val="Heading3"/>
        <w:jc w:val="left"/>
        <w:rPr>
          <w:color w:val="auto"/>
          <w:sz w:val="22"/>
          <w:szCs w:val="22"/>
        </w:rPr>
      </w:pPr>
      <w:bookmarkStart w:id="260" w:name="_Toc430613073"/>
      <w:bookmarkStart w:id="261" w:name="_Toc430613379"/>
      <w:bookmarkStart w:id="262" w:name="_Toc430613750"/>
      <w:r w:rsidRPr="00FA7C6C">
        <w:rPr>
          <w:color w:val="auto"/>
          <w:sz w:val="22"/>
          <w:szCs w:val="22"/>
        </w:rPr>
        <w:t>3.1</w:t>
      </w:r>
      <w:r w:rsidR="007D5FF9" w:rsidRPr="00FA7C6C">
        <w:rPr>
          <w:color w:val="auto"/>
          <w:sz w:val="22"/>
          <w:szCs w:val="22"/>
        </w:rPr>
        <w:t>7</w:t>
      </w:r>
      <w:r w:rsidRPr="00FA7C6C">
        <w:rPr>
          <w:color w:val="auto"/>
          <w:sz w:val="22"/>
          <w:szCs w:val="22"/>
        </w:rPr>
        <w:t>.</w:t>
      </w:r>
      <w:r w:rsidR="009D390E" w:rsidRPr="00FA7C6C">
        <w:rPr>
          <w:color w:val="auto"/>
          <w:sz w:val="22"/>
          <w:szCs w:val="22"/>
        </w:rPr>
        <w:t>9</w:t>
      </w:r>
      <w:r w:rsidRPr="00FA7C6C">
        <w:rPr>
          <w:color w:val="auto"/>
          <w:sz w:val="22"/>
          <w:szCs w:val="22"/>
        </w:rPr>
        <w:t xml:space="preserve"> Other Income</w:t>
      </w:r>
      <w:bookmarkEnd w:id="260"/>
      <w:bookmarkEnd w:id="261"/>
      <w:bookmarkEnd w:id="262"/>
    </w:p>
    <w:p w14:paraId="5EA738AD" w14:textId="77777777" w:rsidR="004800B5" w:rsidRPr="007540D9" w:rsidRDefault="004800B5" w:rsidP="002206F9">
      <w:pPr>
        <w:rPr>
          <w:rFonts w:cs="Arial"/>
          <w:sz w:val="22"/>
          <w:szCs w:val="22"/>
          <w:u w:val="single"/>
        </w:rPr>
      </w:pPr>
    </w:p>
    <w:p w14:paraId="5EA738AE" w14:textId="77777777" w:rsidR="004800B5" w:rsidRPr="007540D9" w:rsidRDefault="004800B5" w:rsidP="002206F9">
      <w:pPr>
        <w:rPr>
          <w:rFonts w:cs="Arial"/>
          <w:sz w:val="22"/>
          <w:szCs w:val="22"/>
        </w:rPr>
      </w:pPr>
      <w:r w:rsidRPr="007540D9">
        <w:rPr>
          <w:rFonts w:cs="Arial"/>
          <w:sz w:val="22"/>
          <w:szCs w:val="22"/>
        </w:rPr>
        <w:t xml:space="preserve">Income is recognised to the extent that it is probable that the economic benefits will flow to the </w:t>
      </w:r>
      <w:r w:rsidR="00792EA3" w:rsidRPr="007540D9">
        <w:rPr>
          <w:rFonts w:cs="Arial"/>
          <w:sz w:val="22"/>
          <w:szCs w:val="22"/>
        </w:rPr>
        <w:t>Group</w:t>
      </w:r>
      <w:r w:rsidRPr="007540D9">
        <w:rPr>
          <w:rFonts w:cs="Arial"/>
          <w:sz w:val="22"/>
          <w:szCs w:val="22"/>
        </w:rPr>
        <w:t xml:space="preserve"> and the income can be reliably measured.</w:t>
      </w:r>
    </w:p>
    <w:p w14:paraId="5EA738AF" w14:textId="77777777" w:rsidR="00792EA3" w:rsidRPr="007540D9" w:rsidRDefault="00792EA3" w:rsidP="002206F9">
      <w:pPr>
        <w:rPr>
          <w:rFonts w:cs="Arial"/>
          <w:b/>
          <w:sz w:val="22"/>
          <w:szCs w:val="22"/>
          <w:highlight w:val="yellow"/>
        </w:rPr>
      </w:pPr>
    </w:p>
    <w:p w14:paraId="5EA738B0" w14:textId="77777777" w:rsidR="004800B5" w:rsidRPr="007540D9" w:rsidRDefault="00D3393E" w:rsidP="002206F9">
      <w:pPr>
        <w:rPr>
          <w:rFonts w:cs="Arial"/>
          <w:b/>
          <w:sz w:val="22"/>
          <w:szCs w:val="22"/>
        </w:rPr>
      </w:pPr>
      <w:r w:rsidRPr="007540D9">
        <w:rPr>
          <w:rFonts w:cs="Arial"/>
          <w:b/>
          <w:sz w:val="22"/>
          <w:szCs w:val="22"/>
        </w:rPr>
        <w:t>3.1</w:t>
      </w:r>
      <w:r w:rsidR="007D5FF9" w:rsidRPr="007540D9">
        <w:rPr>
          <w:rFonts w:cs="Arial"/>
          <w:b/>
          <w:sz w:val="22"/>
          <w:szCs w:val="22"/>
        </w:rPr>
        <w:t>8</w:t>
      </w:r>
      <w:r w:rsidRPr="007540D9">
        <w:rPr>
          <w:rFonts w:cs="Arial"/>
          <w:b/>
          <w:sz w:val="22"/>
          <w:szCs w:val="22"/>
        </w:rPr>
        <w:t xml:space="preserve"> </w:t>
      </w:r>
      <w:r w:rsidR="004800B5" w:rsidRPr="007540D9">
        <w:rPr>
          <w:rFonts w:cs="Arial"/>
          <w:b/>
          <w:sz w:val="22"/>
          <w:szCs w:val="22"/>
        </w:rPr>
        <w:t>Goods and services tax</w:t>
      </w:r>
    </w:p>
    <w:p w14:paraId="5EA738B1" w14:textId="77777777" w:rsidR="004800B5" w:rsidRPr="007540D9" w:rsidRDefault="004800B5" w:rsidP="002206F9">
      <w:pPr>
        <w:rPr>
          <w:rFonts w:cs="Arial"/>
          <w:sz w:val="22"/>
          <w:szCs w:val="22"/>
        </w:rPr>
      </w:pPr>
    </w:p>
    <w:p w14:paraId="5EA738B2" w14:textId="77777777" w:rsidR="004800B5" w:rsidRPr="007540D9" w:rsidRDefault="004800B5" w:rsidP="002206F9">
      <w:pPr>
        <w:rPr>
          <w:rFonts w:cs="Arial"/>
          <w:sz w:val="22"/>
          <w:szCs w:val="22"/>
        </w:rPr>
      </w:pPr>
      <w:r w:rsidRPr="007540D9">
        <w:rPr>
          <w:rFonts w:cs="Arial"/>
          <w:sz w:val="22"/>
          <w:szCs w:val="22"/>
        </w:rPr>
        <w:t>Revenues, expenses and assets are recognised net of the amount of goods and services tax (GST), except where the amount of GST incurred is not recoverable from the taxation authority.  In these circumstances, the GST is recognised as part of the cost of acquisition of the asset or as part of an item of expense.</w:t>
      </w:r>
    </w:p>
    <w:p w14:paraId="5EA738B3" w14:textId="77777777" w:rsidR="004800B5" w:rsidRPr="007540D9" w:rsidRDefault="004800B5" w:rsidP="002206F9">
      <w:pPr>
        <w:rPr>
          <w:rFonts w:cs="Arial"/>
          <w:sz w:val="22"/>
          <w:szCs w:val="22"/>
        </w:rPr>
      </w:pPr>
    </w:p>
    <w:p w14:paraId="5EA738B4" w14:textId="77777777" w:rsidR="004800B5" w:rsidRPr="007540D9" w:rsidRDefault="004800B5" w:rsidP="002206F9">
      <w:pPr>
        <w:rPr>
          <w:rFonts w:cs="Arial"/>
          <w:sz w:val="22"/>
          <w:szCs w:val="22"/>
        </w:rPr>
      </w:pPr>
      <w:r w:rsidRPr="007540D9">
        <w:rPr>
          <w:rFonts w:cs="Arial"/>
          <w:sz w:val="22"/>
          <w:szCs w:val="22"/>
        </w:rPr>
        <w:t>Receivables and payables are stated with the amount of GST included. The net amount of GST recoverable from, or payable to, the ATO is included as a cur</w:t>
      </w:r>
      <w:r w:rsidR="001F5BFC" w:rsidRPr="007540D9">
        <w:rPr>
          <w:rFonts w:cs="Arial"/>
          <w:sz w:val="22"/>
          <w:szCs w:val="22"/>
        </w:rPr>
        <w:t xml:space="preserve">rent asset or liability in the </w:t>
      </w:r>
      <w:r w:rsidR="00792EA3" w:rsidRPr="007540D9">
        <w:rPr>
          <w:rFonts w:cs="Arial"/>
          <w:sz w:val="22"/>
          <w:szCs w:val="22"/>
        </w:rPr>
        <w:t xml:space="preserve">Consolidated </w:t>
      </w:r>
      <w:r w:rsidR="001F5BFC" w:rsidRPr="007540D9">
        <w:rPr>
          <w:rFonts w:cs="Arial"/>
          <w:sz w:val="22"/>
          <w:szCs w:val="22"/>
        </w:rPr>
        <w:t>Statement of Financial P</w:t>
      </w:r>
      <w:r w:rsidRPr="007540D9">
        <w:rPr>
          <w:rFonts w:cs="Arial"/>
          <w:sz w:val="22"/>
          <w:szCs w:val="22"/>
        </w:rPr>
        <w:t>osition.</w:t>
      </w:r>
    </w:p>
    <w:p w14:paraId="5EA738B5" w14:textId="77777777" w:rsidR="004800B5" w:rsidRPr="007540D9" w:rsidRDefault="004800B5" w:rsidP="002206F9">
      <w:pPr>
        <w:rPr>
          <w:rFonts w:cs="Arial"/>
          <w:sz w:val="22"/>
          <w:szCs w:val="22"/>
          <w:highlight w:val="yellow"/>
        </w:rPr>
      </w:pPr>
    </w:p>
    <w:p w14:paraId="5EA738B6" w14:textId="77777777" w:rsidR="004800B5" w:rsidRPr="007540D9" w:rsidRDefault="004800B5" w:rsidP="002206F9">
      <w:pPr>
        <w:rPr>
          <w:rFonts w:cs="Arial"/>
          <w:sz w:val="22"/>
          <w:szCs w:val="22"/>
        </w:rPr>
      </w:pPr>
      <w:r w:rsidRPr="007540D9">
        <w:rPr>
          <w:rFonts w:cs="Arial"/>
          <w:sz w:val="22"/>
          <w:szCs w:val="22"/>
        </w:rPr>
        <w:t xml:space="preserve">Cash flows are included in the cash flow statement on a gross basis. The GST component of cash flows arising from investing and financing activities which is recoverable from, or payable to, the ATO </w:t>
      </w:r>
      <w:r w:rsidR="00792EA3" w:rsidRPr="007540D9">
        <w:rPr>
          <w:rFonts w:cs="Arial"/>
          <w:sz w:val="22"/>
          <w:szCs w:val="22"/>
        </w:rPr>
        <w:t>is</w:t>
      </w:r>
      <w:r w:rsidRPr="007540D9">
        <w:rPr>
          <w:rFonts w:cs="Arial"/>
          <w:sz w:val="22"/>
          <w:szCs w:val="22"/>
        </w:rPr>
        <w:t xml:space="preserve"> classified as operating cash flows.</w:t>
      </w:r>
    </w:p>
    <w:p w14:paraId="5EA738B7" w14:textId="77777777" w:rsidR="004800B5" w:rsidRPr="007540D9" w:rsidRDefault="004800B5" w:rsidP="002206F9">
      <w:pPr>
        <w:ind w:left="748"/>
        <w:rPr>
          <w:rFonts w:cs="Arial"/>
          <w:sz w:val="22"/>
          <w:szCs w:val="22"/>
          <w:highlight w:val="yellow"/>
        </w:rPr>
      </w:pPr>
    </w:p>
    <w:p w14:paraId="5EA738B8" w14:textId="77777777" w:rsidR="004800B5" w:rsidRPr="007540D9" w:rsidRDefault="004800B5" w:rsidP="002206F9">
      <w:pPr>
        <w:rPr>
          <w:rFonts w:cs="Arial"/>
          <w:b/>
          <w:sz w:val="22"/>
          <w:szCs w:val="22"/>
        </w:rPr>
      </w:pPr>
      <w:r w:rsidRPr="007540D9">
        <w:rPr>
          <w:rFonts w:cs="Arial"/>
          <w:b/>
          <w:sz w:val="22"/>
          <w:szCs w:val="22"/>
        </w:rPr>
        <w:t>3.</w:t>
      </w:r>
      <w:r w:rsidR="007D5FF9" w:rsidRPr="007540D9">
        <w:rPr>
          <w:rFonts w:cs="Arial"/>
          <w:b/>
          <w:sz w:val="22"/>
          <w:szCs w:val="22"/>
        </w:rPr>
        <w:t>19</w:t>
      </w:r>
      <w:r w:rsidRPr="007540D9">
        <w:rPr>
          <w:rFonts w:cs="Arial"/>
          <w:b/>
          <w:sz w:val="22"/>
          <w:szCs w:val="22"/>
        </w:rPr>
        <w:t xml:space="preserve"> Income tax</w:t>
      </w:r>
    </w:p>
    <w:p w14:paraId="5EA738B9" w14:textId="77777777" w:rsidR="004800B5" w:rsidRPr="007540D9" w:rsidRDefault="004800B5" w:rsidP="002206F9">
      <w:pPr>
        <w:rPr>
          <w:rFonts w:cs="Arial"/>
          <w:sz w:val="22"/>
          <w:szCs w:val="22"/>
        </w:rPr>
      </w:pPr>
    </w:p>
    <w:p w14:paraId="5EA738BA" w14:textId="77777777" w:rsidR="004800B5" w:rsidRPr="007540D9" w:rsidRDefault="004800B5" w:rsidP="002206F9">
      <w:pPr>
        <w:rPr>
          <w:rFonts w:cs="Arial"/>
          <w:sz w:val="22"/>
          <w:szCs w:val="22"/>
        </w:rPr>
      </w:pPr>
      <w:r w:rsidRPr="007540D9">
        <w:rPr>
          <w:rFonts w:cs="Arial"/>
          <w:sz w:val="22"/>
          <w:szCs w:val="22"/>
        </w:rPr>
        <w:t xml:space="preserve">Under Section 50-5 of the Income Tax Assessment Act 1997, the </w:t>
      </w:r>
      <w:r w:rsidR="00792EA3" w:rsidRPr="007540D9">
        <w:rPr>
          <w:rFonts w:cs="Arial"/>
          <w:sz w:val="22"/>
          <w:szCs w:val="22"/>
        </w:rPr>
        <w:t>Group</w:t>
      </w:r>
      <w:r w:rsidRPr="007540D9">
        <w:rPr>
          <w:rFonts w:cs="Arial"/>
          <w:sz w:val="22"/>
          <w:szCs w:val="22"/>
        </w:rPr>
        <w:t xml:space="preserve"> is exempt from income tax.</w:t>
      </w:r>
    </w:p>
    <w:p w14:paraId="5EA738BB" w14:textId="77777777" w:rsidR="00764AA3" w:rsidRPr="007540D9" w:rsidRDefault="00764AA3" w:rsidP="002206F9">
      <w:pPr>
        <w:rPr>
          <w:rFonts w:cs="Arial"/>
          <w:sz w:val="22"/>
          <w:szCs w:val="22"/>
          <w:highlight w:val="yellow"/>
        </w:rPr>
      </w:pPr>
    </w:p>
    <w:p w14:paraId="5EA738BC" w14:textId="77777777" w:rsidR="004800B5" w:rsidRPr="007540D9" w:rsidRDefault="00834469" w:rsidP="00FA7C6C">
      <w:pPr>
        <w:pStyle w:val="Heading1"/>
      </w:pPr>
      <w:r>
        <w:br w:type="page"/>
      </w:r>
      <w:bookmarkStart w:id="263" w:name="_Toc430613751"/>
      <w:r w:rsidR="004800B5" w:rsidRPr="007540D9">
        <w:lastRenderedPageBreak/>
        <w:t>Note 4:  Critical judgements and key sources of estimation uncertainty</w:t>
      </w:r>
      <w:bookmarkEnd w:id="263"/>
    </w:p>
    <w:p w14:paraId="5EA738BD" w14:textId="77777777" w:rsidR="004800B5" w:rsidRPr="00887462" w:rsidRDefault="004800B5" w:rsidP="002206F9">
      <w:pPr>
        <w:rPr>
          <w:rFonts w:cs="Arial"/>
          <w:sz w:val="8"/>
          <w:szCs w:val="22"/>
        </w:rPr>
      </w:pPr>
    </w:p>
    <w:p w14:paraId="5EA738BE" w14:textId="77777777" w:rsidR="00792EA3" w:rsidRPr="007540D9" w:rsidRDefault="00792EA3" w:rsidP="002206F9">
      <w:pPr>
        <w:rPr>
          <w:rFonts w:cs="Arial"/>
          <w:sz w:val="22"/>
          <w:szCs w:val="22"/>
          <w:highlight w:val="yellow"/>
        </w:rPr>
      </w:pPr>
      <w:r w:rsidRPr="007540D9">
        <w:rPr>
          <w:rFonts w:cs="Arial"/>
          <w:sz w:val="22"/>
          <w:szCs w:val="22"/>
        </w:rPr>
        <w:t>In the application of the Group’s accounting policies, which are described in note 3, the directors are required to make judgements, estimates and assumptions about the carrying amounts of assets and liabilities that are not readily apparent from other sources.  The estimates and associated assumptions are based on historical experience and other factors that are considered to be relevant.  Actual results may differ from these estimates.</w:t>
      </w:r>
    </w:p>
    <w:p w14:paraId="5EA738BF" w14:textId="77777777" w:rsidR="00792EA3" w:rsidRPr="00B64EBB" w:rsidRDefault="00792EA3" w:rsidP="002206F9">
      <w:pPr>
        <w:rPr>
          <w:rFonts w:cs="Arial"/>
          <w:sz w:val="14"/>
          <w:szCs w:val="22"/>
          <w:highlight w:val="yellow"/>
        </w:rPr>
      </w:pPr>
    </w:p>
    <w:p w14:paraId="5EA738C0" w14:textId="77777777" w:rsidR="00792EA3" w:rsidRPr="007540D9" w:rsidRDefault="00792EA3" w:rsidP="002206F9">
      <w:pPr>
        <w:rPr>
          <w:rFonts w:cs="Arial"/>
          <w:sz w:val="22"/>
          <w:szCs w:val="22"/>
        </w:rPr>
      </w:pPr>
      <w:r w:rsidRPr="007540D9">
        <w:rPr>
          <w:rFonts w:cs="Arial"/>
          <w:sz w:val="22"/>
          <w:szCs w:val="22"/>
        </w:rPr>
        <w:t xml:space="preserve">Estimates and underlying assumptions are reviewed on an ongoing basis.  Revisions to accounting estimates are recognised in the period in which the estimate is revised if the revision affects only that </w:t>
      </w:r>
      <w:proofErr w:type="gramStart"/>
      <w:r w:rsidRPr="007540D9">
        <w:rPr>
          <w:rFonts w:cs="Arial"/>
          <w:sz w:val="22"/>
          <w:szCs w:val="22"/>
        </w:rPr>
        <w:t>period,</w:t>
      </w:r>
      <w:proofErr w:type="gramEnd"/>
      <w:r w:rsidRPr="007540D9">
        <w:rPr>
          <w:rFonts w:cs="Arial"/>
          <w:sz w:val="22"/>
          <w:szCs w:val="22"/>
        </w:rPr>
        <w:t xml:space="preserve"> or in the period of the revision and future periods if the </w:t>
      </w:r>
      <w:r w:rsidR="008F62A7" w:rsidRPr="007540D9">
        <w:rPr>
          <w:rFonts w:cs="Arial"/>
          <w:sz w:val="22"/>
          <w:szCs w:val="22"/>
        </w:rPr>
        <w:t>revision affects both current and future periods</w:t>
      </w:r>
      <w:r w:rsidR="00FF5786" w:rsidRPr="007540D9">
        <w:rPr>
          <w:rFonts w:cs="Arial"/>
          <w:sz w:val="22"/>
          <w:szCs w:val="22"/>
        </w:rPr>
        <w:t>.</w:t>
      </w:r>
    </w:p>
    <w:p w14:paraId="5EA738C1" w14:textId="77777777" w:rsidR="00792EA3" w:rsidRPr="00B64EBB" w:rsidRDefault="00792EA3" w:rsidP="002206F9">
      <w:pPr>
        <w:rPr>
          <w:rFonts w:cs="Arial"/>
          <w:sz w:val="20"/>
          <w:szCs w:val="22"/>
        </w:rPr>
      </w:pPr>
    </w:p>
    <w:p w14:paraId="5EA738C2" w14:textId="77777777" w:rsidR="004800B5" w:rsidRPr="00FA7C6C" w:rsidRDefault="004800B5" w:rsidP="00FA7C6C">
      <w:pPr>
        <w:pStyle w:val="Heading2"/>
        <w:rPr>
          <w:sz w:val="22"/>
          <w:szCs w:val="22"/>
        </w:rPr>
      </w:pPr>
      <w:bookmarkStart w:id="264" w:name="_Toc430613075"/>
      <w:bookmarkStart w:id="265" w:name="_Toc430613381"/>
      <w:bookmarkStart w:id="266" w:name="_Toc430613752"/>
      <w:r w:rsidRPr="00FA7C6C">
        <w:rPr>
          <w:sz w:val="22"/>
          <w:szCs w:val="22"/>
        </w:rPr>
        <w:t>4.1 Critical judgements in applying accounting policies</w:t>
      </w:r>
      <w:bookmarkEnd w:id="264"/>
      <w:bookmarkEnd w:id="265"/>
      <w:bookmarkEnd w:id="266"/>
    </w:p>
    <w:p w14:paraId="5EA738C3" w14:textId="77777777" w:rsidR="004800B5" w:rsidRPr="00887462" w:rsidRDefault="004800B5" w:rsidP="002206F9">
      <w:pPr>
        <w:rPr>
          <w:rFonts w:cs="Arial"/>
          <w:sz w:val="14"/>
          <w:szCs w:val="22"/>
          <w:highlight w:val="yellow"/>
        </w:rPr>
      </w:pPr>
    </w:p>
    <w:p w14:paraId="5EA738C4" w14:textId="77777777" w:rsidR="004800B5" w:rsidRPr="007540D9" w:rsidRDefault="004800B5" w:rsidP="002206F9">
      <w:pPr>
        <w:rPr>
          <w:rFonts w:cs="Arial"/>
          <w:sz w:val="22"/>
          <w:szCs w:val="22"/>
        </w:rPr>
      </w:pPr>
      <w:r w:rsidRPr="007540D9">
        <w:rPr>
          <w:rFonts w:cs="Arial"/>
          <w:sz w:val="22"/>
          <w:szCs w:val="22"/>
        </w:rPr>
        <w:t xml:space="preserve">The following are the critical judgements that directors have made in the process of applying the </w:t>
      </w:r>
      <w:r w:rsidR="00792EA3" w:rsidRPr="007540D9">
        <w:rPr>
          <w:rFonts w:cs="Arial"/>
          <w:sz w:val="22"/>
          <w:szCs w:val="22"/>
        </w:rPr>
        <w:t>Group</w:t>
      </w:r>
      <w:r w:rsidRPr="007540D9">
        <w:rPr>
          <w:rFonts w:cs="Arial"/>
          <w:sz w:val="22"/>
          <w:szCs w:val="22"/>
        </w:rPr>
        <w:t>’s accounting policies and that have the most significant effect on the amounts recognised in the financial statements</w:t>
      </w:r>
      <w:r w:rsidR="00BF13AD">
        <w:rPr>
          <w:rFonts w:cs="Arial"/>
          <w:sz w:val="22"/>
          <w:szCs w:val="22"/>
        </w:rPr>
        <w:t>.</w:t>
      </w:r>
    </w:p>
    <w:p w14:paraId="5EA738C5" w14:textId="77777777" w:rsidR="002F0100" w:rsidRPr="00B64EBB" w:rsidRDefault="002F0100" w:rsidP="002206F9">
      <w:pPr>
        <w:pStyle w:val="TextPara"/>
        <w:rPr>
          <w:rFonts w:cs="Arial"/>
          <w:sz w:val="18"/>
          <w:szCs w:val="22"/>
          <w:u w:val="single"/>
        </w:rPr>
      </w:pPr>
    </w:p>
    <w:p w14:paraId="5EA738C6" w14:textId="77777777" w:rsidR="004800B5" w:rsidRPr="00FA7C6C" w:rsidRDefault="004800B5" w:rsidP="00FA7C6C">
      <w:pPr>
        <w:pStyle w:val="Heading3"/>
        <w:jc w:val="left"/>
        <w:rPr>
          <w:color w:val="auto"/>
          <w:sz w:val="22"/>
          <w:szCs w:val="22"/>
        </w:rPr>
      </w:pPr>
      <w:bookmarkStart w:id="267" w:name="_Toc430613076"/>
      <w:bookmarkStart w:id="268" w:name="_Toc430613382"/>
      <w:bookmarkStart w:id="269" w:name="_Toc430613753"/>
      <w:r w:rsidRPr="00FA7C6C">
        <w:rPr>
          <w:color w:val="auto"/>
          <w:sz w:val="22"/>
          <w:szCs w:val="22"/>
        </w:rPr>
        <w:t>4.1.1 Inventories</w:t>
      </w:r>
      <w:bookmarkEnd w:id="267"/>
      <w:bookmarkEnd w:id="268"/>
      <w:bookmarkEnd w:id="269"/>
    </w:p>
    <w:p w14:paraId="5EA738C7" w14:textId="77777777" w:rsidR="004800B5" w:rsidRPr="00B64EBB" w:rsidRDefault="004800B5" w:rsidP="002206F9">
      <w:pPr>
        <w:pStyle w:val="TextPara"/>
        <w:rPr>
          <w:rFonts w:cs="Arial"/>
          <w:sz w:val="14"/>
          <w:szCs w:val="22"/>
          <w:u w:val="single"/>
        </w:rPr>
      </w:pPr>
    </w:p>
    <w:p w14:paraId="5EA738C8" w14:textId="77777777" w:rsidR="004800B5" w:rsidRPr="007540D9" w:rsidRDefault="004800B5" w:rsidP="002206F9">
      <w:pPr>
        <w:pStyle w:val="TextPara"/>
        <w:rPr>
          <w:rFonts w:cs="Arial"/>
          <w:sz w:val="22"/>
          <w:szCs w:val="22"/>
        </w:rPr>
      </w:pPr>
      <w:r w:rsidRPr="007540D9">
        <w:rPr>
          <w:rFonts w:cs="Arial"/>
          <w:sz w:val="22"/>
          <w:szCs w:val="22"/>
        </w:rPr>
        <w:t>Note 3.1</w:t>
      </w:r>
      <w:r w:rsidR="00FF5786" w:rsidRPr="007540D9">
        <w:rPr>
          <w:rFonts w:cs="Arial"/>
          <w:sz w:val="22"/>
          <w:szCs w:val="22"/>
        </w:rPr>
        <w:t>1</w:t>
      </w:r>
      <w:r w:rsidR="00714BFB" w:rsidRPr="007540D9">
        <w:rPr>
          <w:rFonts w:cs="Arial"/>
          <w:sz w:val="22"/>
          <w:szCs w:val="22"/>
        </w:rPr>
        <w:t xml:space="preserve"> </w:t>
      </w:r>
      <w:r w:rsidRPr="007540D9">
        <w:rPr>
          <w:rFonts w:cs="Arial"/>
          <w:sz w:val="22"/>
          <w:szCs w:val="22"/>
        </w:rPr>
        <w:t>set</w:t>
      </w:r>
      <w:r w:rsidR="00714BFB" w:rsidRPr="007540D9">
        <w:rPr>
          <w:rFonts w:cs="Arial"/>
          <w:sz w:val="22"/>
          <w:szCs w:val="22"/>
        </w:rPr>
        <w:t>s</w:t>
      </w:r>
      <w:r w:rsidRPr="007540D9">
        <w:rPr>
          <w:rFonts w:cs="Arial"/>
          <w:sz w:val="22"/>
          <w:szCs w:val="22"/>
        </w:rPr>
        <w:t xml:space="preserve"> out the basis of valuation of inventory. The net realisable value of inventories is the estimated selling price in the ordinary course of business less estimated costs to sell which approximates fair value less cost to sell. The key assumptions require the use of management judgement and are reviewed annually. These key assumptions are the variables affecting the estimated costs to sell and the expected selling price. Any reassessment of cost to sell or selling price in a particular year may affect the valuation of inventory. </w:t>
      </w:r>
    </w:p>
    <w:p w14:paraId="5EA738C9" w14:textId="77777777" w:rsidR="004800B5" w:rsidRPr="00B64EBB" w:rsidRDefault="004800B5" w:rsidP="002206F9">
      <w:pPr>
        <w:rPr>
          <w:rFonts w:cs="Arial"/>
          <w:sz w:val="18"/>
          <w:szCs w:val="22"/>
        </w:rPr>
      </w:pPr>
    </w:p>
    <w:p w14:paraId="5EA738CA" w14:textId="77777777" w:rsidR="004800B5" w:rsidRPr="00FA7C6C" w:rsidRDefault="004800B5" w:rsidP="00FA7C6C">
      <w:pPr>
        <w:pStyle w:val="Heading3"/>
        <w:jc w:val="left"/>
        <w:rPr>
          <w:color w:val="auto"/>
          <w:sz w:val="22"/>
          <w:szCs w:val="22"/>
        </w:rPr>
      </w:pPr>
      <w:bookmarkStart w:id="270" w:name="_Toc430613077"/>
      <w:bookmarkStart w:id="271" w:name="_Toc430613383"/>
      <w:bookmarkStart w:id="272" w:name="_Toc430613754"/>
      <w:r w:rsidRPr="00FA7C6C">
        <w:rPr>
          <w:color w:val="auto"/>
          <w:sz w:val="22"/>
          <w:szCs w:val="22"/>
        </w:rPr>
        <w:t>4.1.2 Employee Entitlements</w:t>
      </w:r>
      <w:bookmarkEnd w:id="270"/>
      <w:bookmarkEnd w:id="271"/>
      <w:bookmarkEnd w:id="272"/>
    </w:p>
    <w:p w14:paraId="5EA738CB" w14:textId="77777777" w:rsidR="00A9731C" w:rsidRPr="007540D9" w:rsidRDefault="00A9731C" w:rsidP="002206F9">
      <w:pPr>
        <w:pStyle w:val="TextPara"/>
        <w:rPr>
          <w:rFonts w:cs="Arial"/>
          <w:sz w:val="18"/>
          <w:szCs w:val="22"/>
          <w:u w:val="single"/>
        </w:rPr>
      </w:pPr>
    </w:p>
    <w:p w14:paraId="5EA738CC" w14:textId="77777777" w:rsidR="004800B5" w:rsidRPr="007540D9" w:rsidRDefault="004800B5" w:rsidP="002206F9">
      <w:pPr>
        <w:pStyle w:val="TextPara"/>
        <w:rPr>
          <w:rFonts w:cs="Arial"/>
          <w:sz w:val="22"/>
          <w:szCs w:val="22"/>
        </w:rPr>
      </w:pPr>
      <w:r w:rsidRPr="007540D9">
        <w:rPr>
          <w:rFonts w:cs="Arial"/>
          <w:sz w:val="22"/>
          <w:szCs w:val="22"/>
        </w:rPr>
        <w:t>Management judgement is applied in determining the following key assumptions used in the calculation of long service leave at balance date:</w:t>
      </w:r>
    </w:p>
    <w:p w14:paraId="5EA738CD" w14:textId="77777777" w:rsidR="004800B5" w:rsidRPr="00B64EBB" w:rsidRDefault="004800B5" w:rsidP="002206F9">
      <w:pPr>
        <w:pStyle w:val="TextPara"/>
        <w:rPr>
          <w:rFonts w:cs="Arial"/>
          <w:sz w:val="10"/>
          <w:szCs w:val="22"/>
        </w:rPr>
      </w:pPr>
    </w:p>
    <w:p w14:paraId="5EA738CE" w14:textId="77777777" w:rsidR="004800B5" w:rsidRDefault="004800B5" w:rsidP="0054179F">
      <w:pPr>
        <w:pStyle w:val="TextPara"/>
        <w:numPr>
          <w:ilvl w:val="0"/>
          <w:numId w:val="39"/>
        </w:numPr>
        <w:rPr>
          <w:rFonts w:cs="Arial"/>
          <w:sz w:val="22"/>
          <w:szCs w:val="22"/>
        </w:rPr>
      </w:pPr>
      <w:r w:rsidRPr="007540D9">
        <w:rPr>
          <w:rFonts w:cs="Arial"/>
          <w:sz w:val="22"/>
          <w:szCs w:val="22"/>
        </w:rPr>
        <w:t>future increases in wages and salaries</w:t>
      </w:r>
      <w:r w:rsidR="00A9731C" w:rsidRPr="007540D9">
        <w:rPr>
          <w:rFonts w:cs="Arial"/>
          <w:sz w:val="22"/>
          <w:szCs w:val="22"/>
        </w:rPr>
        <w:t>;</w:t>
      </w:r>
    </w:p>
    <w:p w14:paraId="5EA738CF" w14:textId="77777777" w:rsidR="00AB4874" w:rsidRPr="007540D9" w:rsidRDefault="00AB4874" w:rsidP="0054179F">
      <w:pPr>
        <w:pStyle w:val="TextPara"/>
        <w:numPr>
          <w:ilvl w:val="0"/>
          <w:numId w:val="39"/>
        </w:numPr>
        <w:rPr>
          <w:rFonts w:cs="Arial"/>
          <w:sz w:val="22"/>
          <w:szCs w:val="22"/>
        </w:rPr>
      </w:pPr>
      <w:r>
        <w:rPr>
          <w:rFonts w:cs="Arial"/>
          <w:sz w:val="22"/>
          <w:szCs w:val="22"/>
        </w:rPr>
        <w:t>future interest rates;</w:t>
      </w:r>
    </w:p>
    <w:p w14:paraId="5EA738D0" w14:textId="77777777" w:rsidR="004800B5" w:rsidRPr="007540D9" w:rsidRDefault="004800B5" w:rsidP="0054179F">
      <w:pPr>
        <w:pStyle w:val="TextPara"/>
        <w:numPr>
          <w:ilvl w:val="0"/>
          <w:numId w:val="39"/>
        </w:numPr>
        <w:rPr>
          <w:rFonts w:cs="Arial"/>
          <w:sz w:val="22"/>
          <w:szCs w:val="22"/>
        </w:rPr>
      </w:pPr>
      <w:r w:rsidRPr="007540D9">
        <w:rPr>
          <w:rFonts w:cs="Arial"/>
          <w:sz w:val="22"/>
          <w:szCs w:val="22"/>
        </w:rPr>
        <w:t xml:space="preserve">future on-cost rates; and </w:t>
      </w:r>
    </w:p>
    <w:p w14:paraId="5EA738D1" w14:textId="77777777" w:rsidR="004800B5" w:rsidRPr="007540D9" w:rsidRDefault="004800B5" w:rsidP="0054179F">
      <w:pPr>
        <w:pStyle w:val="TextPara"/>
        <w:numPr>
          <w:ilvl w:val="0"/>
          <w:numId w:val="39"/>
        </w:numPr>
        <w:rPr>
          <w:rFonts w:cs="Arial"/>
          <w:sz w:val="22"/>
          <w:szCs w:val="22"/>
        </w:rPr>
      </w:pPr>
      <w:r w:rsidRPr="007540D9">
        <w:rPr>
          <w:rFonts w:cs="Arial"/>
          <w:sz w:val="22"/>
          <w:szCs w:val="22"/>
        </w:rPr>
        <w:t>experience of employee departures and period of service</w:t>
      </w:r>
    </w:p>
    <w:p w14:paraId="5EA738D2" w14:textId="77777777" w:rsidR="002A650F" w:rsidRPr="00887462" w:rsidRDefault="002A650F" w:rsidP="002206F9">
      <w:pPr>
        <w:pStyle w:val="TextPara"/>
        <w:rPr>
          <w:rFonts w:cs="Arial"/>
          <w:sz w:val="12"/>
          <w:szCs w:val="22"/>
        </w:rPr>
      </w:pPr>
    </w:p>
    <w:p w14:paraId="5EA738D3" w14:textId="77777777" w:rsidR="004800B5" w:rsidRPr="00887462" w:rsidRDefault="002A650F" w:rsidP="002206F9">
      <w:pPr>
        <w:pStyle w:val="TextPara"/>
        <w:rPr>
          <w:rFonts w:cs="Arial"/>
          <w:sz w:val="22"/>
          <w:szCs w:val="22"/>
        </w:rPr>
      </w:pPr>
      <w:r w:rsidRPr="00B64EBB">
        <w:rPr>
          <w:rFonts w:cs="Arial"/>
          <w:sz w:val="22"/>
          <w:szCs w:val="22"/>
        </w:rPr>
        <w:t xml:space="preserve">Liabilities recognised in respect of long term employee benefits are measured as the present </w:t>
      </w:r>
      <w:r w:rsidRPr="00887462">
        <w:rPr>
          <w:rFonts w:cs="Arial"/>
          <w:sz w:val="22"/>
          <w:szCs w:val="22"/>
        </w:rPr>
        <w:t>value</w:t>
      </w:r>
      <w:r>
        <w:rPr>
          <w:rFonts w:cs="Arial"/>
          <w:sz w:val="22"/>
          <w:szCs w:val="22"/>
        </w:rPr>
        <w:t>.</w:t>
      </w:r>
    </w:p>
    <w:p w14:paraId="5EA738D4" w14:textId="77777777" w:rsidR="002A650F" w:rsidRPr="007540D9" w:rsidRDefault="002A650F" w:rsidP="002206F9">
      <w:pPr>
        <w:pStyle w:val="TextPara"/>
        <w:rPr>
          <w:rFonts w:cs="Arial"/>
          <w:szCs w:val="22"/>
          <w:highlight w:val="yellow"/>
        </w:rPr>
      </w:pPr>
    </w:p>
    <w:p w14:paraId="5EA738D5" w14:textId="77777777" w:rsidR="004800B5" w:rsidRPr="00FA7C6C" w:rsidRDefault="004800B5" w:rsidP="00FA7C6C">
      <w:pPr>
        <w:pStyle w:val="Heading3"/>
        <w:jc w:val="left"/>
        <w:rPr>
          <w:color w:val="auto"/>
          <w:sz w:val="22"/>
          <w:szCs w:val="22"/>
        </w:rPr>
      </w:pPr>
      <w:bookmarkStart w:id="273" w:name="_Toc430613078"/>
      <w:bookmarkStart w:id="274" w:name="_Toc430613384"/>
      <w:bookmarkStart w:id="275" w:name="_Toc430613755"/>
      <w:r w:rsidRPr="00FA7C6C">
        <w:rPr>
          <w:color w:val="auto"/>
          <w:sz w:val="22"/>
          <w:szCs w:val="22"/>
        </w:rPr>
        <w:t>4.1.3 Held to maturity financial assets</w:t>
      </w:r>
      <w:bookmarkEnd w:id="273"/>
      <w:bookmarkEnd w:id="274"/>
      <w:bookmarkEnd w:id="275"/>
    </w:p>
    <w:p w14:paraId="5EA738D6" w14:textId="77777777" w:rsidR="004800B5" w:rsidRPr="007540D9" w:rsidRDefault="004800B5" w:rsidP="002206F9">
      <w:pPr>
        <w:pStyle w:val="TextPara"/>
        <w:rPr>
          <w:rFonts w:cs="Arial"/>
          <w:sz w:val="18"/>
          <w:szCs w:val="22"/>
          <w:u w:val="single"/>
        </w:rPr>
      </w:pPr>
    </w:p>
    <w:p w14:paraId="5EA738D7" w14:textId="38337D6A" w:rsidR="00792EA3" w:rsidRPr="007540D9" w:rsidRDefault="00792EA3" w:rsidP="002206F9">
      <w:pPr>
        <w:pStyle w:val="TextPara"/>
        <w:rPr>
          <w:rFonts w:cs="Arial"/>
          <w:sz w:val="22"/>
          <w:szCs w:val="22"/>
        </w:rPr>
      </w:pPr>
      <w:r w:rsidRPr="007540D9">
        <w:rPr>
          <w:rFonts w:cs="Arial"/>
          <w:sz w:val="22"/>
          <w:szCs w:val="22"/>
        </w:rPr>
        <w:t xml:space="preserve">The Directors have reviewed the </w:t>
      </w:r>
      <w:r w:rsidR="002F0100" w:rsidRPr="007540D9">
        <w:rPr>
          <w:rFonts w:cs="Arial"/>
          <w:sz w:val="22"/>
          <w:szCs w:val="22"/>
        </w:rPr>
        <w:t>Group</w:t>
      </w:r>
      <w:r w:rsidRPr="007540D9">
        <w:rPr>
          <w:rFonts w:cs="Arial"/>
          <w:sz w:val="22"/>
          <w:szCs w:val="22"/>
        </w:rPr>
        <w:t xml:space="preserve">’s held to maturity financial assets and have confirmed the </w:t>
      </w:r>
      <w:r w:rsidR="002F0100" w:rsidRPr="007540D9">
        <w:rPr>
          <w:rFonts w:cs="Arial"/>
          <w:sz w:val="22"/>
          <w:szCs w:val="22"/>
        </w:rPr>
        <w:t>Group</w:t>
      </w:r>
      <w:r w:rsidRPr="007540D9">
        <w:rPr>
          <w:rFonts w:cs="Arial"/>
          <w:sz w:val="22"/>
          <w:szCs w:val="22"/>
        </w:rPr>
        <w:t>’s positive intention and ability to hold these assets to maturity.  The carrying amount of the held to maturity financial assets is $</w:t>
      </w:r>
      <w:r w:rsidR="00B22C02">
        <w:rPr>
          <w:rFonts w:cs="Arial"/>
          <w:sz w:val="22"/>
          <w:szCs w:val="22"/>
        </w:rPr>
        <w:t>21,453</w:t>
      </w:r>
      <w:r w:rsidR="00F52C42" w:rsidRPr="007540D9">
        <w:rPr>
          <w:rFonts w:cs="Arial"/>
          <w:sz w:val="22"/>
          <w:szCs w:val="22"/>
        </w:rPr>
        <w:t>,000</w:t>
      </w:r>
      <w:r w:rsidR="00C90A50" w:rsidRPr="007540D9">
        <w:rPr>
          <w:rFonts w:cs="Arial"/>
          <w:sz w:val="22"/>
          <w:szCs w:val="22"/>
        </w:rPr>
        <w:t xml:space="preserve"> </w:t>
      </w:r>
      <w:r w:rsidRPr="007540D9">
        <w:rPr>
          <w:rFonts w:cs="Arial"/>
          <w:sz w:val="22"/>
          <w:szCs w:val="22"/>
        </w:rPr>
        <w:t>(201</w:t>
      </w:r>
      <w:r w:rsidR="00687578">
        <w:rPr>
          <w:rFonts w:cs="Arial"/>
          <w:sz w:val="22"/>
          <w:szCs w:val="22"/>
        </w:rPr>
        <w:t>4</w:t>
      </w:r>
      <w:r w:rsidRPr="007540D9">
        <w:rPr>
          <w:rFonts w:cs="Arial"/>
          <w:sz w:val="22"/>
          <w:szCs w:val="22"/>
        </w:rPr>
        <w:t>: $</w:t>
      </w:r>
      <w:r w:rsidR="00B22C02">
        <w:rPr>
          <w:rFonts w:cs="Arial"/>
          <w:sz w:val="22"/>
          <w:szCs w:val="22"/>
        </w:rPr>
        <w:t>13,980</w:t>
      </w:r>
      <w:r w:rsidR="0058055D" w:rsidRPr="007540D9">
        <w:rPr>
          <w:rFonts w:cs="Arial"/>
          <w:sz w:val="22"/>
          <w:szCs w:val="22"/>
        </w:rPr>
        <w:t>,000</w:t>
      </w:r>
      <w:r w:rsidRPr="007540D9">
        <w:rPr>
          <w:rFonts w:cs="Arial"/>
          <w:sz w:val="22"/>
          <w:szCs w:val="22"/>
        </w:rPr>
        <w:t>).</w:t>
      </w:r>
    </w:p>
    <w:p w14:paraId="5EA738D8" w14:textId="77777777" w:rsidR="00C90A50" w:rsidRPr="00B64EBB" w:rsidRDefault="00C90A50" w:rsidP="002206F9">
      <w:pPr>
        <w:pStyle w:val="TextPara"/>
        <w:rPr>
          <w:rFonts w:cs="Arial"/>
          <w:b/>
          <w:szCs w:val="22"/>
          <w:highlight w:val="yellow"/>
        </w:rPr>
      </w:pPr>
    </w:p>
    <w:p w14:paraId="5EA738D9" w14:textId="77777777" w:rsidR="004800B5" w:rsidRPr="00FA7C6C" w:rsidRDefault="004800B5" w:rsidP="00FA7C6C">
      <w:pPr>
        <w:pStyle w:val="Heading2"/>
        <w:rPr>
          <w:sz w:val="22"/>
          <w:szCs w:val="22"/>
        </w:rPr>
      </w:pPr>
      <w:bookmarkStart w:id="276" w:name="_Toc430613079"/>
      <w:bookmarkStart w:id="277" w:name="_Toc430613385"/>
      <w:bookmarkStart w:id="278" w:name="_Toc430613756"/>
      <w:r w:rsidRPr="00FA7C6C">
        <w:rPr>
          <w:sz w:val="22"/>
          <w:szCs w:val="22"/>
        </w:rPr>
        <w:t>4.2 Key sources of estimation uncertainty</w:t>
      </w:r>
      <w:bookmarkEnd w:id="276"/>
      <w:bookmarkEnd w:id="277"/>
      <w:bookmarkEnd w:id="278"/>
    </w:p>
    <w:p w14:paraId="5EA738DA" w14:textId="77777777" w:rsidR="004800B5" w:rsidRPr="00B64EBB" w:rsidRDefault="004800B5" w:rsidP="002206F9">
      <w:pPr>
        <w:pStyle w:val="TextPara"/>
        <w:rPr>
          <w:rFonts w:cs="Arial"/>
          <w:b/>
          <w:sz w:val="12"/>
          <w:szCs w:val="22"/>
        </w:rPr>
      </w:pPr>
    </w:p>
    <w:p w14:paraId="5EA738DB" w14:textId="77777777" w:rsidR="004800B5" w:rsidRPr="007540D9" w:rsidRDefault="004800B5" w:rsidP="002206F9">
      <w:pPr>
        <w:pStyle w:val="TextPara"/>
        <w:rPr>
          <w:rFonts w:cs="Arial"/>
          <w:sz w:val="22"/>
          <w:szCs w:val="22"/>
        </w:rPr>
      </w:pPr>
      <w:r w:rsidRPr="007540D9">
        <w:rPr>
          <w:rFonts w:cs="Arial"/>
          <w:sz w:val="22"/>
          <w:szCs w:val="22"/>
        </w:rPr>
        <w:t>The following are the key assumptions concerning the future, and other key sources of estimation uncertainty at balance sheet date, that have a risk of causing a material adjustment to the carrying amounts of assets and liabilities</w:t>
      </w:r>
      <w:r w:rsidR="001F5BFC" w:rsidRPr="007540D9">
        <w:rPr>
          <w:rFonts w:cs="Arial"/>
          <w:sz w:val="22"/>
          <w:szCs w:val="22"/>
        </w:rPr>
        <w:t xml:space="preserve"> within the next financial year.</w:t>
      </w:r>
    </w:p>
    <w:p w14:paraId="5EA738DC" w14:textId="77777777" w:rsidR="004800B5" w:rsidRPr="00B64EBB" w:rsidRDefault="004800B5" w:rsidP="002206F9">
      <w:pPr>
        <w:pStyle w:val="TextPara"/>
        <w:rPr>
          <w:rFonts w:cs="Arial"/>
          <w:sz w:val="16"/>
          <w:szCs w:val="22"/>
          <w:highlight w:val="yellow"/>
          <w:u w:val="single"/>
        </w:rPr>
      </w:pPr>
    </w:p>
    <w:p w14:paraId="5EA738DD" w14:textId="2863B638" w:rsidR="004800B5" w:rsidRPr="00FA7C6C" w:rsidRDefault="004800B5" w:rsidP="00FA7C6C">
      <w:pPr>
        <w:pStyle w:val="Heading3"/>
        <w:jc w:val="left"/>
        <w:rPr>
          <w:color w:val="auto"/>
          <w:sz w:val="22"/>
          <w:szCs w:val="22"/>
        </w:rPr>
      </w:pPr>
      <w:bookmarkStart w:id="279" w:name="_Toc430613080"/>
      <w:bookmarkStart w:id="280" w:name="_Toc430613386"/>
      <w:bookmarkStart w:id="281" w:name="_Toc430613757"/>
      <w:r w:rsidRPr="00FA7C6C">
        <w:rPr>
          <w:color w:val="auto"/>
          <w:sz w:val="22"/>
          <w:szCs w:val="22"/>
        </w:rPr>
        <w:t xml:space="preserve">4.2.1 Useful lives of property, plant </w:t>
      </w:r>
      <w:r w:rsidR="00A07FE0" w:rsidRPr="00FA7C6C">
        <w:rPr>
          <w:color w:val="auto"/>
          <w:sz w:val="22"/>
          <w:szCs w:val="22"/>
        </w:rPr>
        <w:t>and</w:t>
      </w:r>
      <w:r w:rsidRPr="00FA7C6C">
        <w:rPr>
          <w:color w:val="auto"/>
          <w:sz w:val="22"/>
          <w:szCs w:val="22"/>
        </w:rPr>
        <w:t xml:space="preserve"> equipment and intangible assets</w:t>
      </w:r>
      <w:bookmarkEnd w:id="279"/>
      <w:bookmarkEnd w:id="280"/>
      <w:bookmarkEnd w:id="281"/>
    </w:p>
    <w:p w14:paraId="5EA738DE" w14:textId="77777777" w:rsidR="004800B5" w:rsidRPr="00887462" w:rsidRDefault="004800B5" w:rsidP="002206F9">
      <w:pPr>
        <w:pStyle w:val="TextPara"/>
        <w:rPr>
          <w:rFonts w:cs="Arial"/>
          <w:sz w:val="16"/>
          <w:szCs w:val="22"/>
          <w:u w:val="single"/>
        </w:rPr>
      </w:pPr>
    </w:p>
    <w:p w14:paraId="5EA738DF" w14:textId="51BC7132" w:rsidR="003D2A3D" w:rsidRDefault="004800B5" w:rsidP="002206F9">
      <w:pPr>
        <w:rPr>
          <w:rFonts w:cs="Arial"/>
          <w:sz w:val="22"/>
          <w:szCs w:val="22"/>
        </w:rPr>
      </w:pPr>
      <w:r w:rsidRPr="007540D9">
        <w:rPr>
          <w:rFonts w:cs="Arial"/>
          <w:sz w:val="22"/>
          <w:szCs w:val="22"/>
        </w:rPr>
        <w:t xml:space="preserve">Useful lives of property, plant </w:t>
      </w:r>
      <w:r w:rsidR="00A07FE0">
        <w:rPr>
          <w:rFonts w:cs="Arial"/>
          <w:sz w:val="22"/>
          <w:szCs w:val="22"/>
        </w:rPr>
        <w:t>and</w:t>
      </w:r>
      <w:r w:rsidRPr="007540D9">
        <w:rPr>
          <w:rFonts w:cs="Arial"/>
          <w:sz w:val="22"/>
          <w:szCs w:val="22"/>
        </w:rPr>
        <w:t xml:space="preserve"> equipment and intangible assets are reviewed annually. Any reassessment of useful lives in a particular year will affect the depreciation and </w:t>
      </w:r>
      <w:r w:rsidRPr="007540D9">
        <w:rPr>
          <w:rFonts w:cs="Arial"/>
          <w:sz w:val="22"/>
          <w:szCs w:val="22"/>
        </w:rPr>
        <w:lastRenderedPageBreak/>
        <w:t xml:space="preserve">amortisation expense (either increasing or decreasing) through to the end of </w:t>
      </w:r>
      <w:r w:rsidR="001F5BFC" w:rsidRPr="007540D9">
        <w:rPr>
          <w:rFonts w:cs="Arial"/>
          <w:sz w:val="22"/>
          <w:szCs w:val="22"/>
        </w:rPr>
        <w:t xml:space="preserve">the </w:t>
      </w:r>
      <w:r w:rsidRPr="007540D9">
        <w:rPr>
          <w:rFonts w:cs="Arial"/>
          <w:sz w:val="22"/>
          <w:szCs w:val="22"/>
        </w:rPr>
        <w:t>reassessed useful life for both the current and future years.</w:t>
      </w:r>
    </w:p>
    <w:p w14:paraId="6EA1DEE3" w14:textId="77777777" w:rsidR="003D2A3D" w:rsidRDefault="003D2A3D" w:rsidP="003D2A3D"/>
    <w:p w14:paraId="27832EA9" w14:textId="77777777" w:rsidR="003D2A3D" w:rsidRDefault="003D2A3D" w:rsidP="00BF287B">
      <w:pPr>
        <w:pStyle w:val="Heading1"/>
      </w:pPr>
      <w:bookmarkStart w:id="282" w:name="_Toc430613758"/>
      <w:r w:rsidRPr="003D2A3D">
        <w:t>Note 5: Revenue</w:t>
      </w:r>
      <w:bookmarkEnd w:id="282"/>
    </w:p>
    <w:p w14:paraId="454F7556" w14:textId="52F08DF8" w:rsidR="003D2A3D" w:rsidRDefault="003D2A3D">
      <w:pPr>
        <w:rPr>
          <w:rFonts w:cs="Arial"/>
          <w:sz w:val="22"/>
          <w:szCs w:val="22"/>
        </w:rPr>
      </w:pPr>
    </w:p>
    <w:p w14:paraId="5E432A59" w14:textId="738521EC" w:rsidR="004800B5" w:rsidRDefault="00931AF7" w:rsidP="002206F9">
      <w:pPr>
        <w:rPr>
          <w:rFonts w:cs="Arial"/>
          <w:color w:val="000000"/>
          <w:sz w:val="22"/>
          <w:szCs w:val="22"/>
          <w:lang w:eastAsia="en-AU"/>
        </w:rPr>
      </w:pPr>
      <w:r w:rsidRPr="00CD3BD3">
        <w:rPr>
          <w:rFonts w:cs="Arial"/>
          <w:color w:val="000000"/>
          <w:sz w:val="22"/>
          <w:szCs w:val="22"/>
          <w:lang w:eastAsia="en-AU"/>
        </w:rPr>
        <w:t>An analysis of the consolidated entity’s revenue for the year is as follows</w:t>
      </w:r>
      <w:r>
        <w:rPr>
          <w:rFonts w:cs="Arial"/>
          <w:color w:val="000000"/>
          <w:sz w:val="22"/>
          <w:szCs w:val="22"/>
          <w:lang w:eastAsia="en-AU"/>
        </w:rPr>
        <w:t>.</w:t>
      </w:r>
    </w:p>
    <w:p w14:paraId="3DDD72AD" w14:textId="77777777" w:rsidR="00931AF7" w:rsidRDefault="00931AF7" w:rsidP="002206F9">
      <w:pPr>
        <w:rPr>
          <w:rFonts w:cs="Arial"/>
          <w:color w:val="000000"/>
          <w:sz w:val="22"/>
          <w:szCs w:val="22"/>
          <w:lang w:eastAsia="en-AU"/>
        </w:rPr>
      </w:pPr>
    </w:p>
    <w:p w14:paraId="55735B16" w14:textId="457A3AAD" w:rsidR="00931AF7" w:rsidRPr="007540D9" w:rsidRDefault="00931AF7" w:rsidP="002206F9">
      <w:pPr>
        <w:rPr>
          <w:rFonts w:cs="Arial"/>
          <w:sz w:val="22"/>
          <w:szCs w:val="22"/>
        </w:rPr>
      </w:pPr>
      <w:r w:rsidRPr="00CD3BD3">
        <w:rPr>
          <w:rFonts w:cs="Arial"/>
          <w:color w:val="000000"/>
          <w:sz w:val="22"/>
          <w:szCs w:val="22"/>
          <w:lang w:eastAsia="en-AU"/>
        </w:rPr>
        <w:t>Revenue from operations consisted of the following items:</w:t>
      </w:r>
    </w:p>
    <w:tbl>
      <w:tblPr>
        <w:tblW w:w="8745" w:type="dxa"/>
        <w:tblInd w:w="108" w:type="dxa"/>
        <w:tblLook w:val="04A0" w:firstRow="1" w:lastRow="0" w:firstColumn="1" w:lastColumn="0" w:noHBand="0" w:noVBand="1"/>
      </w:tblPr>
      <w:tblGrid>
        <w:gridCol w:w="6063"/>
        <w:gridCol w:w="1341"/>
        <w:gridCol w:w="1341"/>
      </w:tblGrid>
      <w:tr w:rsidR="00931AF7" w:rsidRPr="00CD3BD3" w14:paraId="641F85C9" w14:textId="77777777" w:rsidTr="003B0341">
        <w:trPr>
          <w:trHeight w:val="316"/>
          <w:tblHeader/>
        </w:trPr>
        <w:tc>
          <w:tcPr>
            <w:tcW w:w="6063" w:type="dxa"/>
            <w:tcBorders>
              <w:top w:val="nil"/>
              <w:left w:val="nil"/>
              <w:bottom w:val="nil"/>
              <w:right w:val="nil"/>
            </w:tcBorders>
            <w:shd w:val="clear" w:color="auto" w:fill="auto"/>
            <w:vAlign w:val="bottom"/>
          </w:tcPr>
          <w:p w14:paraId="698016C9" w14:textId="77777777" w:rsidR="00931AF7" w:rsidRPr="00CD3BD3" w:rsidRDefault="00931AF7" w:rsidP="00CD3BD3">
            <w:pPr>
              <w:rPr>
                <w:rFonts w:cs="Arial"/>
                <w:color w:val="000000"/>
                <w:sz w:val="22"/>
                <w:szCs w:val="22"/>
                <w:lang w:eastAsia="en-AU"/>
              </w:rPr>
            </w:pPr>
            <w:bookmarkStart w:id="283" w:name="Table_19"/>
            <w:bookmarkEnd w:id="283"/>
          </w:p>
        </w:tc>
        <w:tc>
          <w:tcPr>
            <w:tcW w:w="1341" w:type="dxa"/>
            <w:tcBorders>
              <w:top w:val="nil"/>
              <w:left w:val="nil"/>
              <w:bottom w:val="single" w:sz="4" w:space="0" w:color="auto"/>
              <w:right w:val="nil"/>
            </w:tcBorders>
            <w:shd w:val="clear" w:color="000000" w:fill="BFBFBF" w:themeFill="background1" w:themeFillShade="BF"/>
            <w:vAlign w:val="bottom"/>
          </w:tcPr>
          <w:p w14:paraId="302BC540" w14:textId="3E61C318" w:rsidR="00931AF7" w:rsidRPr="00931AF7" w:rsidRDefault="00931AF7" w:rsidP="00CD3BD3">
            <w:pPr>
              <w:jc w:val="right"/>
              <w:rPr>
                <w:rFonts w:cs="Arial"/>
                <w:b/>
                <w:color w:val="000000"/>
                <w:sz w:val="22"/>
                <w:szCs w:val="22"/>
                <w:lang w:eastAsia="en-AU"/>
              </w:rPr>
            </w:pPr>
            <w:r w:rsidRPr="00931AF7">
              <w:rPr>
                <w:rFonts w:cs="Arial"/>
                <w:b/>
                <w:color w:val="000000"/>
                <w:sz w:val="22"/>
                <w:szCs w:val="22"/>
                <w:lang w:eastAsia="en-AU"/>
              </w:rPr>
              <w:t>2015</w:t>
            </w:r>
          </w:p>
        </w:tc>
        <w:tc>
          <w:tcPr>
            <w:tcW w:w="1341" w:type="dxa"/>
            <w:tcBorders>
              <w:top w:val="nil"/>
              <w:left w:val="nil"/>
              <w:bottom w:val="single" w:sz="4" w:space="0" w:color="auto"/>
              <w:right w:val="nil"/>
            </w:tcBorders>
            <w:shd w:val="clear" w:color="auto" w:fill="auto"/>
            <w:vAlign w:val="bottom"/>
          </w:tcPr>
          <w:p w14:paraId="1A3AFD99" w14:textId="478654CC" w:rsidR="00931AF7" w:rsidRPr="00CD3BD3" w:rsidRDefault="00931AF7" w:rsidP="00CD3BD3">
            <w:pPr>
              <w:jc w:val="right"/>
              <w:rPr>
                <w:rFonts w:cs="Arial"/>
                <w:color w:val="000000"/>
                <w:sz w:val="22"/>
                <w:szCs w:val="22"/>
                <w:lang w:eastAsia="en-AU"/>
              </w:rPr>
            </w:pPr>
            <w:r>
              <w:rPr>
                <w:rFonts w:cs="Arial"/>
                <w:color w:val="000000"/>
                <w:sz w:val="22"/>
                <w:szCs w:val="22"/>
                <w:lang w:eastAsia="en-AU"/>
              </w:rPr>
              <w:t>2014</w:t>
            </w:r>
          </w:p>
        </w:tc>
      </w:tr>
      <w:tr w:rsidR="00931AF7" w:rsidRPr="00CD3BD3" w14:paraId="5EA73906" w14:textId="77777777" w:rsidTr="00931AF7">
        <w:trPr>
          <w:trHeight w:val="316"/>
        </w:trPr>
        <w:tc>
          <w:tcPr>
            <w:tcW w:w="6063" w:type="dxa"/>
            <w:tcBorders>
              <w:top w:val="nil"/>
              <w:left w:val="nil"/>
              <w:bottom w:val="nil"/>
              <w:right w:val="nil"/>
            </w:tcBorders>
            <w:shd w:val="clear" w:color="auto" w:fill="auto"/>
            <w:vAlign w:val="bottom"/>
            <w:hideMark/>
          </w:tcPr>
          <w:p w14:paraId="5EA73902" w14:textId="77777777"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Revenue from the sale of goods</w:t>
            </w:r>
          </w:p>
        </w:tc>
        <w:tc>
          <w:tcPr>
            <w:tcW w:w="1341" w:type="dxa"/>
            <w:tcBorders>
              <w:top w:val="single" w:sz="4" w:space="0" w:color="auto"/>
              <w:left w:val="nil"/>
              <w:bottom w:val="nil"/>
              <w:right w:val="nil"/>
            </w:tcBorders>
            <w:shd w:val="clear" w:color="000000" w:fill="BFBFBF" w:themeFill="background1" w:themeFillShade="BF"/>
            <w:vAlign w:val="bottom"/>
          </w:tcPr>
          <w:p w14:paraId="5EA73904"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5,256</w:t>
            </w:r>
          </w:p>
        </w:tc>
        <w:tc>
          <w:tcPr>
            <w:tcW w:w="1341" w:type="dxa"/>
            <w:tcBorders>
              <w:top w:val="single" w:sz="4" w:space="0" w:color="auto"/>
              <w:left w:val="nil"/>
              <w:bottom w:val="nil"/>
              <w:right w:val="nil"/>
            </w:tcBorders>
            <w:shd w:val="clear" w:color="auto" w:fill="auto"/>
            <w:vAlign w:val="bottom"/>
            <w:hideMark/>
          </w:tcPr>
          <w:p w14:paraId="5EA73905"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5,786</w:t>
            </w:r>
          </w:p>
        </w:tc>
      </w:tr>
      <w:tr w:rsidR="00931AF7" w:rsidRPr="00CD3BD3" w14:paraId="5EA7390B" w14:textId="77777777" w:rsidTr="00931AF7">
        <w:trPr>
          <w:trHeight w:val="316"/>
        </w:trPr>
        <w:tc>
          <w:tcPr>
            <w:tcW w:w="6063" w:type="dxa"/>
            <w:tcBorders>
              <w:top w:val="nil"/>
              <w:left w:val="nil"/>
              <w:bottom w:val="nil"/>
              <w:right w:val="nil"/>
            </w:tcBorders>
            <w:shd w:val="clear" w:color="auto" w:fill="auto"/>
            <w:vAlign w:val="bottom"/>
            <w:hideMark/>
          </w:tcPr>
          <w:p w14:paraId="5EA73907" w14:textId="77777777"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Revenue from services rendered</w:t>
            </w:r>
          </w:p>
        </w:tc>
        <w:tc>
          <w:tcPr>
            <w:tcW w:w="1341" w:type="dxa"/>
            <w:tcBorders>
              <w:top w:val="nil"/>
              <w:left w:val="nil"/>
              <w:bottom w:val="nil"/>
              <w:right w:val="nil"/>
            </w:tcBorders>
            <w:shd w:val="clear" w:color="000000" w:fill="BFBFBF" w:themeFill="background1" w:themeFillShade="BF"/>
            <w:vAlign w:val="bottom"/>
          </w:tcPr>
          <w:p w14:paraId="5EA73909"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2,981</w:t>
            </w:r>
          </w:p>
        </w:tc>
        <w:tc>
          <w:tcPr>
            <w:tcW w:w="1341" w:type="dxa"/>
            <w:tcBorders>
              <w:top w:val="nil"/>
              <w:left w:val="nil"/>
              <w:bottom w:val="nil"/>
              <w:right w:val="nil"/>
            </w:tcBorders>
            <w:shd w:val="clear" w:color="auto" w:fill="auto"/>
            <w:vAlign w:val="bottom"/>
            <w:hideMark/>
          </w:tcPr>
          <w:p w14:paraId="5EA7390A"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2,296</w:t>
            </w:r>
          </w:p>
        </w:tc>
      </w:tr>
      <w:tr w:rsidR="00931AF7" w:rsidRPr="00CD3BD3" w14:paraId="5EA73910" w14:textId="77777777" w:rsidTr="00931AF7">
        <w:trPr>
          <w:trHeight w:val="316"/>
        </w:trPr>
        <w:tc>
          <w:tcPr>
            <w:tcW w:w="6063" w:type="dxa"/>
            <w:tcBorders>
              <w:top w:val="nil"/>
              <w:left w:val="nil"/>
              <w:bottom w:val="nil"/>
              <w:right w:val="nil"/>
            </w:tcBorders>
            <w:shd w:val="clear" w:color="auto" w:fill="auto"/>
            <w:vAlign w:val="bottom"/>
            <w:hideMark/>
          </w:tcPr>
          <w:p w14:paraId="5EA7390C" w14:textId="77777777"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Commonwealth Government grant income</w:t>
            </w:r>
          </w:p>
        </w:tc>
        <w:tc>
          <w:tcPr>
            <w:tcW w:w="1341" w:type="dxa"/>
            <w:tcBorders>
              <w:top w:val="nil"/>
              <w:left w:val="nil"/>
              <w:bottom w:val="nil"/>
              <w:right w:val="nil"/>
            </w:tcBorders>
            <w:shd w:val="clear" w:color="000000" w:fill="BFBFBF" w:themeFill="background1" w:themeFillShade="BF"/>
            <w:vAlign w:val="bottom"/>
          </w:tcPr>
          <w:p w14:paraId="5EA7390E"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6,948</w:t>
            </w:r>
          </w:p>
        </w:tc>
        <w:tc>
          <w:tcPr>
            <w:tcW w:w="1341" w:type="dxa"/>
            <w:tcBorders>
              <w:top w:val="nil"/>
              <w:left w:val="nil"/>
              <w:bottom w:val="nil"/>
              <w:right w:val="nil"/>
            </w:tcBorders>
            <w:shd w:val="clear" w:color="auto" w:fill="auto"/>
            <w:vAlign w:val="bottom"/>
            <w:hideMark/>
          </w:tcPr>
          <w:p w14:paraId="5EA7390F"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7,066</w:t>
            </w:r>
          </w:p>
        </w:tc>
      </w:tr>
      <w:tr w:rsidR="00931AF7" w:rsidRPr="00CD3BD3" w14:paraId="5EA73915" w14:textId="77777777" w:rsidTr="00931AF7">
        <w:trPr>
          <w:trHeight w:val="316"/>
        </w:trPr>
        <w:tc>
          <w:tcPr>
            <w:tcW w:w="6063" w:type="dxa"/>
            <w:tcBorders>
              <w:top w:val="nil"/>
              <w:left w:val="nil"/>
              <w:bottom w:val="nil"/>
              <w:right w:val="nil"/>
            </w:tcBorders>
            <w:shd w:val="clear" w:color="auto" w:fill="auto"/>
            <w:vAlign w:val="bottom"/>
            <w:hideMark/>
          </w:tcPr>
          <w:p w14:paraId="5EA73911" w14:textId="77777777"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State Government grant income</w:t>
            </w:r>
          </w:p>
        </w:tc>
        <w:tc>
          <w:tcPr>
            <w:tcW w:w="1341" w:type="dxa"/>
            <w:tcBorders>
              <w:top w:val="nil"/>
              <w:left w:val="nil"/>
              <w:bottom w:val="nil"/>
              <w:right w:val="nil"/>
            </w:tcBorders>
            <w:shd w:val="clear" w:color="000000" w:fill="BFBFBF" w:themeFill="background1" w:themeFillShade="BF"/>
            <w:vAlign w:val="bottom"/>
          </w:tcPr>
          <w:p w14:paraId="5EA73913"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25,680</w:t>
            </w:r>
          </w:p>
        </w:tc>
        <w:tc>
          <w:tcPr>
            <w:tcW w:w="1341" w:type="dxa"/>
            <w:tcBorders>
              <w:top w:val="nil"/>
              <w:left w:val="nil"/>
              <w:bottom w:val="nil"/>
              <w:right w:val="nil"/>
            </w:tcBorders>
            <w:shd w:val="clear" w:color="auto" w:fill="auto"/>
            <w:vAlign w:val="bottom"/>
            <w:hideMark/>
          </w:tcPr>
          <w:p w14:paraId="5EA73914"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25,151</w:t>
            </w:r>
          </w:p>
        </w:tc>
      </w:tr>
      <w:tr w:rsidR="00931AF7" w:rsidRPr="00CD3BD3" w14:paraId="5EA7391A" w14:textId="77777777" w:rsidTr="00931AF7">
        <w:trPr>
          <w:trHeight w:val="316"/>
        </w:trPr>
        <w:tc>
          <w:tcPr>
            <w:tcW w:w="6063" w:type="dxa"/>
            <w:tcBorders>
              <w:top w:val="nil"/>
              <w:left w:val="nil"/>
              <w:bottom w:val="nil"/>
              <w:right w:val="nil"/>
            </w:tcBorders>
            <w:shd w:val="clear" w:color="auto" w:fill="auto"/>
            <w:vAlign w:val="bottom"/>
            <w:hideMark/>
          </w:tcPr>
          <w:p w14:paraId="5EA73916" w14:textId="77777777"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Other grant income</w:t>
            </w:r>
          </w:p>
        </w:tc>
        <w:tc>
          <w:tcPr>
            <w:tcW w:w="1341" w:type="dxa"/>
            <w:tcBorders>
              <w:top w:val="nil"/>
              <w:left w:val="nil"/>
              <w:bottom w:val="nil"/>
              <w:right w:val="nil"/>
            </w:tcBorders>
            <w:shd w:val="clear" w:color="000000" w:fill="BFBFBF" w:themeFill="background1" w:themeFillShade="BF"/>
            <w:vAlign w:val="bottom"/>
          </w:tcPr>
          <w:p w14:paraId="5EA73918"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3,433</w:t>
            </w:r>
          </w:p>
        </w:tc>
        <w:tc>
          <w:tcPr>
            <w:tcW w:w="1341" w:type="dxa"/>
            <w:tcBorders>
              <w:top w:val="nil"/>
              <w:left w:val="nil"/>
              <w:bottom w:val="nil"/>
              <w:right w:val="nil"/>
            </w:tcBorders>
            <w:shd w:val="clear" w:color="auto" w:fill="auto"/>
            <w:vAlign w:val="bottom"/>
            <w:hideMark/>
          </w:tcPr>
          <w:p w14:paraId="5EA73919"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117</w:t>
            </w:r>
          </w:p>
        </w:tc>
      </w:tr>
      <w:tr w:rsidR="00931AF7" w:rsidRPr="00CD3BD3" w14:paraId="5EA7391F" w14:textId="77777777" w:rsidTr="00931AF7">
        <w:trPr>
          <w:trHeight w:val="316"/>
        </w:trPr>
        <w:tc>
          <w:tcPr>
            <w:tcW w:w="6063" w:type="dxa"/>
            <w:tcBorders>
              <w:top w:val="nil"/>
              <w:left w:val="nil"/>
              <w:bottom w:val="nil"/>
              <w:right w:val="nil"/>
            </w:tcBorders>
            <w:shd w:val="clear" w:color="auto" w:fill="auto"/>
            <w:vAlign w:val="bottom"/>
            <w:hideMark/>
          </w:tcPr>
          <w:p w14:paraId="5EA7391B" w14:textId="77777777"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Legacies, bequests and donations</w:t>
            </w:r>
          </w:p>
        </w:tc>
        <w:tc>
          <w:tcPr>
            <w:tcW w:w="1341" w:type="dxa"/>
            <w:tcBorders>
              <w:top w:val="nil"/>
              <w:left w:val="nil"/>
              <w:bottom w:val="nil"/>
              <w:right w:val="nil"/>
            </w:tcBorders>
            <w:shd w:val="clear" w:color="000000" w:fill="BFBFBF" w:themeFill="background1" w:themeFillShade="BF"/>
            <w:vAlign w:val="bottom"/>
          </w:tcPr>
          <w:p w14:paraId="5EA7391D"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41,820</w:t>
            </w:r>
          </w:p>
        </w:tc>
        <w:tc>
          <w:tcPr>
            <w:tcW w:w="1341" w:type="dxa"/>
            <w:tcBorders>
              <w:top w:val="nil"/>
              <w:left w:val="nil"/>
              <w:bottom w:val="nil"/>
              <w:right w:val="nil"/>
            </w:tcBorders>
            <w:shd w:val="clear" w:color="auto" w:fill="auto"/>
            <w:vAlign w:val="bottom"/>
            <w:hideMark/>
          </w:tcPr>
          <w:p w14:paraId="5EA7391E"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41,476</w:t>
            </w:r>
          </w:p>
        </w:tc>
      </w:tr>
      <w:tr w:rsidR="00931AF7" w:rsidRPr="00CD3BD3" w14:paraId="5EA73924" w14:textId="77777777" w:rsidTr="00931AF7">
        <w:trPr>
          <w:trHeight w:val="316"/>
        </w:trPr>
        <w:tc>
          <w:tcPr>
            <w:tcW w:w="6063" w:type="dxa"/>
            <w:tcBorders>
              <w:top w:val="nil"/>
              <w:left w:val="nil"/>
              <w:bottom w:val="nil"/>
              <w:right w:val="nil"/>
            </w:tcBorders>
            <w:shd w:val="clear" w:color="auto" w:fill="auto"/>
            <w:vAlign w:val="bottom"/>
            <w:hideMark/>
          </w:tcPr>
          <w:p w14:paraId="5EA73920" w14:textId="77777777"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Rental revenue</w:t>
            </w:r>
          </w:p>
        </w:tc>
        <w:tc>
          <w:tcPr>
            <w:tcW w:w="1341" w:type="dxa"/>
            <w:tcBorders>
              <w:top w:val="nil"/>
              <w:left w:val="nil"/>
              <w:bottom w:val="nil"/>
              <w:right w:val="nil"/>
            </w:tcBorders>
            <w:shd w:val="clear" w:color="000000" w:fill="BFBFBF" w:themeFill="background1" w:themeFillShade="BF"/>
            <w:vAlign w:val="bottom"/>
          </w:tcPr>
          <w:p w14:paraId="5EA73922" w14:textId="5BB6D75B" w:rsidR="00931AF7" w:rsidRPr="00CD3BD3" w:rsidRDefault="00931AF7" w:rsidP="00CD3BD3">
            <w:pPr>
              <w:jc w:val="right"/>
              <w:rPr>
                <w:rFonts w:cs="Arial"/>
                <w:color w:val="000000"/>
                <w:sz w:val="22"/>
                <w:szCs w:val="22"/>
                <w:lang w:eastAsia="en-AU"/>
              </w:rPr>
            </w:pPr>
            <w:r>
              <w:rPr>
                <w:rFonts w:cs="Arial"/>
                <w:color w:val="000000"/>
                <w:sz w:val="22"/>
                <w:szCs w:val="22"/>
                <w:lang w:eastAsia="en-AU"/>
              </w:rPr>
              <w:t>570</w:t>
            </w:r>
          </w:p>
        </w:tc>
        <w:tc>
          <w:tcPr>
            <w:tcW w:w="1341" w:type="dxa"/>
            <w:tcBorders>
              <w:top w:val="nil"/>
              <w:left w:val="nil"/>
              <w:bottom w:val="nil"/>
              <w:right w:val="nil"/>
            </w:tcBorders>
            <w:shd w:val="clear" w:color="auto" w:fill="auto"/>
            <w:vAlign w:val="bottom"/>
            <w:hideMark/>
          </w:tcPr>
          <w:p w14:paraId="5EA73923"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472</w:t>
            </w:r>
          </w:p>
        </w:tc>
      </w:tr>
      <w:tr w:rsidR="00931AF7" w:rsidRPr="00CD3BD3" w14:paraId="5EA73929" w14:textId="77777777" w:rsidTr="00931AF7">
        <w:trPr>
          <w:trHeight w:val="316"/>
        </w:trPr>
        <w:tc>
          <w:tcPr>
            <w:tcW w:w="6063" w:type="dxa"/>
            <w:tcBorders>
              <w:top w:val="nil"/>
              <w:left w:val="nil"/>
              <w:bottom w:val="nil"/>
              <w:right w:val="nil"/>
            </w:tcBorders>
            <w:shd w:val="clear" w:color="auto" w:fill="auto"/>
            <w:vAlign w:val="bottom"/>
            <w:hideMark/>
          </w:tcPr>
          <w:p w14:paraId="5EA73925" w14:textId="66E501ED"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Interest revenue</w:t>
            </w:r>
          </w:p>
        </w:tc>
        <w:tc>
          <w:tcPr>
            <w:tcW w:w="1341" w:type="dxa"/>
            <w:tcBorders>
              <w:top w:val="nil"/>
              <w:left w:val="nil"/>
              <w:bottom w:val="nil"/>
              <w:right w:val="nil"/>
            </w:tcBorders>
            <w:shd w:val="clear" w:color="000000" w:fill="BFBFBF" w:themeFill="background1" w:themeFillShade="BF"/>
            <w:vAlign w:val="bottom"/>
          </w:tcPr>
          <w:p w14:paraId="5EA73927"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827</w:t>
            </w:r>
          </w:p>
        </w:tc>
        <w:tc>
          <w:tcPr>
            <w:tcW w:w="1341" w:type="dxa"/>
            <w:tcBorders>
              <w:top w:val="nil"/>
              <w:left w:val="nil"/>
              <w:bottom w:val="nil"/>
              <w:right w:val="nil"/>
            </w:tcBorders>
            <w:shd w:val="clear" w:color="auto" w:fill="auto"/>
            <w:vAlign w:val="bottom"/>
            <w:hideMark/>
          </w:tcPr>
          <w:p w14:paraId="5EA73928"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754</w:t>
            </w:r>
          </w:p>
        </w:tc>
      </w:tr>
      <w:tr w:rsidR="00931AF7" w:rsidRPr="00CD3BD3" w14:paraId="5EA7392E" w14:textId="77777777" w:rsidTr="00931AF7">
        <w:trPr>
          <w:trHeight w:val="316"/>
        </w:trPr>
        <w:tc>
          <w:tcPr>
            <w:tcW w:w="6063" w:type="dxa"/>
            <w:tcBorders>
              <w:top w:val="nil"/>
              <w:left w:val="nil"/>
              <w:bottom w:val="nil"/>
              <w:right w:val="nil"/>
            </w:tcBorders>
            <w:shd w:val="clear" w:color="auto" w:fill="auto"/>
            <w:vAlign w:val="bottom"/>
            <w:hideMark/>
          </w:tcPr>
          <w:p w14:paraId="5EA7392A" w14:textId="77777777"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Dividend revenue</w:t>
            </w:r>
          </w:p>
        </w:tc>
        <w:tc>
          <w:tcPr>
            <w:tcW w:w="1341" w:type="dxa"/>
            <w:tcBorders>
              <w:top w:val="nil"/>
              <w:left w:val="nil"/>
              <w:bottom w:val="nil"/>
              <w:right w:val="nil"/>
            </w:tcBorders>
            <w:shd w:val="clear" w:color="000000" w:fill="BFBFBF" w:themeFill="background1" w:themeFillShade="BF"/>
            <w:vAlign w:val="bottom"/>
          </w:tcPr>
          <w:p w14:paraId="5EA7392C" w14:textId="77777777" w:rsidR="00931AF7" w:rsidRPr="00CD3BD3" w:rsidRDefault="00931AF7" w:rsidP="004668BB">
            <w:pPr>
              <w:jc w:val="right"/>
              <w:rPr>
                <w:rFonts w:cs="Arial"/>
                <w:color w:val="000000"/>
                <w:sz w:val="22"/>
                <w:szCs w:val="22"/>
                <w:lang w:eastAsia="en-AU"/>
              </w:rPr>
            </w:pPr>
            <w:r>
              <w:rPr>
                <w:rFonts w:cs="Arial"/>
                <w:color w:val="000000"/>
                <w:sz w:val="22"/>
                <w:szCs w:val="22"/>
                <w:lang w:eastAsia="en-AU"/>
              </w:rPr>
              <w:t>4,882</w:t>
            </w:r>
          </w:p>
        </w:tc>
        <w:tc>
          <w:tcPr>
            <w:tcW w:w="1341" w:type="dxa"/>
            <w:tcBorders>
              <w:top w:val="nil"/>
              <w:left w:val="nil"/>
              <w:bottom w:val="nil"/>
              <w:right w:val="nil"/>
            </w:tcBorders>
            <w:shd w:val="clear" w:color="auto" w:fill="auto"/>
            <w:vAlign w:val="bottom"/>
            <w:hideMark/>
          </w:tcPr>
          <w:p w14:paraId="5EA7392D"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4,164</w:t>
            </w:r>
          </w:p>
        </w:tc>
      </w:tr>
      <w:tr w:rsidR="00931AF7" w:rsidRPr="00CD3BD3" w14:paraId="5EA73933" w14:textId="77777777" w:rsidTr="00931AF7">
        <w:trPr>
          <w:trHeight w:val="316"/>
        </w:trPr>
        <w:tc>
          <w:tcPr>
            <w:tcW w:w="6063" w:type="dxa"/>
            <w:tcBorders>
              <w:top w:val="nil"/>
              <w:left w:val="nil"/>
              <w:right w:val="nil"/>
            </w:tcBorders>
            <w:shd w:val="clear" w:color="auto" w:fill="auto"/>
            <w:vAlign w:val="bottom"/>
            <w:hideMark/>
          </w:tcPr>
          <w:p w14:paraId="5EA7392F" w14:textId="77777777"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 xml:space="preserve">Other revenue </w:t>
            </w:r>
          </w:p>
        </w:tc>
        <w:tc>
          <w:tcPr>
            <w:tcW w:w="1341" w:type="dxa"/>
            <w:tcBorders>
              <w:top w:val="nil"/>
              <w:left w:val="nil"/>
              <w:right w:val="nil"/>
            </w:tcBorders>
            <w:shd w:val="clear" w:color="000000" w:fill="BFBFBF" w:themeFill="background1" w:themeFillShade="BF"/>
            <w:vAlign w:val="bottom"/>
          </w:tcPr>
          <w:p w14:paraId="5EA73931"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480</w:t>
            </w:r>
          </w:p>
        </w:tc>
        <w:tc>
          <w:tcPr>
            <w:tcW w:w="1341" w:type="dxa"/>
            <w:tcBorders>
              <w:top w:val="nil"/>
              <w:left w:val="nil"/>
              <w:right w:val="nil"/>
            </w:tcBorders>
            <w:shd w:val="clear" w:color="auto" w:fill="auto"/>
            <w:vAlign w:val="bottom"/>
            <w:hideMark/>
          </w:tcPr>
          <w:p w14:paraId="5EA73932" w14:textId="77777777" w:rsidR="00931AF7" w:rsidRPr="00CD3BD3" w:rsidRDefault="00931AF7" w:rsidP="0000539F">
            <w:pPr>
              <w:jc w:val="right"/>
              <w:rPr>
                <w:rFonts w:cs="Arial"/>
                <w:color w:val="000000"/>
                <w:sz w:val="22"/>
                <w:szCs w:val="22"/>
                <w:lang w:eastAsia="en-AU"/>
              </w:rPr>
            </w:pPr>
            <w:r w:rsidRPr="00CD3BD3">
              <w:rPr>
                <w:rFonts w:cs="Arial"/>
                <w:color w:val="000000"/>
                <w:sz w:val="22"/>
                <w:szCs w:val="22"/>
                <w:lang w:eastAsia="en-AU"/>
              </w:rPr>
              <w:t>480</w:t>
            </w:r>
          </w:p>
        </w:tc>
      </w:tr>
      <w:tr w:rsidR="00931AF7" w:rsidRPr="00CD3BD3" w14:paraId="5EA73938" w14:textId="77777777" w:rsidTr="00931AF7">
        <w:trPr>
          <w:trHeight w:val="316"/>
        </w:trPr>
        <w:tc>
          <w:tcPr>
            <w:tcW w:w="6063" w:type="dxa"/>
            <w:tcBorders>
              <w:top w:val="nil"/>
              <w:left w:val="nil"/>
              <w:right w:val="nil"/>
            </w:tcBorders>
            <w:shd w:val="clear" w:color="auto" w:fill="auto"/>
            <w:vAlign w:val="center"/>
            <w:hideMark/>
          </w:tcPr>
          <w:p w14:paraId="5EA73934" w14:textId="076FF13A" w:rsidR="00931AF7" w:rsidRPr="00CD3BD3" w:rsidRDefault="00931AF7" w:rsidP="00CD3BD3">
            <w:pPr>
              <w:rPr>
                <w:rFonts w:cs="Arial"/>
                <w:b/>
                <w:bCs/>
                <w:color w:val="000000"/>
                <w:sz w:val="22"/>
                <w:szCs w:val="22"/>
                <w:lang w:eastAsia="en-AU"/>
              </w:rPr>
            </w:pPr>
            <w:r>
              <w:rPr>
                <w:rFonts w:cs="Arial"/>
                <w:b/>
                <w:bCs/>
                <w:color w:val="000000"/>
                <w:sz w:val="22"/>
                <w:szCs w:val="22"/>
                <w:lang w:eastAsia="en-AU"/>
              </w:rPr>
              <w:t>TOTAL</w:t>
            </w:r>
          </w:p>
        </w:tc>
        <w:tc>
          <w:tcPr>
            <w:tcW w:w="1341" w:type="dxa"/>
            <w:tcBorders>
              <w:top w:val="nil"/>
              <w:left w:val="nil"/>
              <w:right w:val="nil"/>
            </w:tcBorders>
            <w:shd w:val="clear" w:color="000000" w:fill="BFBFBF" w:themeFill="background1" w:themeFillShade="BF"/>
            <w:vAlign w:val="bottom"/>
          </w:tcPr>
          <w:p w14:paraId="5EA73936" w14:textId="77777777" w:rsidR="00931AF7" w:rsidRPr="00CD3BD3" w:rsidRDefault="00931AF7" w:rsidP="004668BB">
            <w:pPr>
              <w:jc w:val="right"/>
              <w:rPr>
                <w:rFonts w:cs="Arial"/>
                <w:color w:val="000000"/>
                <w:sz w:val="22"/>
                <w:szCs w:val="22"/>
                <w:lang w:eastAsia="en-AU"/>
              </w:rPr>
            </w:pPr>
            <w:r>
              <w:rPr>
                <w:rFonts w:cs="Arial"/>
                <w:color w:val="000000"/>
                <w:sz w:val="22"/>
                <w:szCs w:val="22"/>
                <w:lang w:eastAsia="en-AU"/>
              </w:rPr>
              <w:t>92,877</w:t>
            </w:r>
          </w:p>
        </w:tc>
        <w:tc>
          <w:tcPr>
            <w:tcW w:w="1341" w:type="dxa"/>
            <w:tcBorders>
              <w:top w:val="nil"/>
              <w:left w:val="nil"/>
              <w:right w:val="nil"/>
            </w:tcBorders>
            <w:shd w:val="clear" w:color="auto" w:fill="auto"/>
            <w:vAlign w:val="bottom"/>
            <w:hideMark/>
          </w:tcPr>
          <w:p w14:paraId="5EA73937"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87,762</w:t>
            </w:r>
          </w:p>
        </w:tc>
      </w:tr>
    </w:tbl>
    <w:p w14:paraId="54076003" w14:textId="39FB2B48" w:rsidR="003D2A3D" w:rsidRDefault="003D2A3D"/>
    <w:p w14:paraId="73B83AFA" w14:textId="1ACA27DE" w:rsidR="003D2A3D" w:rsidRDefault="003D2A3D" w:rsidP="00BF287B">
      <w:pPr>
        <w:pStyle w:val="Heading1"/>
      </w:pPr>
      <w:bookmarkStart w:id="284" w:name="_Toc430613759"/>
      <w:r w:rsidRPr="003D2A3D">
        <w:t>Note 6: Surplus for the year</w:t>
      </w:r>
      <w:bookmarkEnd w:id="284"/>
    </w:p>
    <w:p w14:paraId="5599FE32" w14:textId="77777777" w:rsidR="00931AF7" w:rsidRDefault="00931AF7" w:rsidP="00931AF7">
      <w:pPr>
        <w:rPr>
          <w:rFonts w:cs="Arial"/>
          <w:b/>
          <w:bCs/>
          <w:color w:val="000000"/>
          <w:sz w:val="22"/>
          <w:szCs w:val="22"/>
          <w:lang w:eastAsia="en-AU"/>
        </w:rPr>
      </w:pPr>
    </w:p>
    <w:p w14:paraId="47A2A0F7" w14:textId="0FB9B4C9" w:rsidR="003D2A3D" w:rsidRPr="00931AF7" w:rsidRDefault="00931AF7" w:rsidP="00931AF7">
      <w:pPr>
        <w:rPr>
          <w:rFonts w:cs="Arial"/>
          <w:b/>
          <w:bCs/>
          <w:color w:val="000000"/>
          <w:sz w:val="22"/>
          <w:szCs w:val="22"/>
          <w:lang w:eastAsia="en-AU"/>
        </w:rPr>
      </w:pPr>
      <w:r>
        <w:rPr>
          <w:rFonts w:cs="Arial"/>
          <w:b/>
          <w:bCs/>
          <w:color w:val="000000"/>
          <w:sz w:val="22"/>
          <w:szCs w:val="22"/>
          <w:lang w:eastAsia="en-AU"/>
        </w:rPr>
        <w:t xml:space="preserve">(a) </w:t>
      </w:r>
      <w:r w:rsidRPr="00931AF7">
        <w:rPr>
          <w:rFonts w:cs="Arial"/>
          <w:b/>
          <w:bCs/>
          <w:color w:val="000000"/>
          <w:sz w:val="22"/>
          <w:szCs w:val="22"/>
          <w:lang w:eastAsia="en-AU"/>
        </w:rPr>
        <w:t>Net Gain on disposal of assets</w:t>
      </w:r>
    </w:p>
    <w:p w14:paraId="1A1F0B75" w14:textId="77777777" w:rsidR="00931AF7" w:rsidRDefault="00931AF7" w:rsidP="00931AF7">
      <w:pPr>
        <w:rPr>
          <w:rFonts w:cs="Arial"/>
          <w:color w:val="000000"/>
          <w:sz w:val="22"/>
          <w:szCs w:val="22"/>
          <w:lang w:eastAsia="en-AU"/>
        </w:rPr>
      </w:pPr>
    </w:p>
    <w:p w14:paraId="7A473DE9" w14:textId="77777777" w:rsidR="00931AF7" w:rsidRPr="00CD3BD3" w:rsidRDefault="00931AF7" w:rsidP="00931AF7">
      <w:pPr>
        <w:rPr>
          <w:rFonts w:cs="Arial"/>
          <w:color w:val="000000"/>
          <w:sz w:val="22"/>
          <w:szCs w:val="22"/>
          <w:lang w:eastAsia="en-AU"/>
        </w:rPr>
      </w:pPr>
      <w:r w:rsidRPr="00CD3BD3">
        <w:rPr>
          <w:rFonts w:cs="Arial"/>
          <w:color w:val="000000"/>
          <w:sz w:val="22"/>
          <w:szCs w:val="22"/>
          <w:lang w:eastAsia="en-AU"/>
        </w:rPr>
        <w:t>Surplus for the year has been arrived at after crediting</w:t>
      </w:r>
      <w:proofErr w:type="gramStart"/>
      <w:r w:rsidRPr="00CD3BD3">
        <w:rPr>
          <w:rFonts w:cs="Arial"/>
          <w:color w:val="000000"/>
          <w:sz w:val="22"/>
          <w:szCs w:val="22"/>
          <w:lang w:eastAsia="en-AU"/>
        </w:rPr>
        <w:t>/(</w:t>
      </w:r>
      <w:proofErr w:type="gramEnd"/>
      <w:r w:rsidRPr="00CD3BD3">
        <w:rPr>
          <w:rFonts w:cs="Arial"/>
          <w:color w:val="000000"/>
          <w:sz w:val="22"/>
          <w:szCs w:val="22"/>
          <w:lang w:eastAsia="en-AU"/>
        </w:rPr>
        <w:t>charging) the following gains and losses on disposal of assets:</w:t>
      </w:r>
    </w:p>
    <w:tbl>
      <w:tblPr>
        <w:tblW w:w="8745" w:type="dxa"/>
        <w:tblInd w:w="108" w:type="dxa"/>
        <w:tblLook w:val="04A0" w:firstRow="1" w:lastRow="0" w:firstColumn="1" w:lastColumn="0" w:noHBand="0" w:noVBand="1"/>
      </w:tblPr>
      <w:tblGrid>
        <w:gridCol w:w="6063"/>
        <w:gridCol w:w="1341"/>
        <w:gridCol w:w="1341"/>
      </w:tblGrid>
      <w:tr w:rsidR="00931AF7" w:rsidRPr="00CD3BD3" w14:paraId="6C5A022F" w14:textId="77777777" w:rsidTr="003B0341">
        <w:trPr>
          <w:trHeight w:val="316"/>
          <w:tblHeader/>
        </w:trPr>
        <w:tc>
          <w:tcPr>
            <w:tcW w:w="6063" w:type="dxa"/>
            <w:tcBorders>
              <w:top w:val="nil"/>
              <w:left w:val="nil"/>
              <w:bottom w:val="nil"/>
              <w:right w:val="nil"/>
            </w:tcBorders>
            <w:shd w:val="clear" w:color="auto" w:fill="auto"/>
            <w:vAlign w:val="bottom"/>
          </w:tcPr>
          <w:p w14:paraId="64317B76" w14:textId="77777777" w:rsidR="00931AF7" w:rsidRDefault="00931AF7" w:rsidP="00471870">
            <w:pPr>
              <w:rPr>
                <w:rFonts w:cs="Arial"/>
                <w:color w:val="000000"/>
                <w:sz w:val="22"/>
                <w:szCs w:val="22"/>
                <w:lang w:eastAsia="en-AU"/>
              </w:rPr>
            </w:pPr>
            <w:bookmarkStart w:id="285" w:name="Table_20"/>
            <w:bookmarkEnd w:id="285"/>
          </w:p>
        </w:tc>
        <w:tc>
          <w:tcPr>
            <w:tcW w:w="1341" w:type="dxa"/>
            <w:tcBorders>
              <w:top w:val="nil"/>
              <w:left w:val="nil"/>
              <w:bottom w:val="nil"/>
              <w:right w:val="nil"/>
            </w:tcBorders>
            <w:shd w:val="clear" w:color="000000" w:fill="BFBFBF" w:themeFill="background1" w:themeFillShade="BF"/>
            <w:vAlign w:val="bottom"/>
          </w:tcPr>
          <w:p w14:paraId="595A4E2F" w14:textId="5412B70A" w:rsidR="00931AF7" w:rsidRPr="00931AF7" w:rsidRDefault="00931AF7" w:rsidP="002406CA">
            <w:pPr>
              <w:jc w:val="right"/>
              <w:rPr>
                <w:rFonts w:cs="Arial"/>
                <w:b/>
                <w:color w:val="000000"/>
                <w:sz w:val="22"/>
                <w:szCs w:val="22"/>
                <w:lang w:eastAsia="en-AU"/>
              </w:rPr>
            </w:pPr>
            <w:r w:rsidRPr="00931AF7">
              <w:rPr>
                <w:rFonts w:cs="Arial"/>
                <w:b/>
                <w:color w:val="000000"/>
                <w:sz w:val="22"/>
                <w:szCs w:val="22"/>
                <w:lang w:eastAsia="en-AU"/>
              </w:rPr>
              <w:t>2015</w:t>
            </w:r>
          </w:p>
        </w:tc>
        <w:tc>
          <w:tcPr>
            <w:tcW w:w="1341" w:type="dxa"/>
            <w:tcBorders>
              <w:top w:val="nil"/>
              <w:left w:val="nil"/>
              <w:bottom w:val="nil"/>
              <w:right w:val="nil"/>
            </w:tcBorders>
            <w:shd w:val="clear" w:color="auto" w:fill="auto"/>
            <w:vAlign w:val="bottom"/>
          </w:tcPr>
          <w:p w14:paraId="787645A0" w14:textId="6D04DF1C" w:rsidR="00931AF7" w:rsidRPr="00CD3BD3" w:rsidRDefault="00931AF7" w:rsidP="00CD3BD3">
            <w:pPr>
              <w:jc w:val="right"/>
              <w:rPr>
                <w:rFonts w:cs="Arial"/>
                <w:color w:val="000000"/>
                <w:sz w:val="22"/>
                <w:szCs w:val="22"/>
                <w:lang w:eastAsia="en-AU"/>
              </w:rPr>
            </w:pPr>
            <w:r>
              <w:rPr>
                <w:rFonts w:cs="Arial"/>
                <w:color w:val="000000"/>
                <w:sz w:val="22"/>
                <w:szCs w:val="22"/>
                <w:lang w:eastAsia="en-AU"/>
              </w:rPr>
              <w:t>2014</w:t>
            </w:r>
          </w:p>
        </w:tc>
      </w:tr>
      <w:tr w:rsidR="00931AF7" w:rsidRPr="00CD3BD3" w14:paraId="5EA73967" w14:textId="77777777" w:rsidTr="00931AF7">
        <w:trPr>
          <w:trHeight w:val="316"/>
        </w:trPr>
        <w:tc>
          <w:tcPr>
            <w:tcW w:w="6063" w:type="dxa"/>
            <w:tcBorders>
              <w:top w:val="nil"/>
              <w:left w:val="nil"/>
              <w:bottom w:val="nil"/>
              <w:right w:val="nil"/>
            </w:tcBorders>
            <w:shd w:val="clear" w:color="auto" w:fill="auto"/>
            <w:vAlign w:val="bottom"/>
            <w:hideMark/>
          </w:tcPr>
          <w:p w14:paraId="5EA73963" w14:textId="77777777" w:rsidR="00931AF7" w:rsidRPr="00CD3BD3" w:rsidRDefault="00931AF7" w:rsidP="00471870">
            <w:pPr>
              <w:rPr>
                <w:rFonts w:cs="Arial"/>
                <w:color w:val="000000"/>
                <w:sz w:val="22"/>
                <w:szCs w:val="22"/>
                <w:lang w:eastAsia="en-AU"/>
              </w:rPr>
            </w:pPr>
            <w:r>
              <w:rPr>
                <w:rFonts w:cs="Arial"/>
                <w:color w:val="000000"/>
                <w:sz w:val="22"/>
                <w:szCs w:val="22"/>
                <w:lang w:eastAsia="en-AU"/>
              </w:rPr>
              <w:t>Gain / (l</w:t>
            </w:r>
            <w:r w:rsidRPr="00CD3BD3">
              <w:rPr>
                <w:rFonts w:cs="Arial"/>
                <w:color w:val="000000"/>
                <w:sz w:val="22"/>
                <w:szCs w:val="22"/>
                <w:lang w:eastAsia="en-AU"/>
              </w:rPr>
              <w:t>oss</w:t>
            </w:r>
            <w:r>
              <w:rPr>
                <w:rFonts w:cs="Arial"/>
                <w:color w:val="000000"/>
                <w:sz w:val="22"/>
                <w:szCs w:val="22"/>
                <w:lang w:eastAsia="en-AU"/>
              </w:rPr>
              <w:t>)</w:t>
            </w:r>
            <w:r w:rsidRPr="00CD3BD3">
              <w:rPr>
                <w:rFonts w:cs="Arial"/>
                <w:color w:val="000000"/>
                <w:sz w:val="22"/>
                <w:szCs w:val="22"/>
                <w:lang w:eastAsia="en-AU"/>
              </w:rPr>
              <w:t xml:space="preserve"> on disposal of property, plant and equipment</w:t>
            </w:r>
          </w:p>
        </w:tc>
        <w:tc>
          <w:tcPr>
            <w:tcW w:w="1341" w:type="dxa"/>
            <w:tcBorders>
              <w:top w:val="nil"/>
              <w:left w:val="nil"/>
              <w:bottom w:val="nil"/>
              <w:right w:val="nil"/>
            </w:tcBorders>
            <w:shd w:val="clear" w:color="000000" w:fill="BFBFBF" w:themeFill="background1" w:themeFillShade="BF"/>
            <w:vAlign w:val="bottom"/>
          </w:tcPr>
          <w:p w14:paraId="5EA73965" w14:textId="77777777" w:rsidR="00931AF7" w:rsidRPr="00CD3BD3" w:rsidRDefault="00931AF7" w:rsidP="002406CA">
            <w:pPr>
              <w:jc w:val="right"/>
              <w:rPr>
                <w:rFonts w:cs="Arial"/>
                <w:color w:val="000000"/>
                <w:sz w:val="22"/>
                <w:szCs w:val="22"/>
                <w:lang w:eastAsia="en-AU"/>
              </w:rPr>
            </w:pPr>
            <w:r>
              <w:rPr>
                <w:rFonts w:cs="Arial"/>
                <w:color w:val="000000"/>
                <w:sz w:val="22"/>
                <w:szCs w:val="22"/>
                <w:lang w:eastAsia="en-AU"/>
              </w:rPr>
              <w:t>70</w:t>
            </w:r>
          </w:p>
        </w:tc>
        <w:tc>
          <w:tcPr>
            <w:tcW w:w="1341" w:type="dxa"/>
            <w:tcBorders>
              <w:top w:val="nil"/>
              <w:left w:val="nil"/>
              <w:bottom w:val="nil"/>
              <w:right w:val="nil"/>
            </w:tcBorders>
            <w:shd w:val="clear" w:color="auto" w:fill="auto"/>
            <w:vAlign w:val="bottom"/>
            <w:hideMark/>
          </w:tcPr>
          <w:p w14:paraId="5EA73966"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(97)</w:t>
            </w:r>
          </w:p>
        </w:tc>
      </w:tr>
      <w:tr w:rsidR="00931AF7" w:rsidRPr="00CD3BD3" w14:paraId="5EA7396C" w14:textId="77777777" w:rsidTr="00931AF7">
        <w:trPr>
          <w:trHeight w:val="316"/>
        </w:trPr>
        <w:tc>
          <w:tcPr>
            <w:tcW w:w="6063" w:type="dxa"/>
            <w:tcBorders>
              <w:top w:val="nil"/>
              <w:left w:val="nil"/>
              <w:bottom w:val="nil"/>
              <w:right w:val="nil"/>
            </w:tcBorders>
            <w:shd w:val="clear" w:color="auto" w:fill="auto"/>
            <w:vAlign w:val="bottom"/>
            <w:hideMark/>
          </w:tcPr>
          <w:p w14:paraId="5EA73968" w14:textId="77777777"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 xml:space="preserve">Gain on disposal of investments </w:t>
            </w:r>
          </w:p>
        </w:tc>
        <w:tc>
          <w:tcPr>
            <w:tcW w:w="1341" w:type="dxa"/>
            <w:tcBorders>
              <w:top w:val="nil"/>
              <w:left w:val="nil"/>
              <w:bottom w:val="nil"/>
              <w:right w:val="nil"/>
            </w:tcBorders>
            <w:shd w:val="clear" w:color="000000" w:fill="BFBFBF" w:themeFill="background1" w:themeFillShade="BF"/>
            <w:vAlign w:val="bottom"/>
          </w:tcPr>
          <w:p w14:paraId="5EA7396A"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5,229</w:t>
            </w:r>
          </w:p>
        </w:tc>
        <w:tc>
          <w:tcPr>
            <w:tcW w:w="1341" w:type="dxa"/>
            <w:tcBorders>
              <w:top w:val="nil"/>
              <w:left w:val="nil"/>
              <w:bottom w:val="nil"/>
              <w:right w:val="nil"/>
            </w:tcBorders>
            <w:shd w:val="clear" w:color="auto" w:fill="auto"/>
            <w:vAlign w:val="bottom"/>
            <w:hideMark/>
          </w:tcPr>
          <w:p w14:paraId="5EA7396B"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4,283</w:t>
            </w:r>
          </w:p>
        </w:tc>
      </w:tr>
      <w:tr w:rsidR="00931AF7" w:rsidRPr="00CD3BD3" w14:paraId="5EA73971" w14:textId="77777777" w:rsidTr="00931AF7">
        <w:trPr>
          <w:trHeight w:val="316"/>
        </w:trPr>
        <w:tc>
          <w:tcPr>
            <w:tcW w:w="6063" w:type="dxa"/>
            <w:tcBorders>
              <w:top w:val="nil"/>
              <w:left w:val="nil"/>
              <w:bottom w:val="nil"/>
              <w:right w:val="nil"/>
            </w:tcBorders>
            <w:shd w:val="clear" w:color="auto" w:fill="auto"/>
            <w:vAlign w:val="bottom"/>
            <w:hideMark/>
          </w:tcPr>
          <w:p w14:paraId="5EA7396D" w14:textId="77777777" w:rsidR="00931AF7" w:rsidRPr="00CD3BD3" w:rsidRDefault="00931AF7" w:rsidP="00CD3BD3">
            <w:pPr>
              <w:rPr>
                <w:rFonts w:cs="Arial"/>
                <w:color w:val="000000"/>
                <w:sz w:val="22"/>
                <w:szCs w:val="22"/>
                <w:lang w:eastAsia="en-AU"/>
              </w:rPr>
            </w:pPr>
            <w:proofErr w:type="spellStart"/>
            <w:r w:rsidRPr="00CD3BD3">
              <w:rPr>
                <w:rFonts w:cs="Arial"/>
                <w:color w:val="000000"/>
                <w:sz w:val="22"/>
                <w:szCs w:val="22"/>
                <w:lang w:eastAsia="en-AU"/>
              </w:rPr>
              <w:t>Derecognition</w:t>
            </w:r>
            <w:proofErr w:type="spellEnd"/>
            <w:r w:rsidRPr="00CD3BD3">
              <w:rPr>
                <w:rFonts w:cs="Arial"/>
                <w:color w:val="000000"/>
                <w:sz w:val="22"/>
                <w:szCs w:val="22"/>
                <w:lang w:eastAsia="en-AU"/>
              </w:rPr>
              <w:t xml:space="preserve"> of impairments on disposal of investments</w:t>
            </w:r>
          </w:p>
        </w:tc>
        <w:tc>
          <w:tcPr>
            <w:tcW w:w="1341" w:type="dxa"/>
            <w:tcBorders>
              <w:top w:val="nil"/>
              <w:left w:val="nil"/>
              <w:bottom w:val="single" w:sz="12" w:space="0" w:color="auto"/>
              <w:right w:val="nil"/>
            </w:tcBorders>
            <w:shd w:val="clear" w:color="000000" w:fill="BFBFBF" w:themeFill="background1" w:themeFillShade="BF"/>
            <w:vAlign w:val="bottom"/>
          </w:tcPr>
          <w:p w14:paraId="5EA7396F"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935</w:t>
            </w:r>
          </w:p>
        </w:tc>
        <w:tc>
          <w:tcPr>
            <w:tcW w:w="1341" w:type="dxa"/>
            <w:tcBorders>
              <w:top w:val="nil"/>
              <w:left w:val="nil"/>
              <w:bottom w:val="single" w:sz="12" w:space="0" w:color="auto"/>
              <w:right w:val="nil"/>
            </w:tcBorders>
            <w:shd w:val="clear" w:color="auto" w:fill="auto"/>
            <w:vAlign w:val="bottom"/>
            <w:hideMark/>
          </w:tcPr>
          <w:p w14:paraId="5EA73970"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1,394</w:t>
            </w:r>
          </w:p>
        </w:tc>
      </w:tr>
      <w:tr w:rsidR="00931AF7" w:rsidRPr="00CD3BD3" w14:paraId="5EA73976" w14:textId="77777777" w:rsidTr="00931AF7">
        <w:trPr>
          <w:trHeight w:val="598"/>
        </w:trPr>
        <w:tc>
          <w:tcPr>
            <w:tcW w:w="6063" w:type="dxa"/>
            <w:tcBorders>
              <w:top w:val="nil"/>
              <w:left w:val="nil"/>
              <w:bottom w:val="nil"/>
              <w:right w:val="nil"/>
            </w:tcBorders>
            <w:shd w:val="clear" w:color="auto" w:fill="auto"/>
            <w:vAlign w:val="bottom"/>
            <w:hideMark/>
          </w:tcPr>
          <w:p w14:paraId="5EA73972" w14:textId="6EF02543" w:rsidR="00931AF7" w:rsidRPr="00CD3BD3" w:rsidRDefault="00931AF7" w:rsidP="00CD3BD3">
            <w:pPr>
              <w:rPr>
                <w:rFonts w:cs="Arial"/>
                <w:color w:val="000000"/>
                <w:sz w:val="22"/>
                <w:szCs w:val="22"/>
                <w:lang w:eastAsia="en-AU"/>
              </w:rPr>
            </w:pPr>
            <w:r>
              <w:rPr>
                <w:rFonts w:cs="Arial"/>
                <w:color w:val="000000"/>
                <w:sz w:val="22"/>
                <w:szCs w:val="22"/>
                <w:lang w:eastAsia="en-AU"/>
              </w:rPr>
              <w:t>TOTAL</w:t>
            </w:r>
          </w:p>
        </w:tc>
        <w:tc>
          <w:tcPr>
            <w:tcW w:w="1341" w:type="dxa"/>
            <w:tcBorders>
              <w:top w:val="nil"/>
              <w:left w:val="nil"/>
              <w:bottom w:val="single" w:sz="12" w:space="0" w:color="auto"/>
              <w:right w:val="nil"/>
            </w:tcBorders>
            <w:shd w:val="clear" w:color="000000" w:fill="BFBFBF" w:themeFill="background1" w:themeFillShade="BF"/>
            <w:vAlign w:val="bottom"/>
          </w:tcPr>
          <w:p w14:paraId="5EA73974" w14:textId="77777777" w:rsidR="00931AF7" w:rsidRPr="00CD3BD3" w:rsidRDefault="00931AF7" w:rsidP="004668BB">
            <w:pPr>
              <w:jc w:val="right"/>
              <w:rPr>
                <w:rFonts w:cs="Arial"/>
                <w:color w:val="000000"/>
                <w:sz w:val="22"/>
                <w:szCs w:val="22"/>
                <w:lang w:eastAsia="en-AU"/>
              </w:rPr>
            </w:pPr>
            <w:r>
              <w:rPr>
                <w:rFonts w:cs="Arial"/>
                <w:color w:val="000000"/>
                <w:sz w:val="22"/>
                <w:szCs w:val="22"/>
                <w:lang w:eastAsia="en-AU"/>
              </w:rPr>
              <w:t>6,234</w:t>
            </w:r>
          </w:p>
        </w:tc>
        <w:tc>
          <w:tcPr>
            <w:tcW w:w="1341" w:type="dxa"/>
            <w:tcBorders>
              <w:top w:val="nil"/>
              <w:left w:val="nil"/>
              <w:bottom w:val="single" w:sz="12" w:space="0" w:color="auto"/>
              <w:right w:val="nil"/>
            </w:tcBorders>
            <w:shd w:val="clear" w:color="auto" w:fill="auto"/>
            <w:vAlign w:val="bottom"/>
            <w:hideMark/>
          </w:tcPr>
          <w:p w14:paraId="5EA73975" w14:textId="77777777" w:rsidR="00931AF7" w:rsidRPr="00CD3BD3" w:rsidRDefault="00931AF7" w:rsidP="00CD3BD3">
            <w:pPr>
              <w:jc w:val="right"/>
              <w:rPr>
                <w:rFonts w:cs="Arial"/>
                <w:color w:val="000000"/>
                <w:sz w:val="22"/>
                <w:szCs w:val="22"/>
                <w:lang w:eastAsia="en-AU"/>
              </w:rPr>
            </w:pPr>
            <w:r w:rsidRPr="00CD3BD3">
              <w:rPr>
                <w:rFonts w:cs="Arial"/>
                <w:color w:val="000000"/>
                <w:sz w:val="22"/>
                <w:szCs w:val="22"/>
                <w:lang w:eastAsia="en-AU"/>
              </w:rPr>
              <w:t>5,580</w:t>
            </w:r>
          </w:p>
        </w:tc>
      </w:tr>
    </w:tbl>
    <w:p w14:paraId="5EA73978" w14:textId="77777777" w:rsidR="00AF6652" w:rsidRPr="007540D9" w:rsidRDefault="00AF6652" w:rsidP="00F24243">
      <w:pPr>
        <w:rPr>
          <w:rFonts w:cs="Arial"/>
          <w:sz w:val="22"/>
          <w:szCs w:val="22"/>
          <w:lang w:eastAsia="en-AU"/>
        </w:rPr>
      </w:pPr>
    </w:p>
    <w:p w14:paraId="5EA73979" w14:textId="77777777" w:rsidR="00634AF1" w:rsidRDefault="00F24243" w:rsidP="00534FE3">
      <w:pPr>
        <w:rPr>
          <w:rFonts w:cs="Arial"/>
          <w:sz w:val="22"/>
          <w:szCs w:val="22"/>
        </w:rPr>
      </w:pPr>
      <w:r w:rsidRPr="007540D9">
        <w:rPr>
          <w:rFonts w:cs="Arial"/>
          <w:sz w:val="22"/>
          <w:szCs w:val="22"/>
        </w:rPr>
        <w:br w:type="page"/>
      </w:r>
    </w:p>
    <w:p w14:paraId="58C947D2" w14:textId="77777777" w:rsidR="00931AF7" w:rsidRPr="00CD3BD3" w:rsidRDefault="00931AF7" w:rsidP="00931AF7">
      <w:pPr>
        <w:rPr>
          <w:rFonts w:cs="Arial"/>
          <w:b/>
          <w:bCs/>
          <w:color w:val="000000"/>
          <w:sz w:val="22"/>
          <w:szCs w:val="22"/>
          <w:lang w:eastAsia="en-AU"/>
        </w:rPr>
      </w:pPr>
      <w:r w:rsidRPr="00CD3BD3">
        <w:rPr>
          <w:rFonts w:cs="Arial"/>
          <w:b/>
          <w:bCs/>
          <w:color w:val="000000"/>
          <w:sz w:val="22"/>
          <w:szCs w:val="22"/>
          <w:lang w:eastAsia="en-AU"/>
        </w:rPr>
        <w:lastRenderedPageBreak/>
        <w:t>Note 6:  Surplus for the year (cont’d)</w:t>
      </w:r>
    </w:p>
    <w:p w14:paraId="79354027" w14:textId="6019A25A" w:rsidR="00931AF7" w:rsidRDefault="00931AF7" w:rsidP="00534FE3">
      <w:pPr>
        <w:rPr>
          <w:rFonts w:cs="Arial"/>
          <w:b/>
          <w:bCs/>
          <w:color w:val="000000"/>
          <w:sz w:val="22"/>
          <w:szCs w:val="22"/>
          <w:lang w:eastAsia="en-AU"/>
        </w:rPr>
      </w:pPr>
      <w:r w:rsidRPr="00CD3BD3">
        <w:rPr>
          <w:rFonts w:cs="Arial"/>
          <w:b/>
          <w:bCs/>
          <w:color w:val="000000"/>
          <w:sz w:val="22"/>
          <w:szCs w:val="22"/>
          <w:lang w:eastAsia="en-AU"/>
        </w:rPr>
        <w:t>(b) Expenses</w:t>
      </w:r>
    </w:p>
    <w:p w14:paraId="5276406B" w14:textId="0C1C1619" w:rsidR="00931AF7" w:rsidRDefault="00931AF7" w:rsidP="00534FE3">
      <w:pPr>
        <w:rPr>
          <w:rFonts w:cs="Arial"/>
          <w:color w:val="000000"/>
          <w:sz w:val="22"/>
          <w:szCs w:val="22"/>
          <w:lang w:eastAsia="en-AU"/>
        </w:rPr>
      </w:pPr>
      <w:r w:rsidRPr="00CD3BD3">
        <w:rPr>
          <w:rFonts w:cs="Arial"/>
          <w:color w:val="000000"/>
          <w:sz w:val="22"/>
          <w:szCs w:val="22"/>
          <w:lang w:eastAsia="en-AU"/>
        </w:rPr>
        <w:t>Surplus for the year includes the following expenses:</w:t>
      </w:r>
    </w:p>
    <w:p w14:paraId="2C887E1F" w14:textId="77777777" w:rsidR="00931AF7" w:rsidRPr="007540D9" w:rsidRDefault="00931AF7" w:rsidP="00534FE3">
      <w:pPr>
        <w:rPr>
          <w:rFonts w:cs="Arial"/>
          <w:b/>
          <w:bCs/>
          <w:color w:val="000000"/>
          <w:sz w:val="22"/>
          <w:szCs w:val="22"/>
          <w:highlight w:val="yellow"/>
        </w:rPr>
      </w:pPr>
    </w:p>
    <w:tbl>
      <w:tblPr>
        <w:tblW w:w="8512" w:type="dxa"/>
        <w:tblInd w:w="108" w:type="dxa"/>
        <w:tblLook w:val="04A0" w:firstRow="1" w:lastRow="0" w:firstColumn="1" w:lastColumn="0" w:noHBand="0" w:noVBand="1"/>
      </w:tblPr>
      <w:tblGrid>
        <w:gridCol w:w="5354"/>
        <w:gridCol w:w="1646"/>
        <w:gridCol w:w="1512"/>
      </w:tblGrid>
      <w:tr w:rsidR="00931AF7" w:rsidRPr="00CD3BD3" w14:paraId="625EC48C" w14:textId="77777777" w:rsidTr="003B0341">
        <w:trPr>
          <w:trHeight w:val="318"/>
          <w:tblHeader/>
        </w:trPr>
        <w:tc>
          <w:tcPr>
            <w:tcW w:w="5354" w:type="dxa"/>
            <w:tcBorders>
              <w:top w:val="nil"/>
              <w:left w:val="nil"/>
              <w:bottom w:val="nil"/>
              <w:right w:val="nil"/>
            </w:tcBorders>
            <w:shd w:val="clear" w:color="auto" w:fill="auto"/>
            <w:vAlign w:val="center"/>
          </w:tcPr>
          <w:p w14:paraId="4AD47B75" w14:textId="57F3B309" w:rsidR="00931AF7" w:rsidRPr="00CD3BD3" w:rsidRDefault="00931AF7" w:rsidP="00CD3BD3">
            <w:pPr>
              <w:rPr>
                <w:rFonts w:cs="Arial"/>
                <w:color w:val="000000"/>
                <w:sz w:val="22"/>
                <w:szCs w:val="22"/>
                <w:lang w:eastAsia="en-AU"/>
              </w:rPr>
            </w:pPr>
            <w:bookmarkStart w:id="286" w:name="Table_21"/>
            <w:bookmarkEnd w:id="286"/>
            <w:r w:rsidRPr="00CD3BD3">
              <w:rPr>
                <w:rFonts w:cs="Arial"/>
                <w:color w:val="000000"/>
                <w:sz w:val="22"/>
                <w:szCs w:val="22"/>
                <w:lang w:eastAsia="en-AU"/>
              </w:rPr>
              <w:t>Employee benefit expense:</w:t>
            </w:r>
          </w:p>
        </w:tc>
        <w:tc>
          <w:tcPr>
            <w:tcW w:w="1646" w:type="dxa"/>
            <w:tcBorders>
              <w:top w:val="nil"/>
              <w:left w:val="nil"/>
              <w:right w:val="nil"/>
            </w:tcBorders>
            <w:shd w:val="clear" w:color="000000" w:fill="BFBFBF" w:themeFill="background1" w:themeFillShade="BF"/>
            <w:vAlign w:val="center"/>
          </w:tcPr>
          <w:p w14:paraId="5C72CD37" w14:textId="3D6B9E82" w:rsidR="00931AF7" w:rsidRPr="00931AF7" w:rsidRDefault="00931AF7" w:rsidP="00CD3BD3">
            <w:pPr>
              <w:jc w:val="right"/>
              <w:rPr>
                <w:rFonts w:cs="Arial"/>
                <w:b/>
                <w:color w:val="000000"/>
                <w:sz w:val="22"/>
                <w:szCs w:val="22"/>
                <w:lang w:eastAsia="en-AU"/>
              </w:rPr>
            </w:pPr>
            <w:r w:rsidRPr="00931AF7">
              <w:rPr>
                <w:rFonts w:cs="Arial"/>
                <w:b/>
                <w:color w:val="000000"/>
                <w:sz w:val="22"/>
                <w:szCs w:val="22"/>
                <w:lang w:eastAsia="en-AU"/>
              </w:rPr>
              <w:t>2015</w:t>
            </w:r>
          </w:p>
        </w:tc>
        <w:tc>
          <w:tcPr>
            <w:tcW w:w="1512" w:type="dxa"/>
            <w:tcBorders>
              <w:top w:val="nil"/>
              <w:left w:val="nil"/>
              <w:right w:val="nil"/>
            </w:tcBorders>
            <w:shd w:val="clear" w:color="auto" w:fill="auto"/>
            <w:vAlign w:val="center"/>
          </w:tcPr>
          <w:p w14:paraId="3B37AFC4" w14:textId="64ACA7BB" w:rsidR="00931AF7" w:rsidRPr="00BC6AED" w:rsidRDefault="00931AF7" w:rsidP="00CD3BD3">
            <w:pPr>
              <w:jc w:val="right"/>
              <w:rPr>
                <w:sz w:val="22"/>
                <w:szCs w:val="22"/>
              </w:rPr>
            </w:pPr>
            <w:r w:rsidRPr="00BC6AED">
              <w:rPr>
                <w:sz w:val="22"/>
                <w:szCs w:val="22"/>
              </w:rPr>
              <w:t>2014</w:t>
            </w:r>
          </w:p>
        </w:tc>
      </w:tr>
      <w:tr w:rsidR="00931AF7" w:rsidRPr="00CD3BD3" w14:paraId="5EA739B0" w14:textId="77777777" w:rsidTr="00931AF7">
        <w:trPr>
          <w:trHeight w:val="318"/>
        </w:trPr>
        <w:tc>
          <w:tcPr>
            <w:tcW w:w="5354" w:type="dxa"/>
            <w:tcBorders>
              <w:top w:val="nil"/>
              <w:left w:val="nil"/>
              <w:bottom w:val="nil"/>
              <w:right w:val="nil"/>
            </w:tcBorders>
            <w:shd w:val="clear" w:color="auto" w:fill="auto"/>
            <w:vAlign w:val="center"/>
            <w:hideMark/>
          </w:tcPr>
          <w:p w14:paraId="5EA739AC" w14:textId="38C6DF62"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Company contributions to superannuation plans</w:t>
            </w:r>
          </w:p>
        </w:tc>
        <w:tc>
          <w:tcPr>
            <w:tcW w:w="1646" w:type="dxa"/>
            <w:tcBorders>
              <w:left w:val="nil"/>
              <w:bottom w:val="nil"/>
              <w:right w:val="nil"/>
            </w:tcBorders>
            <w:shd w:val="clear" w:color="000000" w:fill="BFBFBF" w:themeFill="background1" w:themeFillShade="BF"/>
            <w:vAlign w:val="center"/>
          </w:tcPr>
          <w:p w14:paraId="5EA739AE"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4,195</w:t>
            </w:r>
          </w:p>
        </w:tc>
        <w:tc>
          <w:tcPr>
            <w:tcW w:w="1512" w:type="dxa"/>
            <w:tcBorders>
              <w:left w:val="nil"/>
              <w:bottom w:val="nil"/>
              <w:right w:val="nil"/>
            </w:tcBorders>
            <w:shd w:val="clear" w:color="auto" w:fill="auto"/>
            <w:hideMark/>
          </w:tcPr>
          <w:p w14:paraId="5EA739AF" w14:textId="77777777" w:rsidR="00931AF7" w:rsidRPr="00BC6AED" w:rsidRDefault="00931AF7" w:rsidP="00CD3BD3">
            <w:pPr>
              <w:jc w:val="right"/>
              <w:rPr>
                <w:rFonts w:cs="Arial"/>
                <w:color w:val="000000"/>
                <w:sz w:val="22"/>
                <w:szCs w:val="22"/>
                <w:lang w:eastAsia="en-AU"/>
              </w:rPr>
            </w:pPr>
            <w:r w:rsidRPr="00BC6AED">
              <w:rPr>
                <w:sz w:val="22"/>
                <w:szCs w:val="22"/>
              </w:rPr>
              <w:t>4,039</w:t>
            </w:r>
          </w:p>
        </w:tc>
      </w:tr>
      <w:tr w:rsidR="00931AF7" w:rsidRPr="00CD3BD3" w14:paraId="5EA739B5" w14:textId="77777777" w:rsidTr="00931AF7">
        <w:trPr>
          <w:trHeight w:val="318"/>
        </w:trPr>
        <w:tc>
          <w:tcPr>
            <w:tcW w:w="5354" w:type="dxa"/>
            <w:tcBorders>
              <w:top w:val="nil"/>
              <w:left w:val="nil"/>
              <w:bottom w:val="nil"/>
              <w:right w:val="nil"/>
            </w:tcBorders>
            <w:shd w:val="clear" w:color="auto" w:fill="auto"/>
            <w:vAlign w:val="center"/>
            <w:hideMark/>
          </w:tcPr>
          <w:p w14:paraId="5EA739B1" w14:textId="17AC505F"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Termination benefits</w:t>
            </w:r>
          </w:p>
        </w:tc>
        <w:tc>
          <w:tcPr>
            <w:tcW w:w="1646" w:type="dxa"/>
            <w:tcBorders>
              <w:top w:val="nil"/>
              <w:left w:val="nil"/>
              <w:bottom w:val="nil"/>
              <w:right w:val="nil"/>
            </w:tcBorders>
            <w:shd w:val="clear" w:color="000000" w:fill="BFBFBF" w:themeFill="background1" w:themeFillShade="BF"/>
            <w:vAlign w:val="center"/>
          </w:tcPr>
          <w:p w14:paraId="5EA739B3"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591</w:t>
            </w:r>
          </w:p>
        </w:tc>
        <w:tc>
          <w:tcPr>
            <w:tcW w:w="1512" w:type="dxa"/>
            <w:tcBorders>
              <w:top w:val="nil"/>
              <w:left w:val="nil"/>
              <w:bottom w:val="nil"/>
              <w:right w:val="nil"/>
            </w:tcBorders>
            <w:shd w:val="clear" w:color="auto" w:fill="auto"/>
            <w:hideMark/>
          </w:tcPr>
          <w:p w14:paraId="5EA739B4" w14:textId="77777777" w:rsidR="00931AF7" w:rsidRPr="00BC6AED" w:rsidRDefault="00931AF7" w:rsidP="00CD3BD3">
            <w:pPr>
              <w:jc w:val="right"/>
              <w:rPr>
                <w:rFonts w:cs="Arial"/>
                <w:color w:val="000000"/>
                <w:sz w:val="22"/>
                <w:szCs w:val="22"/>
                <w:lang w:eastAsia="en-AU"/>
              </w:rPr>
            </w:pPr>
            <w:r w:rsidRPr="00BC6AED">
              <w:rPr>
                <w:sz w:val="22"/>
                <w:szCs w:val="22"/>
              </w:rPr>
              <w:t>162</w:t>
            </w:r>
          </w:p>
        </w:tc>
      </w:tr>
      <w:tr w:rsidR="00931AF7" w:rsidRPr="00CD3BD3" w14:paraId="5EA739BA" w14:textId="77777777" w:rsidTr="00931AF7">
        <w:trPr>
          <w:trHeight w:val="318"/>
        </w:trPr>
        <w:tc>
          <w:tcPr>
            <w:tcW w:w="5354" w:type="dxa"/>
            <w:tcBorders>
              <w:top w:val="nil"/>
              <w:left w:val="nil"/>
              <w:bottom w:val="nil"/>
              <w:right w:val="nil"/>
            </w:tcBorders>
            <w:shd w:val="clear" w:color="auto" w:fill="auto"/>
            <w:vAlign w:val="center"/>
            <w:hideMark/>
          </w:tcPr>
          <w:p w14:paraId="5EA739B6" w14:textId="35127A5D"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Other employee benefits</w:t>
            </w:r>
          </w:p>
        </w:tc>
        <w:tc>
          <w:tcPr>
            <w:tcW w:w="1646" w:type="dxa"/>
            <w:tcBorders>
              <w:top w:val="nil"/>
              <w:left w:val="nil"/>
              <w:bottom w:val="nil"/>
              <w:right w:val="nil"/>
            </w:tcBorders>
            <w:shd w:val="clear" w:color="000000" w:fill="BFBFBF" w:themeFill="background1" w:themeFillShade="BF"/>
            <w:vAlign w:val="center"/>
          </w:tcPr>
          <w:p w14:paraId="5EA739B8"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46,811</w:t>
            </w:r>
          </w:p>
        </w:tc>
        <w:tc>
          <w:tcPr>
            <w:tcW w:w="1512" w:type="dxa"/>
            <w:tcBorders>
              <w:top w:val="nil"/>
              <w:left w:val="nil"/>
              <w:bottom w:val="nil"/>
              <w:right w:val="nil"/>
            </w:tcBorders>
            <w:shd w:val="clear" w:color="auto" w:fill="auto"/>
            <w:hideMark/>
          </w:tcPr>
          <w:p w14:paraId="5EA739B9" w14:textId="77777777" w:rsidR="00931AF7" w:rsidRPr="00BC6AED" w:rsidRDefault="00931AF7" w:rsidP="00CD3BD3">
            <w:pPr>
              <w:jc w:val="right"/>
              <w:rPr>
                <w:rFonts w:cs="Arial"/>
                <w:color w:val="000000"/>
                <w:sz w:val="22"/>
                <w:szCs w:val="22"/>
                <w:lang w:eastAsia="en-AU"/>
              </w:rPr>
            </w:pPr>
            <w:r w:rsidRPr="00BC6AED">
              <w:rPr>
                <w:sz w:val="22"/>
                <w:szCs w:val="22"/>
              </w:rPr>
              <w:t>47,462</w:t>
            </w:r>
          </w:p>
        </w:tc>
      </w:tr>
      <w:tr w:rsidR="00931AF7" w:rsidRPr="00CD3BD3" w14:paraId="5EA739BF" w14:textId="77777777" w:rsidTr="00931AF7">
        <w:trPr>
          <w:trHeight w:val="318"/>
        </w:trPr>
        <w:tc>
          <w:tcPr>
            <w:tcW w:w="5354" w:type="dxa"/>
            <w:tcBorders>
              <w:top w:val="nil"/>
              <w:left w:val="nil"/>
              <w:bottom w:val="nil"/>
              <w:right w:val="nil"/>
            </w:tcBorders>
            <w:shd w:val="clear" w:color="auto" w:fill="auto"/>
            <w:vAlign w:val="center"/>
            <w:hideMark/>
          </w:tcPr>
          <w:p w14:paraId="5EA739BB" w14:textId="20ED1CC0" w:rsidR="00931AF7" w:rsidRPr="00CD3BD3" w:rsidRDefault="00931AF7" w:rsidP="00CD3BD3">
            <w:pPr>
              <w:rPr>
                <w:rFonts w:cs="Arial"/>
                <w:color w:val="000000"/>
                <w:sz w:val="22"/>
                <w:szCs w:val="22"/>
                <w:lang w:eastAsia="en-AU"/>
              </w:rPr>
            </w:pPr>
            <w:r>
              <w:rPr>
                <w:rFonts w:cs="Arial"/>
                <w:color w:val="000000"/>
                <w:sz w:val="22"/>
                <w:szCs w:val="22"/>
                <w:lang w:eastAsia="en-AU"/>
              </w:rPr>
              <w:t>TOTAL</w:t>
            </w:r>
          </w:p>
        </w:tc>
        <w:tc>
          <w:tcPr>
            <w:tcW w:w="1646" w:type="dxa"/>
            <w:tcBorders>
              <w:top w:val="single" w:sz="12" w:space="0" w:color="auto"/>
              <w:left w:val="nil"/>
              <w:bottom w:val="single" w:sz="12" w:space="0" w:color="auto"/>
              <w:right w:val="nil"/>
            </w:tcBorders>
            <w:shd w:val="clear" w:color="000000" w:fill="BFBFBF" w:themeFill="background1" w:themeFillShade="BF"/>
            <w:vAlign w:val="center"/>
          </w:tcPr>
          <w:p w14:paraId="5EA739BD"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51,597</w:t>
            </w:r>
          </w:p>
        </w:tc>
        <w:tc>
          <w:tcPr>
            <w:tcW w:w="1512" w:type="dxa"/>
            <w:tcBorders>
              <w:top w:val="single" w:sz="12" w:space="0" w:color="auto"/>
              <w:left w:val="nil"/>
              <w:bottom w:val="single" w:sz="12" w:space="0" w:color="auto"/>
              <w:right w:val="nil"/>
            </w:tcBorders>
            <w:shd w:val="clear" w:color="auto" w:fill="auto"/>
            <w:hideMark/>
          </w:tcPr>
          <w:p w14:paraId="5EA739BE" w14:textId="77777777" w:rsidR="00931AF7" w:rsidRPr="00BC6AED" w:rsidRDefault="00931AF7" w:rsidP="00CD3BD3">
            <w:pPr>
              <w:jc w:val="right"/>
              <w:rPr>
                <w:rFonts w:cs="Arial"/>
                <w:color w:val="000000"/>
                <w:sz w:val="22"/>
                <w:szCs w:val="22"/>
                <w:lang w:eastAsia="en-AU"/>
              </w:rPr>
            </w:pPr>
            <w:r w:rsidRPr="00BC6AED">
              <w:rPr>
                <w:sz w:val="22"/>
                <w:szCs w:val="22"/>
              </w:rPr>
              <w:t>51,663</w:t>
            </w:r>
          </w:p>
        </w:tc>
      </w:tr>
    </w:tbl>
    <w:p w14:paraId="4374B8DB" w14:textId="77777777" w:rsidR="00931AF7" w:rsidRDefault="00931AF7"/>
    <w:tbl>
      <w:tblPr>
        <w:tblW w:w="8512" w:type="dxa"/>
        <w:tblInd w:w="108" w:type="dxa"/>
        <w:tblLook w:val="04A0" w:firstRow="1" w:lastRow="0" w:firstColumn="1" w:lastColumn="0" w:noHBand="0" w:noVBand="1"/>
      </w:tblPr>
      <w:tblGrid>
        <w:gridCol w:w="5354"/>
        <w:gridCol w:w="1646"/>
        <w:gridCol w:w="1512"/>
      </w:tblGrid>
      <w:tr w:rsidR="00931AF7" w:rsidRPr="00CD3BD3" w14:paraId="5EA739C4" w14:textId="77777777" w:rsidTr="003B0341">
        <w:trPr>
          <w:trHeight w:val="318"/>
          <w:tblHeader/>
        </w:trPr>
        <w:tc>
          <w:tcPr>
            <w:tcW w:w="5354" w:type="dxa"/>
            <w:tcBorders>
              <w:top w:val="nil"/>
              <w:left w:val="nil"/>
              <w:bottom w:val="nil"/>
              <w:right w:val="nil"/>
            </w:tcBorders>
            <w:shd w:val="clear" w:color="auto" w:fill="auto"/>
            <w:vAlign w:val="center"/>
            <w:hideMark/>
          </w:tcPr>
          <w:p w14:paraId="5EA739C0" w14:textId="77777777" w:rsidR="00931AF7" w:rsidRPr="00CD3BD3" w:rsidRDefault="00931AF7" w:rsidP="00CD3BD3">
            <w:pPr>
              <w:rPr>
                <w:rFonts w:cs="Arial"/>
                <w:color w:val="000000"/>
                <w:sz w:val="22"/>
                <w:szCs w:val="22"/>
                <w:lang w:eastAsia="en-AU"/>
              </w:rPr>
            </w:pPr>
            <w:bookmarkStart w:id="287" w:name="Table_22"/>
            <w:bookmarkEnd w:id="287"/>
            <w:r w:rsidRPr="00CD3BD3">
              <w:rPr>
                <w:rFonts w:cs="Arial"/>
                <w:color w:val="000000"/>
                <w:sz w:val="22"/>
                <w:szCs w:val="22"/>
                <w:lang w:eastAsia="en-AU"/>
              </w:rPr>
              <w:t>Depreciation and amortisation expense:</w:t>
            </w:r>
          </w:p>
        </w:tc>
        <w:tc>
          <w:tcPr>
            <w:tcW w:w="1646" w:type="dxa"/>
            <w:tcBorders>
              <w:top w:val="nil"/>
              <w:left w:val="nil"/>
              <w:bottom w:val="nil"/>
              <w:right w:val="nil"/>
            </w:tcBorders>
            <w:shd w:val="clear" w:color="000000" w:fill="BFBFBF" w:themeFill="background1" w:themeFillShade="BF"/>
            <w:vAlign w:val="center"/>
          </w:tcPr>
          <w:p w14:paraId="5EA739C2" w14:textId="7D3376B4" w:rsidR="00931AF7" w:rsidRPr="00CD3BD3" w:rsidRDefault="00931AF7" w:rsidP="00CD3BD3">
            <w:pPr>
              <w:jc w:val="right"/>
              <w:rPr>
                <w:rFonts w:cs="Arial"/>
                <w:color w:val="000000"/>
                <w:sz w:val="22"/>
                <w:szCs w:val="22"/>
                <w:lang w:eastAsia="en-AU"/>
              </w:rPr>
            </w:pPr>
            <w:r w:rsidRPr="00931AF7">
              <w:rPr>
                <w:rFonts w:cs="Arial"/>
                <w:b/>
                <w:color w:val="000000"/>
                <w:sz w:val="22"/>
                <w:szCs w:val="22"/>
                <w:lang w:eastAsia="en-AU"/>
              </w:rPr>
              <w:t>2015</w:t>
            </w:r>
          </w:p>
        </w:tc>
        <w:tc>
          <w:tcPr>
            <w:tcW w:w="1512" w:type="dxa"/>
            <w:tcBorders>
              <w:top w:val="nil"/>
              <w:left w:val="nil"/>
              <w:bottom w:val="nil"/>
              <w:right w:val="nil"/>
            </w:tcBorders>
            <w:shd w:val="clear" w:color="auto" w:fill="auto"/>
            <w:vAlign w:val="center"/>
            <w:hideMark/>
          </w:tcPr>
          <w:p w14:paraId="5EA739C3" w14:textId="3EBCE19A" w:rsidR="00931AF7" w:rsidRPr="00BC6AED" w:rsidRDefault="00931AF7" w:rsidP="00CD3BD3">
            <w:pPr>
              <w:jc w:val="right"/>
              <w:rPr>
                <w:rFonts w:cs="Arial"/>
                <w:color w:val="000000"/>
                <w:sz w:val="22"/>
                <w:szCs w:val="22"/>
                <w:lang w:eastAsia="en-AU"/>
              </w:rPr>
            </w:pPr>
            <w:r w:rsidRPr="00BC6AED">
              <w:rPr>
                <w:sz w:val="22"/>
                <w:szCs w:val="22"/>
              </w:rPr>
              <w:t>2014</w:t>
            </w:r>
          </w:p>
        </w:tc>
      </w:tr>
      <w:tr w:rsidR="00931AF7" w:rsidRPr="00CD3BD3" w14:paraId="5EA739C9" w14:textId="77777777" w:rsidTr="00931AF7">
        <w:trPr>
          <w:trHeight w:val="318"/>
        </w:trPr>
        <w:tc>
          <w:tcPr>
            <w:tcW w:w="5354" w:type="dxa"/>
            <w:tcBorders>
              <w:top w:val="nil"/>
              <w:left w:val="nil"/>
              <w:bottom w:val="nil"/>
              <w:right w:val="nil"/>
            </w:tcBorders>
            <w:shd w:val="clear" w:color="auto" w:fill="auto"/>
            <w:vAlign w:val="center"/>
            <w:hideMark/>
          </w:tcPr>
          <w:p w14:paraId="5EA739C5" w14:textId="0207969B"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Buildings</w:t>
            </w:r>
          </w:p>
        </w:tc>
        <w:tc>
          <w:tcPr>
            <w:tcW w:w="1646" w:type="dxa"/>
            <w:tcBorders>
              <w:top w:val="nil"/>
              <w:left w:val="nil"/>
              <w:bottom w:val="nil"/>
              <w:right w:val="nil"/>
            </w:tcBorders>
            <w:shd w:val="clear" w:color="000000" w:fill="BFBFBF" w:themeFill="background1" w:themeFillShade="BF"/>
            <w:vAlign w:val="center"/>
          </w:tcPr>
          <w:p w14:paraId="5EA739C7"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1,389</w:t>
            </w:r>
          </w:p>
        </w:tc>
        <w:tc>
          <w:tcPr>
            <w:tcW w:w="1512" w:type="dxa"/>
            <w:tcBorders>
              <w:top w:val="nil"/>
              <w:left w:val="nil"/>
              <w:bottom w:val="nil"/>
              <w:right w:val="nil"/>
            </w:tcBorders>
            <w:shd w:val="clear" w:color="auto" w:fill="auto"/>
            <w:hideMark/>
          </w:tcPr>
          <w:p w14:paraId="5EA739C8" w14:textId="77777777" w:rsidR="00931AF7" w:rsidRPr="00BC6AED" w:rsidRDefault="00931AF7" w:rsidP="00CD3BD3">
            <w:pPr>
              <w:jc w:val="right"/>
              <w:rPr>
                <w:rFonts w:cs="Arial"/>
                <w:color w:val="000000"/>
                <w:sz w:val="22"/>
                <w:szCs w:val="22"/>
                <w:lang w:eastAsia="en-AU"/>
              </w:rPr>
            </w:pPr>
            <w:r w:rsidRPr="00BC6AED">
              <w:rPr>
                <w:sz w:val="22"/>
                <w:szCs w:val="22"/>
              </w:rPr>
              <w:t>1,345</w:t>
            </w:r>
          </w:p>
        </w:tc>
      </w:tr>
      <w:tr w:rsidR="00931AF7" w:rsidRPr="00CD3BD3" w14:paraId="5EA739CE" w14:textId="77777777" w:rsidTr="00931AF7">
        <w:trPr>
          <w:trHeight w:val="318"/>
        </w:trPr>
        <w:tc>
          <w:tcPr>
            <w:tcW w:w="5354" w:type="dxa"/>
            <w:tcBorders>
              <w:top w:val="nil"/>
              <w:left w:val="nil"/>
              <w:bottom w:val="nil"/>
              <w:right w:val="nil"/>
            </w:tcBorders>
            <w:shd w:val="clear" w:color="auto" w:fill="auto"/>
            <w:vAlign w:val="center"/>
            <w:hideMark/>
          </w:tcPr>
          <w:p w14:paraId="5EA739CA" w14:textId="378C8D1C"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Investment property</w:t>
            </w:r>
          </w:p>
        </w:tc>
        <w:tc>
          <w:tcPr>
            <w:tcW w:w="1646" w:type="dxa"/>
            <w:tcBorders>
              <w:top w:val="nil"/>
              <w:left w:val="nil"/>
              <w:bottom w:val="nil"/>
              <w:right w:val="nil"/>
            </w:tcBorders>
            <w:shd w:val="clear" w:color="000000" w:fill="BFBFBF" w:themeFill="background1" w:themeFillShade="BF"/>
            <w:vAlign w:val="center"/>
          </w:tcPr>
          <w:p w14:paraId="5EA739CC"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3</w:t>
            </w:r>
          </w:p>
        </w:tc>
        <w:tc>
          <w:tcPr>
            <w:tcW w:w="1512" w:type="dxa"/>
            <w:tcBorders>
              <w:top w:val="nil"/>
              <w:left w:val="nil"/>
              <w:bottom w:val="nil"/>
              <w:right w:val="nil"/>
            </w:tcBorders>
            <w:shd w:val="clear" w:color="auto" w:fill="auto"/>
            <w:hideMark/>
          </w:tcPr>
          <w:p w14:paraId="5EA739CD" w14:textId="77777777" w:rsidR="00931AF7" w:rsidRPr="00BC6AED" w:rsidRDefault="00931AF7" w:rsidP="00CD3BD3">
            <w:pPr>
              <w:jc w:val="right"/>
              <w:rPr>
                <w:rFonts w:cs="Arial"/>
                <w:color w:val="000000"/>
                <w:sz w:val="22"/>
                <w:szCs w:val="22"/>
                <w:lang w:eastAsia="en-AU"/>
              </w:rPr>
            </w:pPr>
            <w:r w:rsidRPr="00BC6AED">
              <w:rPr>
                <w:sz w:val="22"/>
                <w:szCs w:val="22"/>
              </w:rPr>
              <w:t>5</w:t>
            </w:r>
          </w:p>
        </w:tc>
      </w:tr>
      <w:tr w:rsidR="00931AF7" w:rsidRPr="00CD3BD3" w14:paraId="5EA739D3" w14:textId="77777777" w:rsidTr="00931AF7">
        <w:trPr>
          <w:trHeight w:val="318"/>
        </w:trPr>
        <w:tc>
          <w:tcPr>
            <w:tcW w:w="5354" w:type="dxa"/>
            <w:tcBorders>
              <w:top w:val="nil"/>
              <w:left w:val="nil"/>
              <w:bottom w:val="nil"/>
              <w:right w:val="nil"/>
            </w:tcBorders>
            <w:shd w:val="clear" w:color="auto" w:fill="auto"/>
            <w:vAlign w:val="center"/>
            <w:hideMark/>
          </w:tcPr>
          <w:p w14:paraId="5EA739CF" w14:textId="7CA138C9" w:rsidR="00931AF7" w:rsidRPr="00CD3BD3" w:rsidRDefault="00931AF7" w:rsidP="00A07FE0">
            <w:pPr>
              <w:rPr>
                <w:rFonts w:cs="Arial"/>
                <w:color w:val="000000"/>
                <w:sz w:val="22"/>
                <w:szCs w:val="22"/>
                <w:lang w:eastAsia="en-AU"/>
              </w:rPr>
            </w:pPr>
            <w:r w:rsidRPr="00CD3BD3">
              <w:rPr>
                <w:rFonts w:cs="Arial"/>
                <w:color w:val="000000"/>
                <w:sz w:val="22"/>
                <w:szCs w:val="22"/>
                <w:lang w:eastAsia="en-AU"/>
              </w:rPr>
              <w:t xml:space="preserve">Plant </w:t>
            </w:r>
            <w:r>
              <w:rPr>
                <w:rFonts w:cs="Arial"/>
                <w:color w:val="000000"/>
                <w:sz w:val="22"/>
                <w:szCs w:val="22"/>
                <w:lang w:eastAsia="en-AU"/>
              </w:rPr>
              <w:t>and</w:t>
            </w:r>
            <w:r w:rsidRPr="00CD3BD3">
              <w:rPr>
                <w:rFonts w:cs="Arial"/>
                <w:color w:val="000000"/>
                <w:sz w:val="22"/>
                <w:szCs w:val="22"/>
                <w:lang w:eastAsia="en-AU"/>
              </w:rPr>
              <w:t xml:space="preserve"> equipment, furniture </w:t>
            </w:r>
            <w:r>
              <w:rPr>
                <w:rFonts w:cs="Arial"/>
                <w:color w:val="000000"/>
                <w:sz w:val="22"/>
                <w:szCs w:val="22"/>
                <w:lang w:eastAsia="en-AU"/>
              </w:rPr>
              <w:t>and</w:t>
            </w:r>
            <w:r w:rsidRPr="00CD3BD3">
              <w:rPr>
                <w:rFonts w:cs="Arial"/>
                <w:color w:val="000000"/>
                <w:sz w:val="22"/>
                <w:szCs w:val="22"/>
                <w:lang w:eastAsia="en-AU"/>
              </w:rPr>
              <w:t xml:space="preserve"> fittings</w:t>
            </w:r>
          </w:p>
        </w:tc>
        <w:tc>
          <w:tcPr>
            <w:tcW w:w="1646" w:type="dxa"/>
            <w:tcBorders>
              <w:top w:val="nil"/>
              <w:left w:val="nil"/>
              <w:bottom w:val="nil"/>
              <w:right w:val="nil"/>
            </w:tcBorders>
            <w:shd w:val="clear" w:color="000000" w:fill="BFBFBF" w:themeFill="background1" w:themeFillShade="BF"/>
            <w:vAlign w:val="center"/>
          </w:tcPr>
          <w:p w14:paraId="5EA739D1" w14:textId="77777777" w:rsidR="00931AF7" w:rsidRPr="00CD3BD3" w:rsidRDefault="00931AF7" w:rsidP="001F55CF">
            <w:pPr>
              <w:jc w:val="right"/>
              <w:rPr>
                <w:rFonts w:cs="Arial"/>
                <w:color w:val="000000"/>
                <w:sz w:val="22"/>
                <w:szCs w:val="22"/>
                <w:lang w:eastAsia="en-AU"/>
              </w:rPr>
            </w:pPr>
            <w:r>
              <w:rPr>
                <w:rFonts w:cs="Arial"/>
                <w:color w:val="000000"/>
                <w:sz w:val="22"/>
                <w:szCs w:val="22"/>
                <w:lang w:eastAsia="en-AU"/>
              </w:rPr>
              <w:t>925</w:t>
            </w:r>
          </w:p>
        </w:tc>
        <w:tc>
          <w:tcPr>
            <w:tcW w:w="1512" w:type="dxa"/>
            <w:tcBorders>
              <w:top w:val="nil"/>
              <w:left w:val="nil"/>
              <w:bottom w:val="nil"/>
              <w:right w:val="nil"/>
            </w:tcBorders>
            <w:shd w:val="clear" w:color="auto" w:fill="auto"/>
            <w:hideMark/>
          </w:tcPr>
          <w:p w14:paraId="5EA739D2" w14:textId="77777777" w:rsidR="00931AF7" w:rsidRPr="00BC6AED" w:rsidRDefault="00931AF7" w:rsidP="00CD3BD3">
            <w:pPr>
              <w:jc w:val="right"/>
              <w:rPr>
                <w:rFonts w:cs="Arial"/>
                <w:color w:val="000000"/>
                <w:sz w:val="22"/>
                <w:szCs w:val="22"/>
                <w:lang w:eastAsia="en-AU"/>
              </w:rPr>
            </w:pPr>
            <w:r w:rsidRPr="00BC6AED">
              <w:rPr>
                <w:sz w:val="22"/>
                <w:szCs w:val="22"/>
              </w:rPr>
              <w:t>1,241</w:t>
            </w:r>
          </w:p>
        </w:tc>
      </w:tr>
      <w:tr w:rsidR="00931AF7" w:rsidRPr="00CD3BD3" w14:paraId="5EA739D8" w14:textId="77777777" w:rsidTr="00931AF7">
        <w:trPr>
          <w:trHeight w:val="318"/>
        </w:trPr>
        <w:tc>
          <w:tcPr>
            <w:tcW w:w="5354" w:type="dxa"/>
            <w:tcBorders>
              <w:top w:val="nil"/>
              <w:left w:val="nil"/>
              <w:bottom w:val="nil"/>
              <w:right w:val="nil"/>
            </w:tcBorders>
            <w:shd w:val="clear" w:color="auto" w:fill="auto"/>
            <w:vAlign w:val="center"/>
            <w:hideMark/>
          </w:tcPr>
          <w:p w14:paraId="5EA739D4" w14:textId="0F2DFB15"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Motor vehicles</w:t>
            </w:r>
          </w:p>
        </w:tc>
        <w:tc>
          <w:tcPr>
            <w:tcW w:w="1646" w:type="dxa"/>
            <w:tcBorders>
              <w:top w:val="nil"/>
              <w:left w:val="nil"/>
              <w:bottom w:val="nil"/>
              <w:right w:val="nil"/>
            </w:tcBorders>
            <w:shd w:val="clear" w:color="000000" w:fill="BFBFBF" w:themeFill="background1" w:themeFillShade="BF"/>
            <w:vAlign w:val="center"/>
          </w:tcPr>
          <w:p w14:paraId="5EA739D6"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406</w:t>
            </w:r>
          </w:p>
        </w:tc>
        <w:tc>
          <w:tcPr>
            <w:tcW w:w="1512" w:type="dxa"/>
            <w:tcBorders>
              <w:top w:val="nil"/>
              <w:left w:val="nil"/>
              <w:bottom w:val="nil"/>
              <w:right w:val="nil"/>
            </w:tcBorders>
            <w:shd w:val="clear" w:color="auto" w:fill="auto"/>
            <w:hideMark/>
          </w:tcPr>
          <w:p w14:paraId="5EA739D7" w14:textId="77777777" w:rsidR="00931AF7" w:rsidRPr="00BC6AED" w:rsidRDefault="00931AF7" w:rsidP="00CD3BD3">
            <w:pPr>
              <w:jc w:val="right"/>
              <w:rPr>
                <w:rFonts w:cs="Arial"/>
                <w:color w:val="000000"/>
                <w:sz w:val="22"/>
                <w:szCs w:val="22"/>
                <w:lang w:eastAsia="en-AU"/>
              </w:rPr>
            </w:pPr>
            <w:r w:rsidRPr="00BC6AED">
              <w:rPr>
                <w:sz w:val="22"/>
                <w:szCs w:val="22"/>
              </w:rPr>
              <w:t>791</w:t>
            </w:r>
          </w:p>
        </w:tc>
      </w:tr>
      <w:tr w:rsidR="00931AF7" w:rsidRPr="00CD3BD3" w14:paraId="5EA739DD" w14:textId="77777777" w:rsidTr="00931AF7">
        <w:trPr>
          <w:trHeight w:val="318"/>
        </w:trPr>
        <w:tc>
          <w:tcPr>
            <w:tcW w:w="5354" w:type="dxa"/>
            <w:tcBorders>
              <w:top w:val="nil"/>
              <w:left w:val="nil"/>
              <w:bottom w:val="nil"/>
              <w:right w:val="nil"/>
            </w:tcBorders>
            <w:shd w:val="clear" w:color="auto" w:fill="auto"/>
            <w:vAlign w:val="center"/>
            <w:hideMark/>
          </w:tcPr>
          <w:p w14:paraId="5EA739D9" w14:textId="46B5D4CB"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Computers</w:t>
            </w:r>
          </w:p>
        </w:tc>
        <w:tc>
          <w:tcPr>
            <w:tcW w:w="1646" w:type="dxa"/>
            <w:tcBorders>
              <w:top w:val="nil"/>
              <w:left w:val="nil"/>
              <w:bottom w:val="nil"/>
              <w:right w:val="nil"/>
            </w:tcBorders>
            <w:shd w:val="clear" w:color="000000" w:fill="BFBFBF" w:themeFill="background1" w:themeFillShade="BF"/>
            <w:vAlign w:val="center"/>
          </w:tcPr>
          <w:p w14:paraId="5EA739DB"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192</w:t>
            </w:r>
          </w:p>
        </w:tc>
        <w:tc>
          <w:tcPr>
            <w:tcW w:w="1512" w:type="dxa"/>
            <w:tcBorders>
              <w:top w:val="nil"/>
              <w:left w:val="nil"/>
              <w:bottom w:val="nil"/>
              <w:right w:val="nil"/>
            </w:tcBorders>
            <w:shd w:val="clear" w:color="auto" w:fill="auto"/>
            <w:hideMark/>
          </w:tcPr>
          <w:p w14:paraId="5EA739DC" w14:textId="77777777" w:rsidR="00931AF7" w:rsidRPr="00BC6AED" w:rsidRDefault="00931AF7" w:rsidP="00CD3BD3">
            <w:pPr>
              <w:jc w:val="right"/>
              <w:rPr>
                <w:rFonts w:cs="Arial"/>
                <w:color w:val="000000"/>
                <w:sz w:val="22"/>
                <w:szCs w:val="22"/>
                <w:lang w:eastAsia="en-AU"/>
              </w:rPr>
            </w:pPr>
            <w:r w:rsidRPr="00BC6AED">
              <w:rPr>
                <w:sz w:val="22"/>
                <w:szCs w:val="22"/>
              </w:rPr>
              <w:t>395</w:t>
            </w:r>
          </w:p>
        </w:tc>
      </w:tr>
      <w:tr w:rsidR="00931AF7" w:rsidRPr="00CD3BD3" w14:paraId="5EA739E2" w14:textId="77777777" w:rsidTr="00931AF7">
        <w:trPr>
          <w:trHeight w:val="318"/>
        </w:trPr>
        <w:tc>
          <w:tcPr>
            <w:tcW w:w="5354" w:type="dxa"/>
            <w:tcBorders>
              <w:top w:val="nil"/>
              <w:left w:val="nil"/>
              <w:bottom w:val="nil"/>
              <w:right w:val="nil"/>
            </w:tcBorders>
            <w:shd w:val="clear" w:color="auto" w:fill="auto"/>
            <w:vAlign w:val="center"/>
            <w:hideMark/>
          </w:tcPr>
          <w:p w14:paraId="5EA739DE" w14:textId="5C185297" w:rsidR="00931AF7" w:rsidRPr="00CD3BD3" w:rsidRDefault="00931AF7" w:rsidP="00CD3BD3">
            <w:pPr>
              <w:rPr>
                <w:rFonts w:cs="Arial"/>
                <w:color w:val="000000"/>
                <w:sz w:val="22"/>
                <w:szCs w:val="22"/>
                <w:lang w:eastAsia="en-AU"/>
              </w:rPr>
            </w:pPr>
            <w:r w:rsidRPr="00CD3BD3">
              <w:rPr>
                <w:rFonts w:cs="Arial"/>
                <w:color w:val="000000"/>
                <w:sz w:val="22"/>
                <w:szCs w:val="22"/>
                <w:lang w:eastAsia="en-AU"/>
              </w:rPr>
              <w:t>Intangible assets  (Note 14)</w:t>
            </w:r>
          </w:p>
        </w:tc>
        <w:tc>
          <w:tcPr>
            <w:tcW w:w="1646" w:type="dxa"/>
            <w:tcBorders>
              <w:top w:val="nil"/>
              <w:left w:val="nil"/>
              <w:bottom w:val="single" w:sz="8" w:space="0" w:color="auto"/>
              <w:right w:val="nil"/>
            </w:tcBorders>
            <w:shd w:val="clear" w:color="000000" w:fill="BFBFBF" w:themeFill="background1" w:themeFillShade="BF"/>
            <w:vAlign w:val="center"/>
          </w:tcPr>
          <w:p w14:paraId="5EA739E0"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848</w:t>
            </w:r>
          </w:p>
        </w:tc>
        <w:tc>
          <w:tcPr>
            <w:tcW w:w="1512" w:type="dxa"/>
            <w:tcBorders>
              <w:top w:val="nil"/>
              <w:left w:val="nil"/>
              <w:bottom w:val="single" w:sz="8" w:space="0" w:color="auto"/>
              <w:right w:val="nil"/>
            </w:tcBorders>
            <w:shd w:val="clear" w:color="auto" w:fill="auto"/>
            <w:hideMark/>
          </w:tcPr>
          <w:p w14:paraId="5EA739E1" w14:textId="77777777" w:rsidR="00931AF7" w:rsidRPr="00BC6AED" w:rsidRDefault="00931AF7" w:rsidP="00CD3BD3">
            <w:pPr>
              <w:jc w:val="right"/>
              <w:rPr>
                <w:rFonts w:cs="Arial"/>
                <w:color w:val="000000"/>
                <w:sz w:val="22"/>
                <w:szCs w:val="22"/>
                <w:lang w:eastAsia="en-AU"/>
              </w:rPr>
            </w:pPr>
            <w:r w:rsidRPr="00BC6AED">
              <w:rPr>
                <w:sz w:val="22"/>
                <w:szCs w:val="22"/>
              </w:rPr>
              <w:t>1,149</w:t>
            </w:r>
          </w:p>
        </w:tc>
      </w:tr>
      <w:tr w:rsidR="00931AF7" w:rsidRPr="00CD3BD3" w14:paraId="5EA739E7" w14:textId="77777777" w:rsidTr="00931AF7">
        <w:trPr>
          <w:trHeight w:val="318"/>
        </w:trPr>
        <w:tc>
          <w:tcPr>
            <w:tcW w:w="5354" w:type="dxa"/>
            <w:tcBorders>
              <w:top w:val="nil"/>
              <w:left w:val="nil"/>
              <w:bottom w:val="nil"/>
              <w:right w:val="nil"/>
            </w:tcBorders>
            <w:shd w:val="clear" w:color="auto" w:fill="auto"/>
            <w:vAlign w:val="center"/>
            <w:hideMark/>
          </w:tcPr>
          <w:p w14:paraId="5EA739E3" w14:textId="2C2541C6" w:rsidR="00931AF7" w:rsidRPr="00CD3BD3" w:rsidRDefault="00931AF7" w:rsidP="00CD3BD3">
            <w:pPr>
              <w:rPr>
                <w:rFonts w:cs="Arial"/>
                <w:color w:val="000000"/>
                <w:sz w:val="22"/>
                <w:szCs w:val="22"/>
                <w:lang w:eastAsia="en-AU"/>
              </w:rPr>
            </w:pPr>
            <w:r>
              <w:rPr>
                <w:rFonts w:cs="Arial"/>
                <w:color w:val="000000"/>
                <w:sz w:val="22"/>
                <w:szCs w:val="22"/>
                <w:lang w:eastAsia="en-AU"/>
              </w:rPr>
              <w:t>TOTAL</w:t>
            </w:r>
          </w:p>
        </w:tc>
        <w:tc>
          <w:tcPr>
            <w:tcW w:w="1646" w:type="dxa"/>
            <w:tcBorders>
              <w:top w:val="single" w:sz="12" w:space="0" w:color="auto"/>
              <w:left w:val="nil"/>
              <w:bottom w:val="single" w:sz="12" w:space="0" w:color="auto"/>
              <w:right w:val="nil"/>
            </w:tcBorders>
            <w:shd w:val="clear" w:color="000000" w:fill="BFBFBF" w:themeFill="background1" w:themeFillShade="BF"/>
            <w:vAlign w:val="center"/>
          </w:tcPr>
          <w:p w14:paraId="5EA739E5"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3,763</w:t>
            </w:r>
          </w:p>
        </w:tc>
        <w:tc>
          <w:tcPr>
            <w:tcW w:w="1512" w:type="dxa"/>
            <w:tcBorders>
              <w:top w:val="single" w:sz="12" w:space="0" w:color="auto"/>
              <w:left w:val="nil"/>
              <w:bottom w:val="single" w:sz="12" w:space="0" w:color="auto"/>
              <w:right w:val="nil"/>
            </w:tcBorders>
            <w:shd w:val="clear" w:color="auto" w:fill="auto"/>
            <w:hideMark/>
          </w:tcPr>
          <w:p w14:paraId="5EA739E6" w14:textId="77777777" w:rsidR="00931AF7" w:rsidRPr="00BC6AED" w:rsidRDefault="00931AF7" w:rsidP="00CD3BD3">
            <w:pPr>
              <w:jc w:val="right"/>
              <w:rPr>
                <w:rFonts w:cs="Arial"/>
                <w:color w:val="000000"/>
                <w:sz w:val="22"/>
                <w:szCs w:val="22"/>
                <w:lang w:eastAsia="en-AU"/>
              </w:rPr>
            </w:pPr>
            <w:r w:rsidRPr="00BC6AED">
              <w:rPr>
                <w:sz w:val="22"/>
                <w:szCs w:val="22"/>
              </w:rPr>
              <w:t>4,926</w:t>
            </w:r>
          </w:p>
        </w:tc>
      </w:tr>
    </w:tbl>
    <w:p w14:paraId="2C591762" w14:textId="77777777" w:rsidR="00931AF7" w:rsidRDefault="00931AF7"/>
    <w:tbl>
      <w:tblPr>
        <w:tblW w:w="8512" w:type="dxa"/>
        <w:tblInd w:w="108" w:type="dxa"/>
        <w:tblLook w:val="04A0" w:firstRow="1" w:lastRow="0" w:firstColumn="1" w:lastColumn="0" w:noHBand="0" w:noVBand="1"/>
      </w:tblPr>
      <w:tblGrid>
        <w:gridCol w:w="5354"/>
        <w:gridCol w:w="1646"/>
        <w:gridCol w:w="1512"/>
      </w:tblGrid>
      <w:tr w:rsidR="00931AF7" w:rsidRPr="00CD3BD3" w14:paraId="5EA739EC" w14:textId="77777777" w:rsidTr="003B0341">
        <w:trPr>
          <w:trHeight w:val="318"/>
          <w:tblHeader/>
        </w:trPr>
        <w:tc>
          <w:tcPr>
            <w:tcW w:w="5354" w:type="dxa"/>
            <w:tcBorders>
              <w:top w:val="nil"/>
              <w:left w:val="nil"/>
              <w:bottom w:val="nil"/>
              <w:right w:val="nil"/>
            </w:tcBorders>
            <w:shd w:val="clear" w:color="auto" w:fill="auto"/>
            <w:vAlign w:val="center"/>
            <w:hideMark/>
          </w:tcPr>
          <w:p w14:paraId="5EA739E8" w14:textId="77777777" w:rsidR="00931AF7" w:rsidRPr="00CD3BD3" w:rsidRDefault="00931AF7" w:rsidP="00CD3BD3">
            <w:pPr>
              <w:rPr>
                <w:rFonts w:cs="Arial"/>
                <w:color w:val="000000"/>
                <w:sz w:val="22"/>
                <w:szCs w:val="22"/>
                <w:lang w:eastAsia="en-AU"/>
              </w:rPr>
            </w:pPr>
            <w:bookmarkStart w:id="288" w:name="Table_23"/>
            <w:bookmarkEnd w:id="288"/>
            <w:r w:rsidRPr="00CD3BD3">
              <w:rPr>
                <w:rFonts w:cs="Arial"/>
                <w:color w:val="000000"/>
                <w:sz w:val="22"/>
                <w:szCs w:val="22"/>
                <w:lang w:eastAsia="en-AU"/>
              </w:rPr>
              <w:t>Finance costs:</w:t>
            </w:r>
          </w:p>
        </w:tc>
        <w:tc>
          <w:tcPr>
            <w:tcW w:w="1646" w:type="dxa"/>
            <w:tcBorders>
              <w:top w:val="nil"/>
              <w:left w:val="nil"/>
              <w:bottom w:val="nil"/>
              <w:right w:val="nil"/>
            </w:tcBorders>
            <w:shd w:val="clear" w:color="000000" w:fill="BFBFBF" w:themeFill="background1" w:themeFillShade="BF"/>
            <w:vAlign w:val="center"/>
          </w:tcPr>
          <w:p w14:paraId="5EA739EA" w14:textId="79DE817E" w:rsidR="00931AF7" w:rsidRPr="00CD3BD3" w:rsidRDefault="00931AF7" w:rsidP="00CD3BD3">
            <w:pPr>
              <w:jc w:val="right"/>
              <w:rPr>
                <w:rFonts w:cs="Arial"/>
                <w:color w:val="000000"/>
                <w:sz w:val="22"/>
                <w:szCs w:val="22"/>
                <w:lang w:eastAsia="en-AU"/>
              </w:rPr>
            </w:pPr>
            <w:r w:rsidRPr="00931AF7">
              <w:rPr>
                <w:rFonts w:cs="Arial"/>
                <w:b/>
                <w:color w:val="000000"/>
                <w:sz w:val="22"/>
                <w:szCs w:val="22"/>
                <w:lang w:eastAsia="en-AU"/>
              </w:rPr>
              <w:t>2015</w:t>
            </w:r>
          </w:p>
        </w:tc>
        <w:tc>
          <w:tcPr>
            <w:tcW w:w="1512" w:type="dxa"/>
            <w:tcBorders>
              <w:top w:val="nil"/>
              <w:left w:val="nil"/>
              <w:bottom w:val="nil"/>
              <w:right w:val="nil"/>
            </w:tcBorders>
            <w:shd w:val="clear" w:color="auto" w:fill="auto"/>
            <w:vAlign w:val="center"/>
            <w:hideMark/>
          </w:tcPr>
          <w:p w14:paraId="5EA739EB" w14:textId="63CFDD91" w:rsidR="00931AF7" w:rsidRPr="00BC6AED" w:rsidRDefault="00931AF7" w:rsidP="00CD3BD3">
            <w:pPr>
              <w:jc w:val="right"/>
              <w:rPr>
                <w:rFonts w:cs="Arial"/>
                <w:color w:val="000000"/>
                <w:sz w:val="22"/>
                <w:szCs w:val="22"/>
                <w:lang w:eastAsia="en-AU"/>
              </w:rPr>
            </w:pPr>
            <w:r w:rsidRPr="00BC6AED">
              <w:rPr>
                <w:sz w:val="22"/>
                <w:szCs w:val="22"/>
              </w:rPr>
              <w:t>2014</w:t>
            </w:r>
          </w:p>
        </w:tc>
      </w:tr>
      <w:tr w:rsidR="00931AF7" w:rsidRPr="00CD3BD3" w14:paraId="5EA739F1" w14:textId="77777777" w:rsidTr="00931AF7">
        <w:trPr>
          <w:trHeight w:val="318"/>
        </w:trPr>
        <w:tc>
          <w:tcPr>
            <w:tcW w:w="5354" w:type="dxa"/>
            <w:tcBorders>
              <w:top w:val="nil"/>
              <w:left w:val="nil"/>
              <w:bottom w:val="nil"/>
              <w:right w:val="nil"/>
            </w:tcBorders>
            <w:shd w:val="clear" w:color="auto" w:fill="auto"/>
            <w:vAlign w:val="center"/>
            <w:hideMark/>
          </w:tcPr>
          <w:p w14:paraId="5EA739ED" w14:textId="77777777" w:rsidR="00931AF7" w:rsidRPr="00CD3BD3" w:rsidRDefault="00931AF7" w:rsidP="00931AF7">
            <w:pPr>
              <w:rPr>
                <w:rFonts w:cs="Arial"/>
                <w:color w:val="000000"/>
                <w:sz w:val="22"/>
                <w:szCs w:val="22"/>
                <w:lang w:eastAsia="en-AU"/>
              </w:rPr>
            </w:pPr>
            <w:r w:rsidRPr="00CD3BD3">
              <w:rPr>
                <w:rFonts w:cs="Arial"/>
                <w:color w:val="000000"/>
                <w:sz w:val="22"/>
                <w:szCs w:val="22"/>
                <w:lang w:eastAsia="en-AU"/>
              </w:rPr>
              <w:t>Other finance costs</w:t>
            </w:r>
          </w:p>
        </w:tc>
        <w:tc>
          <w:tcPr>
            <w:tcW w:w="1646" w:type="dxa"/>
            <w:tcBorders>
              <w:top w:val="nil"/>
              <w:left w:val="nil"/>
              <w:bottom w:val="single" w:sz="8" w:space="0" w:color="auto"/>
              <w:right w:val="nil"/>
            </w:tcBorders>
            <w:shd w:val="clear" w:color="000000" w:fill="BFBFBF" w:themeFill="background1" w:themeFillShade="BF"/>
            <w:vAlign w:val="center"/>
          </w:tcPr>
          <w:p w14:paraId="5EA739EF" w14:textId="77777777" w:rsidR="00931AF7" w:rsidRPr="00CD3BD3" w:rsidRDefault="00931AF7" w:rsidP="001F55CF">
            <w:pPr>
              <w:jc w:val="right"/>
              <w:rPr>
                <w:rFonts w:cs="Arial"/>
                <w:color w:val="000000"/>
                <w:sz w:val="22"/>
                <w:szCs w:val="22"/>
                <w:lang w:eastAsia="en-AU"/>
              </w:rPr>
            </w:pPr>
            <w:r>
              <w:rPr>
                <w:rFonts w:cs="Arial"/>
                <w:color w:val="000000"/>
                <w:sz w:val="22"/>
                <w:szCs w:val="22"/>
                <w:lang w:eastAsia="en-AU"/>
              </w:rPr>
              <w:t>284</w:t>
            </w:r>
          </w:p>
        </w:tc>
        <w:tc>
          <w:tcPr>
            <w:tcW w:w="1512" w:type="dxa"/>
            <w:tcBorders>
              <w:top w:val="nil"/>
              <w:left w:val="nil"/>
              <w:bottom w:val="single" w:sz="8" w:space="0" w:color="auto"/>
              <w:right w:val="nil"/>
            </w:tcBorders>
            <w:shd w:val="clear" w:color="auto" w:fill="auto"/>
            <w:hideMark/>
          </w:tcPr>
          <w:p w14:paraId="5EA739F0" w14:textId="77777777" w:rsidR="00931AF7" w:rsidRPr="00BC6AED" w:rsidRDefault="00931AF7" w:rsidP="00CD3BD3">
            <w:pPr>
              <w:jc w:val="right"/>
              <w:rPr>
                <w:rFonts w:cs="Arial"/>
                <w:color w:val="000000"/>
                <w:sz w:val="22"/>
                <w:szCs w:val="22"/>
                <w:lang w:eastAsia="en-AU"/>
              </w:rPr>
            </w:pPr>
            <w:r w:rsidRPr="00BC6AED">
              <w:rPr>
                <w:sz w:val="22"/>
                <w:szCs w:val="22"/>
              </w:rPr>
              <w:t>217</w:t>
            </w:r>
          </w:p>
        </w:tc>
      </w:tr>
      <w:tr w:rsidR="00931AF7" w:rsidRPr="00CD3BD3" w14:paraId="5EA739F6" w14:textId="77777777" w:rsidTr="00931AF7">
        <w:trPr>
          <w:trHeight w:val="318"/>
        </w:trPr>
        <w:tc>
          <w:tcPr>
            <w:tcW w:w="5354" w:type="dxa"/>
            <w:tcBorders>
              <w:top w:val="nil"/>
              <w:left w:val="nil"/>
              <w:bottom w:val="nil"/>
              <w:right w:val="nil"/>
            </w:tcBorders>
            <w:shd w:val="clear" w:color="auto" w:fill="auto"/>
            <w:vAlign w:val="center"/>
            <w:hideMark/>
          </w:tcPr>
          <w:p w14:paraId="5EA739F2" w14:textId="3873F5B8" w:rsidR="00931AF7" w:rsidRPr="00CD3BD3" w:rsidRDefault="00931AF7" w:rsidP="00CD3BD3">
            <w:pPr>
              <w:rPr>
                <w:rFonts w:cs="Arial"/>
                <w:color w:val="000000"/>
                <w:sz w:val="22"/>
                <w:szCs w:val="22"/>
                <w:lang w:eastAsia="en-AU"/>
              </w:rPr>
            </w:pPr>
            <w:r>
              <w:rPr>
                <w:rFonts w:cs="Arial"/>
                <w:color w:val="000000"/>
                <w:sz w:val="22"/>
                <w:szCs w:val="22"/>
                <w:lang w:eastAsia="en-AU"/>
              </w:rPr>
              <w:t>TOTAL</w:t>
            </w:r>
          </w:p>
        </w:tc>
        <w:tc>
          <w:tcPr>
            <w:tcW w:w="1646" w:type="dxa"/>
            <w:tcBorders>
              <w:top w:val="single" w:sz="12" w:space="0" w:color="auto"/>
              <w:left w:val="nil"/>
              <w:bottom w:val="single" w:sz="12" w:space="0" w:color="auto"/>
              <w:right w:val="nil"/>
            </w:tcBorders>
            <w:shd w:val="clear" w:color="000000" w:fill="BFBFBF" w:themeFill="background1" w:themeFillShade="BF"/>
            <w:vAlign w:val="center"/>
          </w:tcPr>
          <w:p w14:paraId="5EA739F4" w14:textId="77777777" w:rsidR="00931AF7" w:rsidRPr="00CD3BD3" w:rsidRDefault="00931AF7" w:rsidP="001F55CF">
            <w:pPr>
              <w:jc w:val="right"/>
              <w:rPr>
                <w:rFonts w:cs="Arial"/>
                <w:color w:val="000000"/>
                <w:sz w:val="22"/>
                <w:szCs w:val="22"/>
                <w:lang w:eastAsia="en-AU"/>
              </w:rPr>
            </w:pPr>
            <w:r>
              <w:rPr>
                <w:rFonts w:cs="Arial"/>
                <w:color w:val="000000"/>
                <w:sz w:val="22"/>
                <w:szCs w:val="22"/>
                <w:lang w:eastAsia="en-AU"/>
              </w:rPr>
              <w:t>284</w:t>
            </w:r>
          </w:p>
        </w:tc>
        <w:tc>
          <w:tcPr>
            <w:tcW w:w="1512" w:type="dxa"/>
            <w:tcBorders>
              <w:top w:val="single" w:sz="12" w:space="0" w:color="auto"/>
              <w:left w:val="nil"/>
              <w:bottom w:val="single" w:sz="12" w:space="0" w:color="auto"/>
              <w:right w:val="nil"/>
            </w:tcBorders>
            <w:shd w:val="clear" w:color="auto" w:fill="auto"/>
            <w:hideMark/>
          </w:tcPr>
          <w:p w14:paraId="5EA739F5" w14:textId="77777777" w:rsidR="00931AF7" w:rsidRPr="00BC6AED" w:rsidRDefault="00931AF7" w:rsidP="00CD3BD3">
            <w:pPr>
              <w:jc w:val="right"/>
              <w:rPr>
                <w:rFonts w:cs="Arial"/>
                <w:color w:val="000000"/>
                <w:sz w:val="22"/>
                <w:szCs w:val="22"/>
                <w:lang w:eastAsia="en-AU"/>
              </w:rPr>
            </w:pPr>
            <w:r w:rsidRPr="00BC6AED">
              <w:rPr>
                <w:sz w:val="22"/>
                <w:szCs w:val="22"/>
              </w:rPr>
              <w:t>217</w:t>
            </w:r>
          </w:p>
        </w:tc>
      </w:tr>
    </w:tbl>
    <w:p w14:paraId="53A658DA" w14:textId="77777777" w:rsidR="00931AF7" w:rsidRDefault="00931AF7"/>
    <w:tbl>
      <w:tblPr>
        <w:tblW w:w="8512" w:type="dxa"/>
        <w:tblInd w:w="108" w:type="dxa"/>
        <w:tblLook w:val="04A0" w:firstRow="1" w:lastRow="0" w:firstColumn="1" w:lastColumn="0" w:noHBand="0" w:noVBand="1"/>
      </w:tblPr>
      <w:tblGrid>
        <w:gridCol w:w="5354"/>
        <w:gridCol w:w="1646"/>
        <w:gridCol w:w="1512"/>
      </w:tblGrid>
      <w:tr w:rsidR="00931AF7" w:rsidRPr="00CD3BD3" w14:paraId="5EA73A00" w14:textId="77777777" w:rsidTr="003B0341">
        <w:trPr>
          <w:trHeight w:val="318"/>
          <w:tblHeader/>
        </w:trPr>
        <w:tc>
          <w:tcPr>
            <w:tcW w:w="5354" w:type="dxa"/>
            <w:tcBorders>
              <w:top w:val="nil"/>
              <w:left w:val="nil"/>
              <w:bottom w:val="nil"/>
              <w:right w:val="nil"/>
            </w:tcBorders>
            <w:shd w:val="clear" w:color="auto" w:fill="auto"/>
            <w:vAlign w:val="center"/>
            <w:hideMark/>
          </w:tcPr>
          <w:p w14:paraId="5EA739FC" w14:textId="77777777" w:rsidR="00931AF7" w:rsidRPr="00CD3BD3" w:rsidRDefault="00931AF7" w:rsidP="00CD3BD3">
            <w:pPr>
              <w:rPr>
                <w:rFonts w:cs="Arial"/>
                <w:color w:val="000000"/>
                <w:sz w:val="22"/>
                <w:szCs w:val="22"/>
                <w:lang w:eastAsia="en-AU"/>
              </w:rPr>
            </w:pPr>
            <w:bookmarkStart w:id="289" w:name="Table_24"/>
            <w:bookmarkEnd w:id="289"/>
            <w:r w:rsidRPr="00CD3BD3">
              <w:rPr>
                <w:rFonts w:cs="Arial"/>
                <w:color w:val="000000"/>
                <w:sz w:val="22"/>
                <w:szCs w:val="22"/>
                <w:lang w:eastAsia="en-AU"/>
              </w:rPr>
              <w:t>Other expenses includes:</w:t>
            </w:r>
          </w:p>
        </w:tc>
        <w:tc>
          <w:tcPr>
            <w:tcW w:w="1646" w:type="dxa"/>
            <w:tcBorders>
              <w:top w:val="nil"/>
              <w:left w:val="nil"/>
              <w:bottom w:val="nil"/>
              <w:right w:val="nil"/>
            </w:tcBorders>
            <w:shd w:val="clear" w:color="000000" w:fill="BFBFBF" w:themeFill="background1" w:themeFillShade="BF"/>
            <w:vAlign w:val="center"/>
          </w:tcPr>
          <w:p w14:paraId="5EA739FE" w14:textId="2FAB8833" w:rsidR="00931AF7" w:rsidRPr="00931AF7" w:rsidRDefault="00931AF7" w:rsidP="00CD3BD3">
            <w:pPr>
              <w:jc w:val="right"/>
              <w:rPr>
                <w:rFonts w:cs="Arial"/>
                <w:b/>
                <w:color w:val="000000"/>
                <w:sz w:val="22"/>
                <w:szCs w:val="22"/>
                <w:lang w:eastAsia="en-AU"/>
              </w:rPr>
            </w:pPr>
            <w:r w:rsidRPr="00931AF7">
              <w:rPr>
                <w:rFonts w:cs="Arial"/>
                <w:b/>
                <w:color w:val="000000"/>
                <w:sz w:val="22"/>
                <w:szCs w:val="22"/>
                <w:lang w:eastAsia="en-AU"/>
              </w:rPr>
              <w:t>2015</w:t>
            </w:r>
          </w:p>
        </w:tc>
        <w:tc>
          <w:tcPr>
            <w:tcW w:w="1512" w:type="dxa"/>
            <w:tcBorders>
              <w:top w:val="nil"/>
              <w:left w:val="nil"/>
              <w:bottom w:val="nil"/>
              <w:right w:val="nil"/>
            </w:tcBorders>
            <w:shd w:val="clear" w:color="auto" w:fill="auto"/>
            <w:hideMark/>
          </w:tcPr>
          <w:p w14:paraId="5EA739FF" w14:textId="6294E0AC" w:rsidR="00931AF7" w:rsidRPr="00BC6AED" w:rsidRDefault="00931AF7" w:rsidP="00CD3BD3">
            <w:pPr>
              <w:jc w:val="right"/>
              <w:rPr>
                <w:rFonts w:cs="Arial"/>
                <w:color w:val="000000"/>
                <w:sz w:val="22"/>
                <w:szCs w:val="22"/>
                <w:lang w:eastAsia="en-AU"/>
              </w:rPr>
            </w:pPr>
            <w:r>
              <w:rPr>
                <w:sz w:val="22"/>
                <w:szCs w:val="22"/>
              </w:rPr>
              <w:t>2014</w:t>
            </w:r>
            <w:r w:rsidRPr="00BC6AED">
              <w:rPr>
                <w:sz w:val="22"/>
                <w:szCs w:val="22"/>
              </w:rPr>
              <w:t xml:space="preserve"> </w:t>
            </w:r>
          </w:p>
        </w:tc>
      </w:tr>
      <w:tr w:rsidR="00931AF7" w:rsidRPr="00CD3BD3" w14:paraId="5EA73A05" w14:textId="77777777" w:rsidTr="00931AF7">
        <w:trPr>
          <w:trHeight w:val="318"/>
        </w:trPr>
        <w:tc>
          <w:tcPr>
            <w:tcW w:w="5354" w:type="dxa"/>
            <w:tcBorders>
              <w:top w:val="nil"/>
              <w:left w:val="nil"/>
              <w:bottom w:val="nil"/>
              <w:right w:val="nil"/>
            </w:tcBorders>
            <w:shd w:val="clear" w:color="auto" w:fill="auto"/>
            <w:vAlign w:val="center"/>
            <w:hideMark/>
          </w:tcPr>
          <w:p w14:paraId="5EA73A01" w14:textId="77777777" w:rsidR="00931AF7" w:rsidRPr="00CD3BD3" w:rsidRDefault="00931AF7" w:rsidP="00931AF7">
            <w:pPr>
              <w:rPr>
                <w:rFonts w:cs="Arial"/>
                <w:color w:val="000000"/>
                <w:sz w:val="22"/>
                <w:szCs w:val="22"/>
                <w:lang w:eastAsia="en-AU"/>
              </w:rPr>
            </w:pPr>
            <w:r w:rsidRPr="00CD3BD3">
              <w:rPr>
                <w:rFonts w:cs="Arial"/>
                <w:color w:val="000000"/>
                <w:sz w:val="22"/>
                <w:szCs w:val="22"/>
                <w:lang w:eastAsia="en-AU"/>
              </w:rPr>
              <w:t>Equipment and technology</w:t>
            </w:r>
          </w:p>
        </w:tc>
        <w:tc>
          <w:tcPr>
            <w:tcW w:w="1646" w:type="dxa"/>
            <w:tcBorders>
              <w:top w:val="nil"/>
              <w:left w:val="nil"/>
              <w:bottom w:val="nil"/>
              <w:right w:val="nil"/>
            </w:tcBorders>
            <w:shd w:val="clear" w:color="000000" w:fill="BFBFBF" w:themeFill="background1" w:themeFillShade="BF"/>
            <w:vAlign w:val="center"/>
          </w:tcPr>
          <w:p w14:paraId="5EA73A03"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4,131</w:t>
            </w:r>
          </w:p>
        </w:tc>
        <w:tc>
          <w:tcPr>
            <w:tcW w:w="1512" w:type="dxa"/>
            <w:tcBorders>
              <w:top w:val="nil"/>
              <w:left w:val="nil"/>
              <w:bottom w:val="nil"/>
              <w:right w:val="nil"/>
            </w:tcBorders>
            <w:shd w:val="clear" w:color="auto" w:fill="auto"/>
            <w:hideMark/>
          </w:tcPr>
          <w:p w14:paraId="5EA73A04" w14:textId="77777777" w:rsidR="00931AF7" w:rsidRPr="00BC6AED" w:rsidRDefault="00931AF7" w:rsidP="00CD3BD3">
            <w:pPr>
              <w:jc w:val="right"/>
              <w:rPr>
                <w:rFonts w:cs="Arial"/>
                <w:color w:val="000000"/>
                <w:sz w:val="22"/>
                <w:szCs w:val="22"/>
                <w:lang w:eastAsia="en-AU"/>
              </w:rPr>
            </w:pPr>
            <w:r w:rsidRPr="00BC6AED">
              <w:rPr>
                <w:sz w:val="22"/>
                <w:szCs w:val="22"/>
              </w:rPr>
              <w:t>3,853</w:t>
            </w:r>
          </w:p>
        </w:tc>
      </w:tr>
      <w:tr w:rsidR="00931AF7" w:rsidRPr="00CD3BD3" w14:paraId="5EA73A0A" w14:textId="77777777" w:rsidTr="00931AF7">
        <w:trPr>
          <w:trHeight w:val="318"/>
        </w:trPr>
        <w:tc>
          <w:tcPr>
            <w:tcW w:w="5354" w:type="dxa"/>
            <w:tcBorders>
              <w:top w:val="nil"/>
              <w:left w:val="nil"/>
              <w:bottom w:val="nil"/>
              <w:right w:val="nil"/>
            </w:tcBorders>
            <w:shd w:val="clear" w:color="auto" w:fill="auto"/>
            <w:vAlign w:val="center"/>
            <w:hideMark/>
          </w:tcPr>
          <w:p w14:paraId="5EA73A06" w14:textId="77777777" w:rsidR="00931AF7" w:rsidRPr="00CD3BD3" w:rsidRDefault="00931AF7" w:rsidP="00931AF7">
            <w:pPr>
              <w:rPr>
                <w:rFonts w:cs="Arial"/>
                <w:color w:val="000000"/>
                <w:sz w:val="22"/>
                <w:szCs w:val="22"/>
                <w:lang w:eastAsia="en-AU"/>
              </w:rPr>
            </w:pPr>
            <w:r w:rsidRPr="00CD3BD3">
              <w:rPr>
                <w:rFonts w:cs="Arial"/>
                <w:color w:val="000000"/>
                <w:sz w:val="22"/>
                <w:szCs w:val="22"/>
                <w:lang w:eastAsia="en-AU"/>
              </w:rPr>
              <w:t>Events and fundraising</w:t>
            </w:r>
          </w:p>
        </w:tc>
        <w:tc>
          <w:tcPr>
            <w:tcW w:w="1646" w:type="dxa"/>
            <w:tcBorders>
              <w:top w:val="nil"/>
              <w:left w:val="nil"/>
              <w:bottom w:val="nil"/>
              <w:right w:val="nil"/>
            </w:tcBorders>
            <w:shd w:val="clear" w:color="000000" w:fill="BFBFBF" w:themeFill="background1" w:themeFillShade="BF"/>
            <w:vAlign w:val="center"/>
          </w:tcPr>
          <w:p w14:paraId="5EA73A08"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8,306</w:t>
            </w:r>
          </w:p>
        </w:tc>
        <w:tc>
          <w:tcPr>
            <w:tcW w:w="1512" w:type="dxa"/>
            <w:tcBorders>
              <w:top w:val="nil"/>
              <w:left w:val="nil"/>
              <w:bottom w:val="nil"/>
              <w:right w:val="nil"/>
            </w:tcBorders>
            <w:shd w:val="clear" w:color="auto" w:fill="auto"/>
            <w:hideMark/>
          </w:tcPr>
          <w:p w14:paraId="5EA73A09" w14:textId="77777777" w:rsidR="00931AF7" w:rsidRPr="00BC6AED" w:rsidRDefault="00931AF7" w:rsidP="00CD3BD3">
            <w:pPr>
              <w:jc w:val="right"/>
              <w:rPr>
                <w:rFonts w:cs="Arial"/>
                <w:color w:val="000000"/>
                <w:sz w:val="22"/>
                <w:szCs w:val="22"/>
                <w:lang w:eastAsia="en-AU"/>
              </w:rPr>
            </w:pPr>
            <w:r w:rsidRPr="00BC6AED">
              <w:rPr>
                <w:sz w:val="22"/>
                <w:szCs w:val="22"/>
              </w:rPr>
              <w:t>8,577</w:t>
            </w:r>
          </w:p>
        </w:tc>
      </w:tr>
      <w:tr w:rsidR="00931AF7" w:rsidRPr="00CD3BD3" w14:paraId="5EA73A0F" w14:textId="77777777" w:rsidTr="00931AF7">
        <w:trPr>
          <w:trHeight w:val="318"/>
        </w:trPr>
        <w:tc>
          <w:tcPr>
            <w:tcW w:w="5354" w:type="dxa"/>
            <w:tcBorders>
              <w:top w:val="nil"/>
              <w:left w:val="nil"/>
              <w:bottom w:val="nil"/>
              <w:right w:val="nil"/>
            </w:tcBorders>
            <w:shd w:val="clear" w:color="auto" w:fill="auto"/>
            <w:vAlign w:val="center"/>
            <w:hideMark/>
          </w:tcPr>
          <w:p w14:paraId="5EA73A0B" w14:textId="77777777" w:rsidR="00931AF7" w:rsidRPr="00CD3BD3" w:rsidRDefault="00931AF7" w:rsidP="00931AF7">
            <w:pPr>
              <w:rPr>
                <w:rFonts w:cs="Arial"/>
                <w:color w:val="000000"/>
                <w:sz w:val="22"/>
                <w:szCs w:val="22"/>
                <w:lang w:eastAsia="en-AU"/>
              </w:rPr>
            </w:pPr>
            <w:r w:rsidRPr="00CD3BD3">
              <w:rPr>
                <w:rFonts w:cs="Arial"/>
                <w:color w:val="000000"/>
                <w:sz w:val="22"/>
                <w:szCs w:val="22"/>
                <w:lang w:eastAsia="en-AU"/>
              </w:rPr>
              <w:t>Miscellaneous</w:t>
            </w:r>
          </w:p>
        </w:tc>
        <w:tc>
          <w:tcPr>
            <w:tcW w:w="1646" w:type="dxa"/>
            <w:tcBorders>
              <w:top w:val="nil"/>
              <w:left w:val="nil"/>
              <w:bottom w:val="single" w:sz="8" w:space="0" w:color="auto"/>
              <w:right w:val="nil"/>
            </w:tcBorders>
            <w:shd w:val="clear" w:color="000000" w:fill="BFBFBF" w:themeFill="background1" w:themeFillShade="BF"/>
            <w:vAlign w:val="center"/>
          </w:tcPr>
          <w:p w14:paraId="5EA73A0D"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1,918</w:t>
            </w:r>
          </w:p>
        </w:tc>
        <w:tc>
          <w:tcPr>
            <w:tcW w:w="1512" w:type="dxa"/>
            <w:tcBorders>
              <w:top w:val="nil"/>
              <w:left w:val="nil"/>
              <w:bottom w:val="single" w:sz="8" w:space="0" w:color="auto"/>
              <w:right w:val="nil"/>
            </w:tcBorders>
            <w:shd w:val="clear" w:color="auto" w:fill="auto"/>
            <w:hideMark/>
          </w:tcPr>
          <w:p w14:paraId="5EA73A0E" w14:textId="77777777" w:rsidR="00931AF7" w:rsidRPr="00BC6AED" w:rsidRDefault="00931AF7" w:rsidP="00CD3BD3">
            <w:pPr>
              <w:jc w:val="right"/>
              <w:rPr>
                <w:rFonts w:cs="Arial"/>
                <w:color w:val="000000"/>
                <w:sz w:val="22"/>
                <w:szCs w:val="22"/>
                <w:lang w:eastAsia="en-AU"/>
              </w:rPr>
            </w:pPr>
            <w:r w:rsidRPr="00BC6AED">
              <w:rPr>
                <w:sz w:val="22"/>
                <w:szCs w:val="22"/>
              </w:rPr>
              <w:t>1,567</w:t>
            </w:r>
          </w:p>
        </w:tc>
      </w:tr>
      <w:tr w:rsidR="00931AF7" w:rsidRPr="00CD3BD3" w14:paraId="5EA73A14" w14:textId="77777777" w:rsidTr="00931AF7">
        <w:trPr>
          <w:trHeight w:val="318"/>
        </w:trPr>
        <w:tc>
          <w:tcPr>
            <w:tcW w:w="5354" w:type="dxa"/>
            <w:tcBorders>
              <w:top w:val="nil"/>
              <w:left w:val="nil"/>
              <w:bottom w:val="nil"/>
              <w:right w:val="nil"/>
            </w:tcBorders>
            <w:shd w:val="clear" w:color="auto" w:fill="auto"/>
            <w:vAlign w:val="center"/>
            <w:hideMark/>
          </w:tcPr>
          <w:p w14:paraId="5EA73A10" w14:textId="047BFFA7" w:rsidR="00931AF7" w:rsidRPr="00CD3BD3" w:rsidRDefault="00931AF7" w:rsidP="00CD3BD3">
            <w:pPr>
              <w:rPr>
                <w:rFonts w:cs="Arial"/>
                <w:color w:val="000000"/>
                <w:sz w:val="22"/>
                <w:szCs w:val="22"/>
                <w:lang w:eastAsia="en-AU"/>
              </w:rPr>
            </w:pPr>
            <w:r>
              <w:rPr>
                <w:rFonts w:cs="Arial"/>
                <w:color w:val="000000"/>
                <w:sz w:val="22"/>
                <w:szCs w:val="22"/>
                <w:lang w:eastAsia="en-AU"/>
              </w:rPr>
              <w:t>TOTAL</w:t>
            </w:r>
          </w:p>
        </w:tc>
        <w:tc>
          <w:tcPr>
            <w:tcW w:w="1646" w:type="dxa"/>
            <w:tcBorders>
              <w:top w:val="single" w:sz="12" w:space="0" w:color="auto"/>
              <w:left w:val="nil"/>
              <w:bottom w:val="single" w:sz="12" w:space="0" w:color="auto"/>
              <w:right w:val="nil"/>
            </w:tcBorders>
            <w:shd w:val="clear" w:color="000000" w:fill="BFBFBF" w:themeFill="background1" w:themeFillShade="BF"/>
            <w:vAlign w:val="center"/>
          </w:tcPr>
          <w:p w14:paraId="5EA73A12" w14:textId="77777777" w:rsidR="00931AF7" w:rsidRPr="00CD3BD3" w:rsidRDefault="00931AF7" w:rsidP="00CD3BD3">
            <w:pPr>
              <w:jc w:val="right"/>
              <w:rPr>
                <w:rFonts w:cs="Arial"/>
                <w:color w:val="000000"/>
                <w:sz w:val="22"/>
                <w:szCs w:val="22"/>
                <w:lang w:eastAsia="en-AU"/>
              </w:rPr>
            </w:pPr>
            <w:r>
              <w:rPr>
                <w:rFonts w:cs="Arial"/>
                <w:color w:val="000000"/>
                <w:sz w:val="22"/>
                <w:szCs w:val="22"/>
                <w:lang w:eastAsia="en-AU"/>
              </w:rPr>
              <w:t>14,355</w:t>
            </w:r>
          </w:p>
        </w:tc>
        <w:tc>
          <w:tcPr>
            <w:tcW w:w="1512" w:type="dxa"/>
            <w:tcBorders>
              <w:top w:val="single" w:sz="12" w:space="0" w:color="auto"/>
              <w:left w:val="nil"/>
              <w:bottom w:val="single" w:sz="12" w:space="0" w:color="auto"/>
              <w:right w:val="nil"/>
            </w:tcBorders>
            <w:shd w:val="clear" w:color="auto" w:fill="auto"/>
            <w:hideMark/>
          </w:tcPr>
          <w:p w14:paraId="5EA73A13" w14:textId="77777777" w:rsidR="00931AF7" w:rsidRPr="00BC6AED" w:rsidRDefault="00931AF7" w:rsidP="00CD3BD3">
            <w:pPr>
              <w:jc w:val="right"/>
              <w:rPr>
                <w:rFonts w:cs="Arial"/>
                <w:color w:val="000000"/>
                <w:sz w:val="22"/>
                <w:szCs w:val="22"/>
                <w:lang w:eastAsia="en-AU"/>
              </w:rPr>
            </w:pPr>
            <w:r w:rsidRPr="00BC6AED">
              <w:rPr>
                <w:sz w:val="22"/>
                <w:szCs w:val="22"/>
              </w:rPr>
              <w:t>13,997</w:t>
            </w:r>
          </w:p>
        </w:tc>
      </w:tr>
    </w:tbl>
    <w:p w14:paraId="5EA73A18" w14:textId="240B62FD" w:rsidR="00265E4A" w:rsidRDefault="00265E4A" w:rsidP="00534FE3">
      <w:pPr>
        <w:rPr>
          <w:rFonts w:ascii="Times New Roman" w:hAnsi="Times New Roman"/>
          <w:sz w:val="20"/>
          <w:szCs w:val="20"/>
          <w:lang w:eastAsia="en-AU"/>
        </w:rPr>
      </w:pPr>
    </w:p>
    <w:tbl>
      <w:tblPr>
        <w:tblW w:w="8767" w:type="dxa"/>
        <w:tblInd w:w="108" w:type="dxa"/>
        <w:tblLook w:val="04A0" w:firstRow="1" w:lastRow="0" w:firstColumn="1" w:lastColumn="0" w:noHBand="0" w:noVBand="1"/>
      </w:tblPr>
      <w:tblGrid>
        <w:gridCol w:w="5387"/>
        <w:gridCol w:w="1617"/>
        <w:gridCol w:w="1763"/>
      </w:tblGrid>
      <w:tr w:rsidR="00931AF7" w:rsidRPr="00DF0E8D" w14:paraId="418B9991" w14:textId="77777777" w:rsidTr="003B0341">
        <w:trPr>
          <w:trHeight w:val="335"/>
          <w:tblHeader/>
        </w:trPr>
        <w:tc>
          <w:tcPr>
            <w:tcW w:w="5387" w:type="dxa"/>
            <w:tcBorders>
              <w:top w:val="nil"/>
              <w:left w:val="nil"/>
              <w:right w:val="nil"/>
            </w:tcBorders>
            <w:shd w:val="clear" w:color="auto" w:fill="auto"/>
            <w:vAlign w:val="center"/>
          </w:tcPr>
          <w:p w14:paraId="238F2206" w14:textId="77777777" w:rsidR="00931AF7" w:rsidRDefault="00931AF7" w:rsidP="00931AF7">
            <w:pPr>
              <w:rPr>
                <w:rFonts w:cs="Arial"/>
                <w:color w:val="000000"/>
                <w:sz w:val="22"/>
                <w:szCs w:val="22"/>
                <w:lang w:eastAsia="en-AU"/>
              </w:rPr>
            </w:pPr>
            <w:bookmarkStart w:id="290" w:name="Table_25"/>
            <w:bookmarkEnd w:id="290"/>
            <w:r w:rsidRPr="00DF0E8D">
              <w:rPr>
                <w:rFonts w:cs="Arial"/>
                <w:color w:val="000000"/>
                <w:sz w:val="22"/>
                <w:szCs w:val="22"/>
                <w:lang w:eastAsia="en-AU"/>
              </w:rPr>
              <w:t xml:space="preserve">Operating lease rental expenses included in </w:t>
            </w:r>
          </w:p>
          <w:p w14:paraId="1F8A9F79" w14:textId="45190B8F" w:rsidR="00931AF7" w:rsidRPr="00DF0E8D" w:rsidRDefault="00931AF7" w:rsidP="00931AF7">
            <w:pPr>
              <w:rPr>
                <w:rFonts w:cs="Arial"/>
                <w:color w:val="000000"/>
                <w:sz w:val="22"/>
                <w:szCs w:val="22"/>
                <w:lang w:eastAsia="en-AU"/>
              </w:rPr>
            </w:pPr>
            <w:r w:rsidRPr="00DF0E8D">
              <w:rPr>
                <w:rFonts w:cs="Arial"/>
                <w:color w:val="000000"/>
                <w:sz w:val="22"/>
                <w:szCs w:val="22"/>
                <w:lang w:eastAsia="en-AU"/>
              </w:rPr>
              <w:t>occupancy expense:</w:t>
            </w:r>
          </w:p>
        </w:tc>
        <w:tc>
          <w:tcPr>
            <w:tcW w:w="1617" w:type="dxa"/>
            <w:tcBorders>
              <w:top w:val="nil"/>
              <w:left w:val="nil"/>
              <w:right w:val="nil"/>
            </w:tcBorders>
            <w:shd w:val="clear" w:color="auto" w:fill="BFBFBF" w:themeFill="background1" w:themeFillShade="BF"/>
            <w:vAlign w:val="center"/>
          </w:tcPr>
          <w:p w14:paraId="47959010" w14:textId="5F68CA30" w:rsidR="00931AF7" w:rsidRDefault="00931AF7" w:rsidP="00216266">
            <w:pPr>
              <w:jc w:val="right"/>
              <w:rPr>
                <w:rFonts w:cs="Arial"/>
                <w:color w:val="000000"/>
                <w:sz w:val="22"/>
                <w:szCs w:val="22"/>
                <w:lang w:eastAsia="en-AU"/>
              </w:rPr>
            </w:pPr>
            <w:r>
              <w:rPr>
                <w:rFonts w:cs="Arial"/>
                <w:b/>
                <w:color w:val="000000"/>
                <w:sz w:val="22"/>
                <w:szCs w:val="22"/>
                <w:lang w:eastAsia="en-AU"/>
              </w:rPr>
              <w:t>2015</w:t>
            </w:r>
          </w:p>
        </w:tc>
        <w:tc>
          <w:tcPr>
            <w:tcW w:w="1763" w:type="dxa"/>
            <w:tcBorders>
              <w:top w:val="nil"/>
              <w:left w:val="nil"/>
              <w:right w:val="nil"/>
            </w:tcBorders>
            <w:shd w:val="clear" w:color="auto" w:fill="auto"/>
            <w:vAlign w:val="center"/>
          </w:tcPr>
          <w:p w14:paraId="4FC48769" w14:textId="52217D16" w:rsidR="00931AF7" w:rsidRPr="00BC6AED" w:rsidRDefault="00931AF7" w:rsidP="00BC6AED">
            <w:pPr>
              <w:jc w:val="right"/>
              <w:rPr>
                <w:sz w:val="22"/>
                <w:szCs w:val="22"/>
              </w:rPr>
            </w:pPr>
            <w:r>
              <w:rPr>
                <w:sz w:val="22"/>
                <w:szCs w:val="22"/>
              </w:rPr>
              <w:t>2014</w:t>
            </w:r>
          </w:p>
        </w:tc>
      </w:tr>
      <w:tr w:rsidR="00931AF7" w:rsidRPr="00DF0E8D" w14:paraId="5EA73A4C" w14:textId="77777777" w:rsidTr="00931AF7">
        <w:trPr>
          <w:trHeight w:val="335"/>
        </w:trPr>
        <w:tc>
          <w:tcPr>
            <w:tcW w:w="5387" w:type="dxa"/>
            <w:tcBorders>
              <w:top w:val="nil"/>
              <w:left w:val="nil"/>
              <w:right w:val="nil"/>
            </w:tcBorders>
            <w:shd w:val="clear" w:color="auto" w:fill="auto"/>
            <w:vAlign w:val="center"/>
            <w:hideMark/>
          </w:tcPr>
          <w:p w14:paraId="5EA73A48" w14:textId="6C1968FE" w:rsidR="00931AF7" w:rsidRPr="00DF0E8D" w:rsidRDefault="00931AF7" w:rsidP="00DF0E8D">
            <w:pPr>
              <w:rPr>
                <w:rFonts w:cs="Arial"/>
                <w:color w:val="000000"/>
                <w:sz w:val="22"/>
                <w:szCs w:val="22"/>
                <w:lang w:eastAsia="en-AU"/>
              </w:rPr>
            </w:pPr>
            <w:r w:rsidRPr="00DF0E8D">
              <w:rPr>
                <w:rFonts w:cs="Arial"/>
                <w:color w:val="000000"/>
                <w:sz w:val="22"/>
                <w:szCs w:val="22"/>
                <w:lang w:eastAsia="en-AU"/>
              </w:rPr>
              <w:t>Minimum lease payments</w:t>
            </w:r>
          </w:p>
        </w:tc>
        <w:tc>
          <w:tcPr>
            <w:tcW w:w="1617" w:type="dxa"/>
            <w:tcBorders>
              <w:left w:val="nil"/>
              <w:right w:val="nil"/>
            </w:tcBorders>
            <w:shd w:val="clear" w:color="auto" w:fill="BFBFBF" w:themeFill="background1" w:themeFillShade="BF"/>
            <w:vAlign w:val="center"/>
          </w:tcPr>
          <w:p w14:paraId="5EA73A4A" w14:textId="77777777" w:rsidR="00931AF7" w:rsidRPr="00DF0E8D" w:rsidRDefault="00931AF7" w:rsidP="00216266">
            <w:pPr>
              <w:jc w:val="right"/>
              <w:rPr>
                <w:rFonts w:cs="Arial"/>
                <w:color w:val="000000"/>
                <w:sz w:val="22"/>
                <w:szCs w:val="22"/>
                <w:lang w:eastAsia="en-AU"/>
              </w:rPr>
            </w:pPr>
            <w:r>
              <w:rPr>
                <w:rFonts w:cs="Arial"/>
                <w:color w:val="000000"/>
                <w:sz w:val="22"/>
                <w:szCs w:val="22"/>
                <w:lang w:eastAsia="en-AU"/>
              </w:rPr>
              <w:t>2,513</w:t>
            </w:r>
          </w:p>
        </w:tc>
        <w:tc>
          <w:tcPr>
            <w:tcW w:w="1763" w:type="dxa"/>
            <w:tcBorders>
              <w:left w:val="nil"/>
              <w:right w:val="nil"/>
            </w:tcBorders>
            <w:shd w:val="clear" w:color="auto" w:fill="auto"/>
            <w:vAlign w:val="center"/>
            <w:hideMark/>
          </w:tcPr>
          <w:p w14:paraId="5EA73A4B" w14:textId="77777777" w:rsidR="00931AF7" w:rsidRPr="00BC6AED" w:rsidRDefault="00931AF7" w:rsidP="00BC6AED">
            <w:pPr>
              <w:jc w:val="right"/>
              <w:rPr>
                <w:rFonts w:cs="Arial"/>
                <w:color w:val="000000"/>
                <w:sz w:val="22"/>
                <w:szCs w:val="22"/>
                <w:lang w:eastAsia="en-AU"/>
              </w:rPr>
            </w:pPr>
            <w:r w:rsidRPr="00BC6AED">
              <w:rPr>
                <w:sz w:val="22"/>
                <w:szCs w:val="22"/>
              </w:rPr>
              <w:t>2,340</w:t>
            </w:r>
          </w:p>
        </w:tc>
      </w:tr>
      <w:tr w:rsidR="00931AF7" w:rsidRPr="00DF0E8D" w14:paraId="5EA73A51" w14:textId="77777777" w:rsidTr="00931AF7">
        <w:trPr>
          <w:trHeight w:val="335"/>
        </w:trPr>
        <w:tc>
          <w:tcPr>
            <w:tcW w:w="5387" w:type="dxa"/>
            <w:tcBorders>
              <w:top w:val="nil"/>
              <w:left w:val="nil"/>
              <w:right w:val="nil"/>
            </w:tcBorders>
            <w:shd w:val="clear" w:color="auto" w:fill="auto"/>
            <w:vAlign w:val="center"/>
            <w:hideMark/>
          </w:tcPr>
          <w:p w14:paraId="5EA73A4D" w14:textId="398DDE54" w:rsidR="00931AF7" w:rsidRPr="00DF0E8D" w:rsidRDefault="00931AF7" w:rsidP="00DF0E8D">
            <w:pPr>
              <w:rPr>
                <w:rFonts w:cs="Arial"/>
                <w:color w:val="000000"/>
                <w:sz w:val="22"/>
                <w:szCs w:val="22"/>
                <w:lang w:eastAsia="en-AU"/>
              </w:rPr>
            </w:pPr>
            <w:r w:rsidRPr="00DF0E8D">
              <w:rPr>
                <w:rFonts w:cs="Arial"/>
                <w:color w:val="000000"/>
                <w:sz w:val="22"/>
                <w:szCs w:val="22"/>
                <w:lang w:eastAsia="en-AU"/>
              </w:rPr>
              <w:t>Sub-lease payments received</w:t>
            </w:r>
          </w:p>
        </w:tc>
        <w:tc>
          <w:tcPr>
            <w:tcW w:w="1617" w:type="dxa"/>
            <w:tcBorders>
              <w:top w:val="nil"/>
              <w:left w:val="nil"/>
              <w:bottom w:val="single" w:sz="4" w:space="0" w:color="auto"/>
              <w:right w:val="nil"/>
            </w:tcBorders>
            <w:shd w:val="clear" w:color="auto" w:fill="BFBFBF" w:themeFill="background1" w:themeFillShade="BF"/>
            <w:vAlign w:val="center"/>
          </w:tcPr>
          <w:p w14:paraId="5EA73A4F" w14:textId="77777777" w:rsidR="00931AF7" w:rsidRPr="00DF0E8D" w:rsidRDefault="00931AF7" w:rsidP="00BC6AED">
            <w:pPr>
              <w:jc w:val="right"/>
              <w:rPr>
                <w:rFonts w:cs="Arial"/>
                <w:color w:val="000000"/>
                <w:sz w:val="22"/>
                <w:szCs w:val="22"/>
                <w:lang w:eastAsia="en-AU"/>
              </w:rPr>
            </w:pPr>
            <w:r>
              <w:rPr>
                <w:rFonts w:cs="Arial"/>
                <w:color w:val="000000"/>
                <w:sz w:val="22"/>
                <w:szCs w:val="22"/>
                <w:lang w:eastAsia="en-AU"/>
              </w:rPr>
              <w:t>(394)</w:t>
            </w:r>
          </w:p>
        </w:tc>
        <w:tc>
          <w:tcPr>
            <w:tcW w:w="1763" w:type="dxa"/>
            <w:tcBorders>
              <w:top w:val="nil"/>
              <w:left w:val="nil"/>
              <w:bottom w:val="single" w:sz="4" w:space="0" w:color="auto"/>
              <w:right w:val="nil"/>
            </w:tcBorders>
            <w:shd w:val="clear" w:color="auto" w:fill="auto"/>
            <w:vAlign w:val="center"/>
            <w:hideMark/>
          </w:tcPr>
          <w:p w14:paraId="5EA73A50" w14:textId="77777777" w:rsidR="00931AF7" w:rsidRPr="00BC6AED" w:rsidRDefault="00931AF7" w:rsidP="00BC6AED">
            <w:pPr>
              <w:jc w:val="right"/>
              <w:rPr>
                <w:rFonts w:cs="Arial"/>
                <w:color w:val="000000"/>
                <w:sz w:val="22"/>
                <w:szCs w:val="22"/>
                <w:lang w:eastAsia="en-AU"/>
              </w:rPr>
            </w:pPr>
            <w:r w:rsidRPr="00BC6AED">
              <w:rPr>
                <w:sz w:val="22"/>
                <w:szCs w:val="22"/>
              </w:rPr>
              <w:t>(356)</w:t>
            </w:r>
          </w:p>
        </w:tc>
      </w:tr>
      <w:tr w:rsidR="00931AF7" w:rsidRPr="00DF0E8D" w14:paraId="5EA73A56" w14:textId="77777777" w:rsidTr="00931AF7">
        <w:trPr>
          <w:trHeight w:val="335"/>
        </w:trPr>
        <w:tc>
          <w:tcPr>
            <w:tcW w:w="5387" w:type="dxa"/>
            <w:tcBorders>
              <w:left w:val="nil"/>
              <w:right w:val="nil"/>
            </w:tcBorders>
            <w:shd w:val="clear" w:color="auto" w:fill="auto"/>
            <w:vAlign w:val="center"/>
            <w:hideMark/>
          </w:tcPr>
          <w:p w14:paraId="5EA73A52" w14:textId="1297196E" w:rsidR="00931AF7" w:rsidRPr="00DF0E8D" w:rsidRDefault="00931AF7" w:rsidP="00931AF7">
            <w:pPr>
              <w:rPr>
                <w:rFonts w:cs="Arial"/>
                <w:color w:val="000000"/>
                <w:sz w:val="22"/>
                <w:szCs w:val="22"/>
                <w:lang w:eastAsia="en-AU"/>
              </w:rPr>
            </w:pPr>
            <w:r>
              <w:rPr>
                <w:rFonts w:cs="Arial"/>
                <w:color w:val="000000"/>
                <w:sz w:val="22"/>
                <w:szCs w:val="22"/>
                <w:lang w:eastAsia="en-AU"/>
              </w:rPr>
              <w:t>TOTAL</w:t>
            </w:r>
          </w:p>
        </w:tc>
        <w:tc>
          <w:tcPr>
            <w:tcW w:w="1617" w:type="dxa"/>
            <w:tcBorders>
              <w:top w:val="single" w:sz="4" w:space="0" w:color="auto"/>
              <w:left w:val="nil"/>
              <w:bottom w:val="single" w:sz="4" w:space="0" w:color="auto"/>
              <w:right w:val="nil"/>
            </w:tcBorders>
            <w:shd w:val="clear" w:color="auto" w:fill="BFBFBF" w:themeFill="background1" w:themeFillShade="BF"/>
            <w:vAlign w:val="center"/>
          </w:tcPr>
          <w:p w14:paraId="5EA73A54" w14:textId="77777777" w:rsidR="00931AF7" w:rsidRPr="00DF0E8D" w:rsidRDefault="00931AF7" w:rsidP="00BC6AED">
            <w:pPr>
              <w:jc w:val="right"/>
              <w:rPr>
                <w:rFonts w:cs="Arial"/>
                <w:color w:val="000000"/>
                <w:sz w:val="22"/>
                <w:szCs w:val="22"/>
                <w:lang w:eastAsia="en-AU"/>
              </w:rPr>
            </w:pPr>
            <w:r>
              <w:rPr>
                <w:rFonts w:cs="Arial"/>
                <w:color w:val="000000"/>
                <w:sz w:val="22"/>
                <w:szCs w:val="22"/>
                <w:lang w:eastAsia="en-AU"/>
              </w:rPr>
              <w:t>2,119</w:t>
            </w:r>
          </w:p>
        </w:tc>
        <w:tc>
          <w:tcPr>
            <w:tcW w:w="1763" w:type="dxa"/>
            <w:tcBorders>
              <w:top w:val="single" w:sz="4" w:space="0" w:color="auto"/>
              <w:left w:val="nil"/>
              <w:bottom w:val="single" w:sz="4" w:space="0" w:color="auto"/>
              <w:right w:val="nil"/>
            </w:tcBorders>
            <w:shd w:val="clear" w:color="auto" w:fill="auto"/>
            <w:vAlign w:val="center"/>
            <w:hideMark/>
          </w:tcPr>
          <w:p w14:paraId="5EA73A55" w14:textId="77777777" w:rsidR="00931AF7" w:rsidRPr="00BC6AED" w:rsidRDefault="00931AF7" w:rsidP="00BC6AED">
            <w:pPr>
              <w:jc w:val="right"/>
              <w:rPr>
                <w:rFonts w:cs="Arial"/>
                <w:color w:val="000000"/>
                <w:sz w:val="22"/>
                <w:szCs w:val="22"/>
                <w:lang w:eastAsia="en-AU"/>
              </w:rPr>
            </w:pPr>
            <w:r w:rsidRPr="00931AF7">
              <w:rPr>
                <w:rFonts w:cs="Arial"/>
                <w:color w:val="000000"/>
                <w:sz w:val="22"/>
                <w:szCs w:val="22"/>
                <w:lang w:eastAsia="en-AU"/>
              </w:rPr>
              <w:t>1,984</w:t>
            </w:r>
          </w:p>
        </w:tc>
      </w:tr>
    </w:tbl>
    <w:p w14:paraId="1389E872" w14:textId="2CA71038" w:rsidR="003D2A3D" w:rsidRDefault="003D2A3D"/>
    <w:p w14:paraId="0DD13D58" w14:textId="77777777" w:rsidR="00931AF7" w:rsidRDefault="00931AF7">
      <w:pPr>
        <w:rPr>
          <w:b/>
        </w:rPr>
      </w:pPr>
      <w:bookmarkStart w:id="291" w:name="_Toc430613760"/>
      <w:r>
        <w:br w:type="page"/>
      </w:r>
    </w:p>
    <w:p w14:paraId="2025EDAB" w14:textId="178CC0E8" w:rsidR="003D2A3D" w:rsidRPr="003D2A3D" w:rsidRDefault="003D2A3D" w:rsidP="00BF287B">
      <w:pPr>
        <w:pStyle w:val="Heading1"/>
      </w:pPr>
      <w:r w:rsidRPr="003D2A3D">
        <w:lastRenderedPageBreak/>
        <w:t>Note 7: Trade and other receivables</w:t>
      </w:r>
      <w:bookmarkEnd w:id="291"/>
    </w:p>
    <w:p w14:paraId="6B13185E" w14:textId="77777777" w:rsidR="002C23B2" w:rsidRDefault="002C23B2">
      <w:pPr>
        <w:rPr>
          <w:rFonts w:cs="Arial"/>
          <w:color w:val="000000"/>
          <w:sz w:val="22"/>
          <w:szCs w:val="22"/>
          <w:u w:val="single"/>
          <w:lang w:eastAsia="en-AU"/>
        </w:rPr>
      </w:pPr>
    </w:p>
    <w:p w14:paraId="6A1B6ADF" w14:textId="6D805FAF" w:rsidR="003D2A3D" w:rsidRDefault="002C23B2">
      <w:pPr>
        <w:rPr>
          <w:rFonts w:cs="Arial"/>
          <w:color w:val="000000"/>
          <w:sz w:val="22"/>
          <w:szCs w:val="22"/>
          <w:u w:val="single"/>
          <w:lang w:eastAsia="en-AU"/>
        </w:rPr>
      </w:pPr>
      <w:r w:rsidRPr="00DF0E8D">
        <w:rPr>
          <w:rFonts w:cs="Arial"/>
          <w:color w:val="000000"/>
          <w:sz w:val="22"/>
          <w:szCs w:val="22"/>
          <w:u w:val="single"/>
          <w:lang w:eastAsia="en-AU"/>
        </w:rPr>
        <w:t>Current</w:t>
      </w:r>
    </w:p>
    <w:tbl>
      <w:tblPr>
        <w:tblW w:w="8767" w:type="dxa"/>
        <w:tblInd w:w="108" w:type="dxa"/>
        <w:tblLook w:val="04A0" w:firstRow="1" w:lastRow="0" w:firstColumn="1" w:lastColumn="0" w:noHBand="0" w:noVBand="1"/>
      </w:tblPr>
      <w:tblGrid>
        <w:gridCol w:w="5623"/>
        <w:gridCol w:w="1766"/>
        <w:gridCol w:w="1378"/>
      </w:tblGrid>
      <w:tr w:rsidR="00931AF7" w:rsidRPr="00DF0E8D" w14:paraId="5EA73A6F" w14:textId="77777777" w:rsidTr="003B0341">
        <w:trPr>
          <w:trHeight w:val="335"/>
          <w:tblHeader/>
        </w:trPr>
        <w:tc>
          <w:tcPr>
            <w:tcW w:w="5623" w:type="dxa"/>
            <w:tcBorders>
              <w:left w:val="nil"/>
              <w:bottom w:val="nil"/>
              <w:right w:val="nil"/>
            </w:tcBorders>
            <w:shd w:val="clear" w:color="auto" w:fill="auto"/>
            <w:vAlign w:val="center"/>
            <w:hideMark/>
          </w:tcPr>
          <w:p w14:paraId="5EA73A6B" w14:textId="2D09D6C0" w:rsidR="00931AF7" w:rsidRPr="00DF0E8D" w:rsidRDefault="00931AF7" w:rsidP="00DF0E8D">
            <w:pPr>
              <w:rPr>
                <w:rFonts w:cs="Arial"/>
                <w:color w:val="000000"/>
                <w:sz w:val="22"/>
                <w:szCs w:val="22"/>
                <w:u w:val="single"/>
                <w:lang w:eastAsia="en-AU"/>
              </w:rPr>
            </w:pPr>
            <w:bookmarkStart w:id="292" w:name="Table_26"/>
            <w:bookmarkEnd w:id="292"/>
          </w:p>
        </w:tc>
        <w:tc>
          <w:tcPr>
            <w:tcW w:w="1766" w:type="dxa"/>
            <w:tcBorders>
              <w:left w:val="nil"/>
              <w:bottom w:val="nil"/>
              <w:right w:val="nil"/>
            </w:tcBorders>
            <w:shd w:val="clear" w:color="auto" w:fill="BFBFBF" w:themeFill="background1" w:themeFillShade="BF"/>
            <w:vAlign w:val="center"/>
          </w:tcPr>
          <w:p w14:paraId="5EA73A6D" w14:textId="2F2B0584" w:rsidR="00931AF7" w:rsidRPr="00931AF7" w:rsidRDefault="00931AF7" w:rsidP="00DF0E8D">
            <w:pPr>
              <w:jc w:val="right"/>
              <w:rPr>
                <w:rFonts w:cs="Arial"/>
                <w:b/>
                <w:color w:val="000000"/>
                <w:sz w:val="22"/>
                <w:szCs w:val="22"/>
                <w:lang w:eastAsia="en-AU"/>
              </w:rPr>
            </w:pPr>
            <w:r w:rsidRPr="00931AF7">
              <w:rPr>
                <w:rFonts w:cs="Arial"/>
                <w:b/>
                <w:color w:val="000000"/>
                <w:sz w:val="22"/>
                <w:szCs w:val="22"/>
                <w:lang w:eastAsia="en-AU"/>
              </w:rPr>
              <w:t>2015</w:t>
            </w:r>
          </w:p>
        </w:tc>
        <w:tc>
          <w:tcPr>
            <w:tcW w:w="1378" w:type="dxa"/>
            <w:tcBorders>
              <w:left w:val="nil"/>
              <w:bottom w:val="nil"/>
              <w:right w:val="nil"/>
            </w:tcBorders>
            <w:shd w:val="clear" w:color="auto" w:fill="auto"/>
            <w:hideMark/>
          </w:tcPr>
          <w:p w14:paraId="5EA73A6E" w14:textId="207F5F0D" w:rsidR="00931AF7" w:rsidRPr="00BC6AED" w:rsidRDefault="00931AF7" w:rsidP="00DF0E8D">
            <w:pPr>
              <w:jc w:val="right"/>
              <w:rPr>
                <w:rFonts w:cs="Arial"/>
                <w:color w:val="000000"/>
                <w:sz w:val="22"/>
                <w:szCs w:val="22"/>
                <w:lang w:eastAsia="en-AU"/>
              </w:rPr>
            </w:pPr>
            <w:r>
              <w:rPr>
                <w:sz w:val="22"/>
                <w:szCs w:val="22"/>
              </w:rPr>
              <w:t>2014</w:t>
            </w:r>
            <w:r w:rsidRPr="00BC6AED">
              <w:rPr>
                <w:sz w:val="22"/>
                <w:szCs w:val="22"/>
              </w:rPr>
              <w:t xml:space="preserve"> </w:t>
            </w:r>
          </w:p>
        </w:tc>
      </w:tr>
      <w:tr w:rsidR="00931AF7" w:rsidRPr="00DF0E8D" w14:paraId="5EA73A74" w14:textId="77777777" w:rsidTr="00931AF7">
        <w:trPr>
          <w:trHeight w:val="335"/>
        </w:trPr>
        <w:tc>
          <w:tcPr>
            <w:tcW w:w="5623" w:type="dxa"/>
            <w:tcBorders>
              <w:top w:val="nil"/>
              <w:left w:val="nil"/>
              <w:bottom w:val="nil"/>
              <w:right w:val="nil"/>
            </w:tcBorders>
            <w:shd w:val="clear" w:color="auto" w:fill="auto"/>
            <w:vAlign w:val="center"/>
            <w:hideMark/>
          </w:tcPr>
          <w:p w14:paraId="5EA73A70" w14:textId="04B19A6A" w:rsidR="00931AF7" w:rsidRPr="00DF0E8D" w:rsidRDefault="00931AF7" w:rsidP="00DF0E8D">
            <w:pPr>
              <w:rPr>
                <w:rFonts w:cs="Arial"/>
                <w:color w:val="000000"/>
                <w:sz w:val="22"/>
                <w:szCs w:val="22"/>
                <w:lang w:eastAsia="en-AU"/>
              </w:rPr>
            </w:pPr>
            <w:r w:rsidRPr="00DF0E8D">
              <w:rPr>
                <w:rFonts w:cs="Arial"/>
                <w:color w:val="000000"/>
                <w:sz w:val="22"/>
                <w:szCs w:val="22"/>
                <w:lang w:eastAsia="en-AU"/>
              </w:rPr>
              <w:t>Trade receivables</w:t>
            </w:r>
          </w:p>
        </w:tc>
        <w:tc>
          <w:tcPr>
            <w:tcW w:w="1766" w:type="dxa"/>
            <w:tcBorders>
              <w:top w:val="nil"/>
              <w:left w:val="nil"/>
              <w:bottom w:val="nil"/>
              <w:right w:val="nil"/>
            </w:tcBorders>
            <w:shd w:val="clear" w:color="auto" w:fill="BFBFBF" w:themeFill="background1" w:themeFillShade="BF"/>
            <w:vAlign w:val="center"/>
          </w:tcPr>
          <w:p w14:paraId="5EA73A72" w14:textId="77777777" w:rsidR="00931AF7" w:rsidRPr="00DF0E8D" w:rsidRDefault="00931AF7" w:rsidP="004668BB">
            <w:pPr>
              <w:jc w:val="right"/>
              <w:rPr>
                <w:rFonts w:cs="Arial"/>
                <w:color w:val="000000"/>
                <w:sz w:val="22"/>
                <w:szCs w:val="22"/>
                <w:lang w:eastAsia="en-AU"/>
              </w:rPr>
            </w:pPr>
            <w:r>
              <w:rPr>
                <w:rFonts w:cs="Arial"/>
                <w:color w:val="000000"/>
                <w:sz w:val="22"/>
                <w:szCs w:val="22"/>
                <w:lang w:eastAsia="en-AU"/>
              </w:rPr>
              <w:t>1,233</w:t>
            </w:r>
          </w:p>
        </w:tc>
        <w:tc>
          <w:tcPr>
            <w:tcW w:w="1378" w:type="dxa"/>
            <w:tcBorders>
              <w:top w:val="nil"/>
              <w:left w:val="nil"/>
              <w:bottom w:val="nil"/>
              <w:right w:val="nil"/>
            </w:tcBorders>
            <w:shd w:val="clear" w:color="auto" w:fill="auto"/>
            <w:vAlign w:val="center"/>
            <w:hideMark/>
          </w:tcPr>
          <w:p w14:paraId="5EA73A73" w14:textId="77777777" w:rsidR="00931AF7" w:rsidRPr="00BC6AED" w:rsidRDefault="00931AF7" w:rsidP="00BC6AED">
            <w:pPr>
              <w:jc w:val="right"/>
              <w:rPr>
                <w:rFonts w:cs="Arial"/>
                <w:color w:val="000000"/>
                <w:sz w:val="22"/>
                <w:szCs w:val="22"/>
                <w:lang w:eastAsia="en-AU"/>
              </w:rPr>
            </w:pPr>
            <w:r w:rsidRPr="00BC6AED">
              <w:rPr>
                <w:sz w:val="22"/>
                <w:szCs w:val="22"/>
              </w:rPr>
              <w:t>1,343</w:t>
            </w:r>
          </w:p>
        </w:tc>
      </w:tr>
      <w:tr w:rsidR="00931AF7" w:rsidRPr="00DF0E8D" w14:paraId="5EA73A79" w14:textId="77777777" w:rsidTr="00931AF7">
        <w:trPr>
          <w:trHeight w:val="335"/>
        </w:trPr>
        <w:tc>
          <w:tcPr>
            <w:tcW w:w="5623" w:type="dxa"/>
            <w:tcBorders>
              <w:top w:val="nil"/>
              <w:left w:val="nil"/>
              <w:bottom w:val="nil"/>
              <w:right w:val="nil"/>
            </w:tcBorders>
            <w:shd w:val="clear" w:color="auto" w:fill="auto"/>
            <w:vAlign w:val="center"/>
            <w:hideMark/>
          </w:tcPr>
          <w:p w14:paraId="5EA73A75" w14:textId="77777777" w:rsidR="00931AF7" w:rsidRPr="00DF0E8D" w:rsidRDefault="00931AF7" w:rsidP="00DF0E8D">
            <w:pPr>
              <w:rPr>
                <w:rFonts w:cs="Arial"/>
                <w:color w:val="000000"/>
                <w:sz w:val="22"/>
                <w:szCs w:val="22"/>
                <w:lang w:eastAsia="en-AU"/>
              </w:rPr>
            </w:pPr>
            <w:r w:rsidRPr="00DF0E8D">
              <w:rPr>
                <w:rFonts w:cs="Arial"/>
                <w:color w:val="000000"/>
                <w:sz w:val="22"/>
                <w:szCs w:val="22"/>
                <w:lang w:eastAsia="en-AU"/>
              </w:rPr>
              <w:t>Allowance for doubtful debts</w:t>
            </w:r>
          </w:p>
        </w:tc>
        <w:tc>
          <w:tcPr>
            <w:tcW w:w="1766" w:type="dxa"/>
            <w:tcBorders>
              <w:top w:val="nil"/>
              <w:left w:val="nil"/>
              <w:bottom w:val="single" w:sz="12" w:space="0" w:color="auto"/>
              <w:right w:val="nil"/>
            </w:tcBorders>
            <w:shd w:val="clear" w:color="auto" w:fill="BFBFBF" w:themeFill="background1" w:themeFillShade="BF"/>
            <w:vAlign w:val="center"/>
          </w:tcPr>
          <w:p w14:paraId="5EA73A77" w14:textId="77777777" w:rsidR="00931AF7" w:rsidRPr="00DF0E8D" w:rsidRDefault="00931AF7" w:rsidP="00BC6AED">
            <w:pPr>
              <w:jc w:val="right"/>
              <w:rPr>
                <w:rFonts w:cs="Arial"/>
                <w:color w:val="000000"/>
                <w:sz w:val="22"/>
                <w:szCs w:val="22"/>
                <w:lang w:eastAsia="en-AU"/>
              </w:rPr>
            </w:pPr>
            <w:r>
              <w:rPr>
                <w:rFonts w:cs="Arial"/>
                <w:color w:val="000000"/>
                <w:sz w:val="22"/>
                <w:szCs w:val="22"/>
                <w:lang w:eastAsia="en-AU"/>
              </w:rPr>
              <w:t>(26)</w:t>
            </w:r>
          </w:p>
        </w:tc>
        <w:tc>
          <w:tcPr>
            <w:tcW w:w="1378" w:type="dxa"/>
            <w:tcBorders>
              <w:top w:val="nil"/>
              <w:left w:val="nil"/>
              <w:bottom w:val="single" w:sz="12" w:space="0" w:color="auto"/>
              <w:right w:val="nil"/>
            </w:tcBorders>
            <w:shd w:val="clear" w:color="auto" w:fill="auto"/>
            <w:vAlign w:val="center"/>
            <w:hideMark/>
          </w:tcPr>
          <w:p w14:paraId="5EA73A78" w14:textId="77777777" w:rsidR="00931AF7" w:rsidRPr="00BC6AED" w:rsidRDefault="00931AF7" w:rsidP="00BC6AED">
            <w:pPr>
              <w:jc w:val="right"/>
              <w:rPr>
                <w:rFonts w:cs="Arial"/>
                <w:color w:val="000000"/>
                <w:sz w:val="22"/>
                <w:szCs w:val="22"/>
                <w:lang w:eastAsia="en-AU"/>
              </w:rPr>
            </w:pPr>
            <w:r w:rsidRPr="00BC6AED">
              <w:rPr>
                <w:sz w:val="22"/>
                <w:szCs w:val="22"/>
              </w:rPr>
              <w:t>(25)</w:t>
            </w:r>
          </w:p>
        </w:tc>
      </w:tr>
      <w:tr w:rsidR="00931AF7" w:rsidRPr="00DF0E8D" w14:paraId="5EA73A7E" w14:textId="77777777" w:rsidTr="00931AF7">
        <w:trPr>
          <w:trHeight w:val="335"/>
        </w:trPr>
        <w:tc>
          <w:tcPr>
            <w:tcW w:w="5623" w:type="dxa"/>
            <w:tcBorders>
              <w:top w:val="nil"/>
              <w:left w:val="nil"/>
              <w:bottom w:val="nil"/>
              <w:right w:val="nil"/>
            </w:tcBorders>
            <w:shd w:val="clear" w:color="auto" w:fill="auto"/>
            <w:vAlign w:val="center"/>
            <w:hideMark/>
          </w:tcPr>
          <w:p w14:paraId="5EA73A7A" w14:textId="2C7D8536" w:rsidR="00931AF7" w:rsidRPr="00DF0E8D" w:rsidRDefault="002C23B2" w:rsidP="00DF0E8D">
            <w:pPr>
              <w:rPr>
                <w:rFonts w:cs="Arial"/>
                <w:color w:val="000000"/>
                <w:sz w:val="22"/>
                <w:szCs w:val="22"/>
                <w:lang w:eastAsia="en-AU"/>
              </w:rPr>
            </w:pPr>
            <w:r>
              <w:rPr>
                <w:rFonts w:cs="Arial"/>
                <w:color w:val="000000"/>
                <w:sz w:val="22"/>
                <w:szCs w:val="22"/>
                <w:lang w:eastAsia="en-AU"/>
              </w:rPr>
              <w:t>Subtotal</w:t>
            </w:r>
          </w:p>
        </w:tc>
        <w:tc>
          <w:tcPr>
            <w:tcW w:w="1766" w:type="dxa"/>
            <w:tcBorders>
              <w:top w:val="nil"/>
              <w:left w:val="nil"/>
              <w:bottom w:val="nil"/>
              <w:right w:val="nil"/>
            </w:tcBorders>
            <w:shd w:val="clear" w:color="auto" w:fill="BFBFBF" w:themeFill="background1" w:themeFillShade="BF"/>
            <w:vAlign w:val="center"/>
          </w:tcPr>
          <w:p w14:paraId="5EA73A7C" w14:textId="77777777" w:rsidR="00931AF7" w:rsidRPr="00DF0E8D" w:rsidRDefault="00931AF7" w:rsidP="004668BB">
            <w:pPr>
              <w:jc w:val="right"/>
              <w:rPr>
                <w:rFonts w:cs="Arial"/>
                <w:color w:val="000000"/>
                <w:sz w:val="22"/>
                <w:szCs w:val="22"/>
                <w:lang w:eastAsia="en-AU"/>
              </w:rPr>
            </w:pPr>
            <w:r>
              <w:rPr>
                <w:rFonts w:cs="Arial"/>
                <w:color w:val="000000"/>
                <w:sz w:val="22"/>
                <w:szCs w:val="22"/>
                <w:lang w:eastAsia="en-AU"/>
              </w:rPr>
              <w:t>1,207</w:t>
            </w:r>
          </w:p>
        </w:tc>
        <w:tc>
          <w:tcPr>
            <w:tcW w:w="1378" w:type="dxa"/>
            <w:tcBorders>
              <w:top w:val="nil"/>
              <w:left w:val="nil"/>
              <w:bottom w:val="nil"/>
              <w:right w:val="nil"/>
            </w:tcBorders>
            <w:shd w:val="clear" w:color="auto" w:fill="auto"/>
            <w:vAlign w:val="center"/>
            <w:hideMark/>
          </w:tcPr>
          <w:p w14:paraId="5EA73A7D" w14:textId="77777777" w:rsidR="00931AF7" w:rsidRPr="00BC6AED" w:rsidRDefault="00931AF7" w:rsidP="00BC6AED">
            <w:pPr>
              <w:jc w:val="right"/>
              <w:rPr>
                <w:rFonts w:cs="Arial"/>
                <w:color w:val="000000"/>
                <w:sz w:val="22"/>
                <w:szCs w:val="22"/>
                <w:lang w:eastAsia="en-AU"/>
              </w:rPr>
            </w:pPr>
            <w:r w:rsidRPr="00BC6AED">
              <w:rPr>
                <w:sz w:val="22"/>
                <w:szCs w:val="22"/>
              </w:rPr>
              <w:t>1,318</w:t>
            </w:r>
          </w:p>
        </w:tc>
      </w:tr>
      <w:tr w:rsidR="00931AF7" w:rsidRPr="00DF0E8D" w14:paraId="5EA73A83" w14:textId="77777777" w:rsidTr="00931AF7">
        <w:trPr>
          <w:trHeight w:val="335"/>
        </w:trPr>
        <w:tc>
          <w:tcPr>
            <w:tcW w:w="5623" w:type="dxa"/>
            <w:tcBorders>
              <w:top w:val="nil"/>
              <w:left w:val="nil"/>
              <w:bottom w:val="nil"/>
              <w:right w:val="nil"/>
            </w:tcBorders>
            <w:shd w:val="clear" w:color="auto" w:fill="auto"/>
            <w:vAlign w:val="center"/>
            <w:hideMark/>
          </w:tcPr>
          <w:p w14:paraId="5EA73A7F" w14:textId="77777777" w:rsidR="00931AF7" w:rsidRPr="00DF0E8D" w:rsidRDefault="00931AF7" w:rsidP="00DF0E8D">
            <w:pPr>
              <w:rPr>
                <w:rFonts w:cs="Arial"/>
                <w:color w:val="000000"/>
                <w:sz w:val="22"/>
                <w:szCs w:val="22"/>
                <w:lang w:eastAsia="en-AU"/>
              </w:rPr>
            </w:pPr>
            <w:r w:rsidRPr="00DF0E8D">
              <w:rPr>
                <w:rFonts w:cs="Arial"/>
                <w:color w:val="000000"/>
                <w:sz w:val="22"/>
                <w:szCs w:val="22"/>
                <w:lang w:eastAsia="en-AU"/>
              </w:rPr>
              <w:t>Interest and dividends receivable</w:t>
            </w:r>
          </w:p>
        </w:tc>
        <w:tc>
          <w:tcPr>
            <w:tcW w:w="1766" w:type="dxa"/>
            <w:tcBorders>
              <w:top w:val="nil"/>
              <w:left w:val="nil"/>
              <w:right w:val="nil"/>
            </w:tcBorders>
            <w:shd w:val="clear" w:color="auto" w:fill="BFBFBF" w:themeFill="background1" w:themeFillShade="BF"/>
            <w:vAlign w:val="center"/>
          </w:tcPr>
          <w:p w14:paraId="5EA73A81" w14:textId="77777777" w:rsidR="00931AF7" w:rsidRPr="00DF0E8D" w:rsidRDefault="00931AF7" w:rsidP="00BC6AED">
            <w:pPr>
              <w:jc w:val="right"/>
              <w:rPr>
                <w:rFonts w:cs="Arial"/>
                <w:color w:val="000000"/>
                <w:sz w:val="22"/>
                <w:szCs w:val="22"/>
                <w:lang w:eastAsia="en-AU"/>
              </w:rPr>
            </w:pPr>
            <w:r>
              <w:rPr>
                <w:rFonts w:cs="Arial"/>
                <w:color w:val="000000"/>
                <w:sz w:val="22"/>
                <w:szCs w:val="22"/>
                <w:lang w:eastAsia="en-AU"/>
              </w:rPr>
              <w:t>1,123</w:t>
            </w:r>
          </w:p>
        </w:tc>
        <w:tc>
          <w:tcPr>
            <w:tcW w:w="1378" w:type="dxa"/>
            <w:tcBorders>
              <w:top w:val="nil"/>
              <w:left w:val="nil"/>
              <w:right w:val="nil"/>
            </w:tcBorders>
            <w:shd w:val="clear" w:color="auto" w:fill="auto"/>
            <w:vAlign w:val="center"/>
            <w:hideMark/>
          </w:tcPr>
          <w:p w14:paraId="5EA73A82" w14:textId="77777777" w:rsidR="00931AF7" w:rsidRPr="00BC6AED" w:rsidRDefault="00931AF7" w:rsidP="00BC6AED">
            <w:pPr>
              <w:jc w:val="right"/>
              <w:rPr>
                <w:rFonts w:cs="Arial"/>
                <w:color w:val="000000"/>
                <w:sz w:val="22"/>
                <w:szCs w:val="22"/>
                <w:lang w:eastAsia="en-AU"/>
              </w:rPr>
            </w:pPr>
            <w:r w:rsidRPr="00BC6AED">
              <w:rPr>
                <w:sz w:val="22"/>
                <w:szCs w:val="22"/>
              </w:rPr>
              <w:t>1,138</w:t>
            </w:r>
          </w:p>
        </w:tc>
      </w:tr>
      <w:tr w:rsidR="00931AF7" w:rsidRPr="00DF0E8D" w14:paraId="5EA73A88" w14:textId="77777777" w:rsidTr="00931AF7">
        <w:trPr>
          <w:trHeight w:val="335"/>
        </w:trPr>
        <w:tc>
          <w:tcPr>
            <w:tcW w:w="5623" w:type="dxa"/>
            <w:tcBorders>
              <w:top w:val="nil"/>
              <w:left w:val="nil"/>
              <w:bottom w:val="nil"/>
              <w:right w:val="nil"/>
            </w:tcBorders>
            <w:shd w:val="clear" w:color="auto" w:fill="auto"/>
            <w:vAlign w:val="center"/>
            <w:hideMark/>
          </w:tcPr>
          <w:p w14:paraId="5EA73A84" w14:textId="77777777" w:rsidR="00931AF7" w:rsidRPr="00DF0E8D" w:rsidRDefault="00931AF7" w:rsidP="00DF0E8D">
            <w:pPr>
              <w:rPr>
                <w:rFonts w:cs="Arial"/>
                <w:color w:val="000000"/>
                <w:sz w:val="22"/>
                <w:szCs w:val="22"/>
                <w:lang w:eastAsia="en-AU"/>
              </w:rPr>
            </w:pPr>
            <w:r w:rsidRPr="00DF0E8D">
              <w:rPr>
                <w:rFonts w:cs="Arial"/>
                <w:color w:val="000000"/>
                <w:sz w:val="22"/>
                <w:szCs w:val="22"/>
                <w:lang w:eastAsia="en-AU"/>
              </w:rPr>
              <w:t>Sundry debtors</w:t>
            </w:r>
          </w:p>
        </w:tc>
        <w:tc>
          <w:tcPr>
            <w:tcW w:w="1766" w:type="dxa"/>
            <w:tcBorders>
              <w:top w:val="nil"/>
              <w:left w:val="nil"/>
              <w:right w:val="nil"/>
            </w:tcBorders>
            <w:shd w:val="clear" w:color="auto" w:fill="BFBFBF" w:themeFill="background1" w:themeFillShade="BF"/>
            <w:vAlign w:val="center"/>
          </w:tcPr>
          <w:p w14:paraId="5EA73A86" w14:textId="77777777" w:rsidR="00931AF7" w:rsidRPr="00DF0E8D" w:rsidRDefault="00931AF7" w:rsidP="004668BB">
            <w:pPr>
              <w:jc w:val="right"/>
              <w:rPr>
                <w:rFonts w:cs="Arial"/>
                <w:color w:val="000000"/>
                <w:sz w:val="22"/>
                <w:szCs w:val="22"/>
                <w:lang w:eastAsia="en-AU"/>
              </w:rPr>
            </w:pPr>
            <w:r>
              <w:rPr>
                <w:rFonts w:cs="Arial"/>
                <w:color w:val="000000"/>
                <w:sz w:val="22"/>
                <w:szCs w:val="22"/>
                <w:lang w:eastAsia="en-AU"/>
              </w:rPr>
              <w:t>577</w:t>
            </w:r>
          </w:p>
        </w:tc>
        <w:tc>
          <w:tcPr>
            <w:tcW w:w="1378" w:type="dxa"/>
            <w:tcBorders>
              <w:top w:val="nil"/>
              <w:left w:val="nil"/>
              <w:right w:val="nil"/>
            </w:tcBorders>
            <w:shd w:val="clear" w:color="auto" w:fill="auto"/>
            <w:vAlign w:val="center"/>
            <w:hideMark/>
          </w:tcPr>
          <w:p w14:paraId="5EA73A87" w14:textId="77777777" w:rsidR="00931AF7" w:rsidRPr="00BC6AED" w:rsidRDefault="00931AF7" w:rsidP="00BC6AED">
            <w:pPr>
              <w:jc w:val="right"/>
              <w:rPr>
                <w:rFonts w:cs="Arial"/>
                <w:color w:val="000000"/>
                <w:sz w:val="22"/>
                <w:szCs w:val="22"/>
                <w:lang w:eastAsia="en-AU"/>
              </w:rPr>
            </w:pPr>
            <w:r w:rsidRPr="00BC6AED">
              <w:rPr>
                <w:sz w:val="22"/>
                <w:szCs w:val="22"/>
              </w:rPr>
              <w:t>535</w:t>
            </w:r>
          </w:p>
        </w:tc>
      </w:tr>
      <w:tr w:rsidR="00931AF7" w:rsidRPr="00DF0E8D" w14:paraId="3CFD282C" w14:textId="77777777" w:rsidTr="00931AF7">
        <w:trPr>
          <w:trHeight w:val="335"/>
        </w:trPr>
        <w:tc>
          <w:tcPr>
            <w:tcW w:w="5623" w:type="dxa"/>
            <w:tcBorders>
              <w:top w:val="nil"/>
              <w:left w:val="nil"/>
              <w:bottom w:val="nil"/>
              <w:right w:val="nil"/>
            </w:tcBorders>
            <w:shd w:val="clear" w:color="auto" w:fill="auto"/>
            <w:vAlign w:val="center"/>
          </w:tcPr>
          <w:p w14:paraId="2E760590" w14:textId="4D8B8AFA" w:rsidR="00931AF7" w:rsidRPr="00DF0E8D" w:rsidRDefault="00931AF7" w:rsidP="00DF0E8D">
            <w:pPr>
              <w:rPr>
                <w:rFonts w:cs="Arial"/>
                <w:color w:val="000000"/>
                <w:sz w:val="22"/>
                <w:szCs w:val="22"/>
                <w:lang w:eastAsia="en-AU"/>
              </w:rPr>
            </w:pPr>
            <w:r>
              <w:rPr>
                <w:rFonts w:cs="Arial"/>
                <w:color w:val="000000"/>
                <w:sz w:val="22"/>
                <w:szCs w:val="22"/>
                <w:lang w:eastAsia="en-AU"/>
              </w:rPr>
              <w:t>Net goods and services tax recoverable</w:t>
            </w:r>
          </w:p>
        </w:tc>
        <w:tc>
          <w:tcPr>
            <w:tcW w:w="1766" w:type="dxa"/>
            <w:tcBorders>
              <w:left w:val="nil"/>
              <w:bottom w:val="single" w:sz="12" w:space="0" w:color="auto"/>
              <w:right w:val="nil"/>
            </w:tcBorders>
            <w:shd w:val="clear" w:color="auto" w:fill="BFBFBF" w:themeFill="background1" w:themeFillShade="BF"/>
            <w:vAlign w:val="center"/>
          </w:tcPr>
          <w:p w14:paraId="693B18BC" w14:textId="7D5F8264" w:rsidR="00931AF7" w:rsidRDefault="00931AF7" w:rsidP="004668BB">
            <w:pPr>
              <w:jc w:val="right"/>
              <w:rPr>
                <w:rFonts w:cs="Arial"/>
                <w:color w:val="000000"/>
                <w:sz w:val="22"/>
                <w:szCs w:val="22"/>
                <w:lang w:eastAsia="en-AU"/>
              </w:rPr>
            </w:pPr>
            <w:r>
              <w:rPr>
                <w:rFonts w:cs="Arial"/>
                <w:color w:val="000000"/>
                <w:sz w:val="22"/>
                <w:szCs w:val="22"/>
                <w:lang w:eastAsia="en-AU"/>
              </w:rPr>
              <w:t>47</w:t>
            </w:r>
          </w:p>
        </w:tc>
        <w:tc>
          <w:tcPr>
            <w:tcW w:w="1378" w:type="dxa"/>
            <w:tcBorders>
              <w:left w:val="nil"/>
              <w:bottom w:val="single" w:sz="12" w:space="0" w:color="auto"/>
              <w:right w:val="nil"/>
            </w:tcBorders>
            <w:shd w:val="clear" w:color="auto" w:fill="auto"/>
            <w:vAlign w:val="center"/>
          </w:tcPr>
          <w:p w14:paraId="1B30DF8F" w14:textId="62A00FC7" w:rsidR="00931AF7" w:rsidRDefault="002C23B2" w:rsidP="00BC6AED">
            <w:pPr>
              <w:jc w:val="right"/>
              <w:rPr>
                <w:sz w:val="22"/>
                <w:szCs w:val="22"/>
              </w:rPr>
            </w:pPr>
            <w:r>
              <w:rPr>
                <w:sz w:val="22"/>
                <w:szCs w:val="22"/>
              </w:rPr>
              <w:t>0</w:t>
            </w:r>
          </w:p>
        </w:tc>
      </w:tr>
      <w:tr w:rsidR="00931AF7" w:rsidRPr="00DF0E8D" w14:paraId="5EA73A8D" w14:textId="77777777" w:rsidTr="00931AF7">
        <w:trPr>
          <w:trHeight w:val="335"/>
        </w:trPr>
        <w:tc>
          <w:tcPr>
            <w:tcW w:w="5623" w:type="dxa"/>
            <w:tcBorders>
              <w:top w:val="nil"/>
              <w:left w:val="nil"/>
              <w:bottom w:val="nil"/>
              <w:right w:val="nil"/>
            </w:tcBorders>
            <w:shd w:val="clear" w:color="auto" w:fill="auto"/>
            <w:vAlign w:val="center"/>
            <w:hideMark/>
          </w:tcPr>
          <w:p w14:paraId="5EA73A89" w14:textId="2E7E4A24" w:rsidR="00931AF7" w:rsidRPr="00DF0E8D" w:rsidRDefault="002C23B2" w:rsidP="002C23B2">
            <w:pPr>
              <w:rPr>
                <w:rFonts w:cs="Arial"/>
                <w:color w:val="000000"/>
                <w:sz w:val="22"/>
                <w:szCs w:val="22"/>
                <w:lang w:eastAsia="en-AU"/>
              </w:rPr>
            </w:pPr>
            <w:r>
              <w:rPr>
                <w:rFonts w:cs="Arial"/>
                <w:color w:val="000000"/>
                <w:sz w:val="22"/>
                <w:szCs w:val="22"/>
                <w:lang w:eastAsia="en-AU"/>
              </w:rPr>
              <w:t>Current Total</w:t>
            </w:r>
          </w:p>
        </w:tc>
        <w:tc>
          <w:tcPr>
            <w:tcW w:w="1766" w:type="dxa"/>
            <w:tcBorders>
              <w:top w:val="single" w:sz="12" w:space="0" w:color="auto"/>
              <w:left w:val="nil"/>
              <w:bottom w:val="single" w:sz="12" w:space="0" w:color="auto"/>
              <w:right w:val="nil"/>
            </w:tcBorders>
            <w:shd w:val="clear" w:color="auto" w:fill="BFBFBF" w:themeFill="background1" w:themeFillShade="BF"/>
            <w:vAlign w:val="center"/>
          </w:tcPr>
          <w:p w14:paraId="5EA73A8B" w14:textId="090FD50C" w:rsidR="00931AF7" w:rsidRPr="00DF0E8D" w:rsidRDefault="00931AF7" w:rsidP="004668BB">
            <w:pPr>
              <w:jc w:val="right"/>
              <w:rPr>
                <w:rFonts w:cs="Arial"/>
                <w:color w:val="000000"/>
                <w:sz w:val="22"/>
                <w:szCs w:val="22"/>
                <w:lang w:eastAsia="en-AU"/>
              </w:rPr>
            </w:pPr>
            <w:r>
              <w:rPr>
                <w:rFonts w:cs="Arial"/>
                <w:color w:val="000000"/>
                <w:sz w:val="22"/>
                <w:szCs w:val="22"/>
                <w:lang w:eastAsia="en-AU"/>
              </w:rPr>
              <w:t>2,954</w:t>
            </w:r>
          </w:p>
        </w:tc>
        <w:tc>
          <w:tcPr>
            <w:tcW w:w="1378" w:type="dxa"/>
            <w:tcBorders>
              <w:top w:val="single" w:sz="12" w:space="0" w:color="auto"/>
              <w:left w:val="nil"/>
              <w:bottom w:val="single" w:sz="12" w:space="0" w:color="auto"/>
              <w:right w:val="nil"/>
            </w:tcBorders>
            <w:shd w:val="clear" w:color="auto" w:fill="auto"/>
            <w:vAlign w:val="center"/>
            <w:hideMark/>
          </w:tcPr>
          <w:p w14:paraId="5EA73A8C" w14:textId="77777777" w:rsidR="00931AF7" w:rsidRPr="00BC6AED" w:rsidRDefault="00931AF7" w:rsidP="00BC6AED">
            <w:pPr>
              <w:jc w:val="right"/>
              <w:rPr>
                <w:rFonts w:cs="Arial"/>
                <w:color w:val="000000"/>
                <w:sz w:val="22"/>
                <w:szCs w:val="22"/>
                <w:lang w:eastAsia="en-AU"/>
              </w:rPr>
            </w:pPr>
            <w:r>
              <w:rPr>
                <w:sz w:val="22"/>
                <w:szCs w:val="22"/>
              </w:rPr>
              <w:t>2,991</w:t>
            </w:r>
            <w:r w:rsidRPr="00BC6AED">
              <w:rPr>
                <w:sz w:val="22"/>
                <w:szCs w:val="22"/>
              </w:rPr>
              <w:t xml:space="preserve">   </w:t>
            </w:r>
          </w:p>
        </w:tc>
      </w:tr>
    </w:tbl>
    <w:p w14:paraId="3DEF1AEC" w14:textId="77777777" w:rsidR="002C23B2" w:rsidRDefault="002C23B2"/>
    <w:p w14:paraId="4B99A599" w14:textId="577A2602" w:rsidR="002C23B2" w:rsidRDefault="002C23B2">
      <w:pPr>
        <w:rPr>
          <w:rFonts w:cs="Arial"/>
          <w:color w:val="000000"/>
          <w:sz w:val="22"/>
          <w:szCs w:val="22"/>
          <w:u w:val="single"/>
          <w:lang w:eastAsia="en-AU"/>
        </w:rPr>
      </w:pPr>
      <w:r w:rsidRPr="00DF0E8D">
        <w:rPr>
          <w:rFonts w:cs="Arial"/>
          <w:color w:val="000000"/>
          <w:sz w:val="22"/>
          <w:szCs w:val="22"/>
          <w:u w:val="single"/>
          <w:lang w:eastAsia="en-AU"/>
        </w:rPr>
        <w:t>Non-current</w:t>
      </w:r>
      <w:r>
        <w:rPr>
          <w:rFonts w:cs="Arial"/>
          <w:color w:val="000000"/>
          <w:sz w:val="22"/>
          <w:szCs w:val="22"/>
          <w:u w:val="single"/>
          <w:lang w:eastAsia="en-AU"/>
        </w:rPr>
        <w:t>:</w:t>
      </w:r>
    </w:p>
    <w:tbl>
      <w:tblPr>
        <w:tblW w:w="8767" w:type="dxa"/>
        <w:tblInd w:w="108" w:type="dxa"/>
        <w:tblLook w:val="04A0" w:firstRow="1" w:lastRow="0" w:firstColumn="1" w:lastColumn="0" w:noHBand="0" w:noVBand="1"/>
      </w:tblPr>
      <w:tblGrid>
        <w:gridCol w:w="5623"/>
        <w:gridCol w:w="1766"/>
        <w:gridCol w:w="1378"/>
      </w:tblGrid>
      <w:tr w:rsidR="002C23B2" w:rsidRPr="00DF0E8D" w14:paraId="22BA0126" w14:textId="77777777" w:rsidTr="003B0341">
        <w:trPr>
          <w:trHeight w:val="335"/>
          <w:tblHeader/>
        </w:trPr>
        <w:tc>
          <w:tcPr>
            <w:tcW w:w="5623" w:type="dxa"/>
            <w:tcBorders>
              <w:top w:val="nil"/>
              <w:left w:val="nil"/>
              <w:bottom w:val="nil"/>
              <w:right w:val="nil"/>
            </w:tcBorders>
            <w:shd w:val="clear" w:color="auto" w:fill="auto"/>
            <w:vAlign w:val="center"/>
          </w:tcPr>
          <w:p w14:paraId="1B027AEC" w14:textId="77777777" w:rsidR="002C23B2" w:rsidRPr="00DF0E8D" w:rsidRDefault="002C23B2" w:rsidP="00DF0E8D">
            <w:pPr>
              <w:rPr>
                <w:rFonts w:cs="Arial"/>
                <w:color w:val="000000"/>
                <w:sz w:val="22"/>
                <w:szCs w:val="22"/>
                <w:lang w:eastAsia="en-AU"/>
              </w:rPr>
            </w:pPr>
            <w:bookmarkStart w:id="293" w:name="Table_27"/>
            <w:bookmarkEnd w:id="293"/>
          </w:p>
        </w:tc>
        <w:tc>
          <w:tcPr>
            <w:tcW w:w="1766" w:type="dxa"/>
            <w:tcBorders>
              <w:top w:val="nil"/>
              <w:left w:val="nil"/>
              <w:bottom w:val="single" w:sz="12" w:space="0" w:color="auto"/>
              <w:right w:val="nil"/>
            </w:tcBorders>
            <w:shd w:val="clear" w:color="auto" w:fill="BFBFBF" w:themeFill="background1" w:themeFillShade="BF"/>
            <w:vAlign w:val="center"/>
          </w:tcPr>
          <w:p w14:paraId="4932629C" w14:textId="244C239E" w:rsidR="002C23B2" w:rsidRDefault="002C23B2" w:rsidP="002406CA">
            <w:pPr>
              <w:jc w:val="right"/>
              <w:rPr>
                <w:rFonts w:cs="Arial"/>
                <w:color w:val="000000"/>
                <w:sz w:val="22"/>
                <w:szCs w:val="22"/>
                <w:lang w:eastAsia="en-AU"/>
              </w:rPr>
            </w:pPr>
            <w:r>
              <w:rPr>
                <w:rFonts w:cs="Arial"/>
                <w:b/>
                <w:color w:val="000000"/>
                <w:sz w:val="22"/>
                <w:szCs w:val="22"/>
                <w:lang w:eastAsia="en-AU"/>
              </w:rPr>
              <w:t>2015</w:t>
            </w:r>
          </w:p>
        </w:tc>
        <w:tc>
          <w:tcPr>
            <w:tcW w:w="1378" w:type="dxa"/>
            <w:tcBorders>
              <w:top w:val="nil"/>
              <w:left w:val="nil"/>
              <w:bottom w:val="single" w:sz="12" w:space="0" w:color="auto"/>
              <w:right w:val="nil"/>
            </w:tcBorders>
            <w:shd w:val="clear" w:color="auto" w:fill="auto"/>
            <w:vAlign w:val="center"/>
          </w:tcPr>
          <w:p w14:paraId="2CFDE153" w14:textId="17FF2FEE" w:rsidR="002C23B2" w:rsidRDefault="002C23B2" w:rsidP="00BC6AED">
            <w:pPr>
              <w:jc w:val="right"/>
              <w:rPr>
                <w:sz w:val="22"/>
                <w:szCs w:val="22"/>
              </w:rPr>
            </w:pPr>
            <w:r>
              <w:rPr>
                <w:sz w:val="22"/>
                <w:szCs w:val="22"/>
              </w:rPr>
              <w:t>2014</w:t>
            </w:r>
          </w:p>
        </w:tc>
      </w:tr>
      <w:tr w:rsidR="00931AF7" w:rsidRPr="00DF0E8D" w14:paraId="5EA73A97" w14:textId="77777777" w:rsidTr="00931AF7">
        <w:trPr>
          <w:trHeight w:val="335"/>
        </w:trPr>
        <w:tc>
          <w:tcPr>
            <w:tcW w:w="5623" w:type="dxa"/>
            <w:tcBorders>
              <w:top w:val="nil"/>
              <w:left w:val="nil"/>
              <w:bottom w:val="nil"/>
              <w:right w:val="nil"/>
            </w:tcBorders>
            <w:shd w:val="clear" w:color="auto" w:fill="auto"/>
            <w:vAlign w:val="center"/>
            <w:hideMark/>
          </w:tcPr>
          <w:p w14:paraId="5EA73A93" w14:textId="0410F000" w:rsidR="00931AF7" w:rsidRPr="00DF0E8D" w:rsidRDefault="00931AF7" w:rsidP="00DF0E8D">
            <w:pPr>
              <w:rPr>
                <w:rFonts w:cs="Arial"/>
                <w:color w:val="000000"/>
                <w:sz w:val="22"/>
                <w:szCs w:val="22"/>
                <w:lang w:eastAsia="en-AU"/>
              </w:rPr>
            </w:pPr>
            <w:r w:rsidRPr="00DF0E8D">
              <w:rPr>
                <w:rFonts w:cs="Arial"/>
                <w:color w:val="000000"/>
                <w:sz w:val="22"/>
                <w:szCs w:val="22"/>
                <w:lang w:eastAsia="en-AU"/>
              </w:rPr>
              <w:t>Sundry debtors</w:t>
            </w:r>
            <w:r w:rsidR="002C23B2">
              <w:rPr>
                <w:rFonts w:cs="Arial"/>
                <w:color w:val="000000"/>
                <w:sz w:val="22"/>
                <w:szCs w:val="22"/>
                <w:lang w:eastAsia="en-AU"/>
              </w:rPr>
              <w:t xml:space="preserve"> total</w:t>
            </w:r>
          </w:p>
        </w:tc>
        <w:tc>
          <w:tcPr>
            <w:tcW w:w="1766" w:type="dxa"/>
            <w:tcBorders>
              <w:top w:val="nil"/>
              <w:left w:val="nil"/>
              <w:bottom w:val="single" w:sz="12" w:space="0" w:color="auto"/>
              <w:right w:val="nil"/>
            </w:tcBorders>
            <w:shd w:val="clear" w:color="auto" w:fill="BFBFBF" w:themeFill="background1" w:themeFillShade="BF"/>
            <w:vAlign w:val="center"/>
          </w:tcPr>
          <w:p w14:paraId="5EA73A95" w14:textId="77777777" w:rsidR="00931AF7" w:rsidRPr="00DF0E8D" w:rsidRDefault="00931AF7" w:rsidP="002406CA">
            <w:pPr>
              <w:jc w:val="right"/>
              <w:rPr>
                <w:rFonts w:cs="Arial"/>
                <w:color w:val="000000"/>
                <w:sz w:val="22"/>
                <w:szCs w:val="22"/>
                <w:lang w:eastAsia="en-AU"/>
              </w:rPr>
            </w:pPr>
            <w:r>
              <w:rPr>
                <w:rFonts w:cs="Arial"/>
                <w:color w:val="000000"/>
                <w:sz w:val="22"/>
                <w:szCs w:val="22"/>
                <w:lang w:eastAsia="en-AU"/>
              </w:rPr>
              <w:t>106</w:t>
            </w:r>
          </w:p>
        </w:tc>
        <w:tc>
          <w:tcPr>
            <w:tcW w:w="1378" w:type="dxa"/>
            <w:tcBorders>
              <w:top w:val="nil"/>
              <w:left w:val="nil"/>
              <w:bottom w:val="single" w:sz="12" w:space="0" w:color="auto"/>
              <w:right w:val="nil"/>
            </w:tcBorders>
            <w:shd w:val="clear" w:color="auto" w:fill="auto"/>
            <w:vAlign w:val="center"/>
            <w:hideMark/>
          </w:tcPr>
          <w:p w14:paraId="5EA73A96" w14:textId="77777777" w:rsidR="00931AF7" w:rsidRPr="00BC6AED" w:rsidRDefault="00931AF7" w:rsidP="00BC6AED">
            <w:pPr>
              <w:jc w:val="right"/>
              <w:rPr>
                <w:rFonts w:cs="Arial"/>
                <w:color w:val="000000"/>
                <w:sz w:val="22"/>
                <w:szCs w:val="22"/>
                <w:lang w:eastAsia="en-AU"/>
              </w:rPr>
            </w:pPr>
            <w:r>
              <w:rPr>
                <w:sz w:val="22"/>
                <w:szCs w:val="22"/>
              </w:rPr>
              <w:t>192</w:t>
            </w:r>
            <w:r w:rsidRPr="00BC6AED">
              <w:rPr>
                <w:sz w:val="22"/>
                <w:szCs w:val="22"/>
              </w:rPr>
              <w:t xml:space="preserve"> </w:t>
            </w:r>
          </w:p>
        </w:tc>
      </w:tr>
    </w:tbl>
    <w:p w14:paraId="18E8B364" w14:textId="77777777" w:rsidR="002C23B2" w:rsidRDefault="002C23B2"/>
    <w:p w14:paraId="59AD2C43" w14:textId="6387EB6B" w:rsidR="002C23B2" w:rsidRPr="00DF0E8D" w:rsidRDefault="002C23B2" w:rsidP="002C23B2">
      <w:pPr>
        <w:rPr>
          <w:rFonts w:cs="Arial"/>
          <w:color w:val="000000"/>
          <w:sz w:val="22"/>
          <w:szCs w:val="22"/>
          <w:u w:val="single"/>
          <w:lang w:eastAsia="en-AU"/>
        </w:rPr>
      </w:pPr>
      <w:r w:rsidRPr="00DF0E8D">
        <w:rPr>
          <w:rFonts w:cs="Arial"/>
          <w:color w:val="000000"/>
          <w:sz w:val="22"/>
          <w:szCs w:val="22"/>
          <w:u w:val="single"/>
          <w:lang w:eastAsia="en-AU"/>
        </w:rPr>
        <w:t>Movement in the allowance for doubtful debts</w:t>
      </w:r>
      <w:r>
        <w:rPr>
          <w:rFonts w:cs="Arial"/>
          <w:color w:val="000000"/>
          <w:sz w:val="22"/>
          <w:szCs w:val="22"/>
          <w:u w:val="single"/>
          <w:lang w:eastAsia="en-AU"/>
        </w:rPr>
        <w:t>:</w:t>
      </w:r>
    </w:p>
    <w:tbl>
      <w:tblPr>
        <w:tblW w:w="8767" w:type="dxa"/>
        <w:tblInd w:w="108" w:type="dxa"/>
        <w:tblLook w:val="04A0" w:firstRow="1" w:lastRow="0" w:firstColumn="1" w:lastColumn="0" w:noHBand="0" w:noVBand="1"/>
      </w:tblPr>
      <w:tblGrid>
        <w:gridCol w:w="5623"/>
        <w:gridCol w:w="1766"/>
        <w:gridCol w:w="1378"/>
      </w:tblGrid>
      <w:tr w:rsidR="002C23B2" w:rsidRPr="00DF0E8D" w14:paraId="5EA73AA1" w14:textId="77777777" w:rsidTr="003B0341">
        <w:trPr>
          <w:trHeight w:val="339"/>
          <w:tblHeader/>
        </w:trPr>
        <w:tc>
          <w:tcPr>
            <w:tcW w:w="5623" w:type="dxa"/>
            <w:tcBorders>
              <w:top w:val="nil"/>
              <w:left w:val="nil"/>
              <w:bottom w:val="nil"/>
              <w:right w:val="nil"/>
            </w:tcBorders>
            <w:shd w:val="clear" w:color="auto" w:fill="auto"/>
            <w:vAlign w:val="center"/>
          </w:tcPr>
          <w:p w14:paraId="5EA73A9D" w14:textId="125529F4" w:rsidR="002C23B2" w:rsidRPr="00DF0E8D" w:rsidRDefault="002C23B2" w:rsidP="00DF0E8D">
            <w:pPr>
              <w:rPr>
                <w:rFonts w:cs="Arial"/>
                <w:color w:val="000000"/>
                <w:sz w:val="22"/>
                <w:szCs w:val="22"/>
                <w:u w:val="single"/>
                <w:lang w:eastAsia="en-AU"/>
              </w:rPr>
            </w:pPr>
            <w:bookmarkStart w:id="294" w:name="Table_28"/>
            <w:bookmarkEnd w:id="294"/>
          </w:p>
        </w:tc>
        <w:tc>
          <w:tcPr>
            <w:tcW w:w="1766" w:type="dxa"/>
            <w:tcBorders>
              <w:top w:val="nil"/>
              <w:left w:val="nil"/>
              <w:bottom w:val="nil"/>
              <w:right w:val="nil"/>
            </w:tcBorders>
            <w:shd w:val="clear" w:color="auto" w:fill="BFBFBF" w:themeFill="background1" w:themeFillShade="BF"/>
            <w:vAlign w:val="center"/>
          </w:tcPr>
          <w:p w14:paraId="5EA73A9F" w14:textId="1D9ADB25" w:rsidR="002C23B2" w:rsidRPr="00DF0E8D" w:rsidRDefault="002C23B2" w:rsidP="00DF0E8D">
            <w:pPr>
              <w:jc w:val="right"/>
              <w:rPr>
                <w:rFonts w:cs="Arial"/>
                <w:color w:val="000000"/>
                <w:sz w:val="22"/>
                <w:szCs w:val="22"/>
                <w:lang w:eastAsia="en-AU"/>
              </w:rPr>
            </w:pPr>
            <w:r>
              <w:rPr>
                <w:rFonts w:cs="Arial"/>
                <w:b/>
                <w:color w:val="000000"/>
                <w:sz w:val="22"/>
                <w:szCs w:val="22"/>
                <w:lang w:eastAsia="en-AU"/>
              </w:rPr>
              <w:t>2015</w:t>
            </w:r>
          </w:p>
        </w:tc>
        <w:tc>
          <w:tcPr>
            <w:tcW w:w="1378" w:type="dxa"/>
            <w:tcBorders>
              <w:top w:val="nil"/>
              <w:left w:val="nil"/>
              <w:bottom w:val="nil"/>
              <w:right w:val="nil"/>
            </w:tcBorders>
            <w:shd w:val="clear" w:color="auto" w:fill="auto"/>
            <w:vAlign w:val="center"/>
          </w:tcPr>
          <w:p w14:paraId="5EA73AA0" w14:textId="58D5D449" w:rsidR="002C23B2" w:rsidRPr="00BC6AED" w:rsidRDefault="002C23B2" w:rsidP="00DF0E8D">
            <w:pPr>
              <w:jc w:val="right"/>
              <w:rPr>
                <w:rFonts w:cs="Arial"/>
                <w:color w:val="000000"/>
                <w:sz w:val="22"/>
                <w:szCs w:val="22"/>
                <w:lang w:eastAsia="en-AU"/>
              </w:rPr>
            </w:pPr>
            <w:r>
              <w:rPr>
                <w:sz w:val="22"/>
                <w:szCs w:val="22"/>
              </w:rPr>
              <w:t>2014</w:t>
            </w:r>
          </w:p>
        </w:tc>
      </w:tr>
      <w:tr w:rsidR="00931AF7" w:rsidRPr="00DF0E8D" w14:paraId="5EA73AA6" w14:textId="77777777" w:rsidTr="00931AF7">
        <w:trPr>
          <w:trHeight w:val="335"/>
        </w:trPr>
        <w:tc>
          <w:tcPr>
            <w:tcW w:w="5623" w:type="dxa"/>
            <w:tcBorders>
              <w:top w:val="nil"/>
              <w:left w:val="nil"/>
              <w:bottom w:val="nil"/>
              <w:right w:val="nil"/>
            </w:tcBorders>
            <w:shd w:val="clear" w:color="auto" w:fill="auto"/>
            <w:vAlign w:val="center"/>
            <w:hideMark/>
          </w:tcPr>
          <w:p w14:paraId="5EA73AA2" w14:textId="77777777" w:rsidR="00931AF7" w:rsidRPr="00DF0E8D" w:rsidRDefault="00931AF7" w:rsidP="00DF0E8D">
            <w:pPr>
              <w:rPr>
                <w:rFonts w:cs="Arial"/>
                <w:color w:val="000000"/>
                <w:sz w:val="22"/>
                <w:szCs w:val="22"/>
                <w:lang w:eastAsia="en-AU"/>
              </w:rPr>
            </w:pPr>
            <w:r w:rsidRPr="00DF0E8D">
              <w:rPr>
                <w:rFonts w:cs="Arial"/>
                <w:color w:val="000000"/>
                <w:sz w:val="22"/>
                <w:szCs w:val="22"/>
                <w:lang w:eastAsia="en-AU"/>
              </w:rPr>
              <w:t>Balance at the beginning of the year</w:t>
            </w:r>
          </w:p>
        </w:tc>
        <w:tc>
          <w:tcPr>
            <w:tcW w:w="1766" w:type="dxa"/>
            <w:tcBorders>
              <w:top w:val="nil"/>
              <w:left w:val="nil"/>
              <w:bottom w:val="nil"/>
              <w:right w:val="nil"/>
            </w:tcBorders>
            <w:shd w:val="clear" w:color="auto" w:fill="BFBFBF" w:themeFill="background1" w:themeFillShade="BF"/>
            <w:vAlign w:val="center"/>
          </w:tcPr>
          <w:p w14:paraId="5EA73AA4" w14:textId="77777777" w:rsidR="00931AF7" w:rsidRPr="00DF0E8D" w:rsidRDefault="00931AF7" w:rsidP="00BC6AED">
            <w:pPr>
              <w:jc w:val="right"/>
              <w:rPr>
                <w:rFonts w:cs="Arial"/>
                <w:color w:val="000000"/>
                <w:sz w:val="22"/>
                <w:szCs w:val="22"/>
                <w:lang w:eastAsia="en-AU"/>
              </w:rPr>
            </w:pPr>
            <w:r>
              <w:rPr>
                <w:rFonts w:cs="Arial"/>
                <w:color w:val="000000"/>
                <w:sz w:val="22"/>
                <w:szCs w:val="22"/>
                <w:lang w:eastAsia="en-AU"/>
              </w:rPr>
              <w:t>25</w:t>
            </w:r>
          </w:p>
        </w:tc>
        <w:tc>
          <w:tcPr>
            <w:tcW w:w="1378" w:type="dxa"/>
            <w:tcBorders>
              <w:top w:val="nil"/>
              <w:left w:val="nil"/>
              <w:bottom w:val="nil"/>
              <w:right w:val="nil"/>
            </w:tcBorders>
            <w:shd w:val="clear" w:color="auto" w:fill="auto"/>
            <w:vAlign w:val="center"/>
            <w:hideMark/>
          </w:tcPr>
          <w:p w14:paraId="5EA73AA5" w14:textId="77777777" w:rsidR="00931AF7" w:rsidRPr="00BC6AED" w:rsidRDefault="00931AF7" w:rsidP="00BC6AED">
            <w:pPr>
              <w:jc w:val="right"/>
              <w:rPr>
                <w:rFonts w:cs="Arial"/>
                <w:color w:val="000000"/>
                <w:sz w:val="22"/>
                <w:szCs w:val="22"/>
                <w:lang w:eastAsia="en-AU"/>
              </w:rPr>
            </w:pPr>
            <w:r>
              <w:rPr>
                <w:sz w:val="22"/>
                <w:szCs w:val="22"/>
              </w:rPr>
              <w:t>28</w:t>
            </w:r>
            <w:r w:rsidRPr="00BC6AED">
              <w:rPr>
                <w:sz w:val="22"/>
                <w:szCs w:val="22"/>
              </w:rPr>
              <w:t xml:space="preserve"> </w:t>
            </w:r>
          </w:p>
        </w:tc>
      </w:tr>
      <w:tr w:rsidR="00931AF7" w:rsidRPr="00DF0E8D" w14:paraId="5EA73AAB" w14:textId="77777777" w:rsidTr="00931AF7">
        <w:trPr>
          <w:trHeight w:val="335"/>
        </w:trPr>
        <w:tc>
          <w:tcPr>
            <w:tcW w:w="5623" w:type="dxa"/>
            <w:tcBorders>
              <w:top w:val="nil"/>
              <w:left w:val="nil"/>
              <w:bottom w:val="nil"/>
              <w:right w:val="nil"/>
            </w:tcBorders>
            <w:shd w:val="clear" w:color="auto" w:fill="auto"/>
            <w:vAlign w:val="center"/>
            <w:hideMark/>
          </w:tcPr>
          <w:p w14:paraId="5EA73AA7" w14:textId="77777777" w:rsidR="00931AF7" w:rsidRPr="00DF0E8D" w:rsidRDefault="00931AF7" w:rsidP="00DF0E8D">
            <w:pPr>
              <w:rPr>
                <w:rFonts w:cs="Arial"/>
                <w:color w:val="000000"/>
                <w:sz w:val="22"/>
                <w:szCs w:val="22"/>
                <w:lang w:eastAsia="en-AU"/>
              </w:rPr>
            </w:pPr>
            <w:r w:rsidRPr="00DF0E8D">
              <w:rPr>
                <w:rFonts w:cs="Arial"/>
                <w:color w:val="000000"/>
                <w:sz w:val="22"/>
                <w:szCs w:val="22"/>
                <w:lang w:eastAsia="en-AU"/>
              </w:rPr>
              <w:t>Amounts recovered during the year</w:t>
            </w:r>
          </w:p>
        </w:tc>
        <w:tc>
          <w:tcPr>
            <w:tcW w:w="1766" w:type="dxa"/>
            <w:tcBorders>
              <w:top w:val="nil"/>
              <w:left w:val="nil"/>
              <w:bottom w:val="nil"/>
              <w:right w:val="nil"/>
            </w:tcBorders>
            <w:shd w:val="clear" w:color="auto" w:fill="BFBFBF" w:themeFill="background1" w:themeFillShade="BF"/>
            <w:vAlign w:val="center"/>
          </w:tcPr>
          <w:p w14:paraId="5EA73AA9" w14:textId="77777777" w:rsidR="00931AF7" w:rsidRPr="00DF0E8D" w:rsidRDefault="00931AF7" w:rsidP="00BC6AED">
            <w:pPr>
              <w:jc w:val="right"/>
              <w:rPr>
                <w:rFonts w:cs="Arial"/>
                <w:color w:val="000000"/>
                <w:sz w:val="22"/>
                <w:szCs w:val="22"/>
                <w:lang w:eastAsia="en-AU"/>
              </w:rPr>
            </w:pPr>
            <w:r>
              <w:rPr>
                <w:rFonts w:cs="Arial"/>
                <w:color w:val="000000"/>
                <w:sz w:val="22"/>
                <w:szCs w:val="22"/>
                <w:lang w:eastAsia="en-AU"/>
              </w:rPr>
              <w:t>(9)</w:t>
            </w:r>
          </w:p>
        </w:tc>
        <w:tc>
          <w:tcPr>
            <w:tcW w:w="1378" w:type="dxa"/>
            <w:tcBorders>
              <w:top w:val="nil"/>
              <w:left w:val="nil"/>
              <w:bottom w:val="nil"/>
              <w:right w:val="nil"/>
            </w:tcBorders>
            <w:shd w:val="clear" w:color="auto" w:fill="auto"/>
            <w:vAlign w:val="center"/>
            <w:hideMark/>
          </w:tcPr>
          <w:p w14:paraId="5EA73AAA" w14:textId="4ADE08C4" w:rsidR="00931AF7" w:rsidRPr="00BC6AED" w:rsidRDefault="00931AF7" w:rsidP="002C23B2">
            <w:pPr>
              <w:jc w:val="right"/>
              <w:rPr>
                <w:rFonts w:cs="Arial"/>
                <w:color w:val="000000"/>
                <w:sz w:val="22"/>
                <w:szCs w:val="22"/>
                <w:lang w:eastAsia="en-AU"/>
              </w:rPr>
            </w:pPr>
            <w:r>
              <w:rPr>
                <w:sz w:val="22"/>
                <w:szCs w:val="22"/>
              </w:rPr>
              <w:t>(9)</w:t>
            </w:r>
          </w:p>
        </w:tc>
      </w:tr>
      <w:tr w:rsidR="00931AF7" w:rsidRPr="00DF0E8D" w14:paraId="5EA73AB0" w14:textId="77777777" w:rsidTr="00931AF7">
        <w:trPr>
          <w:trHeight w:val="335"/>
        </w:trPr>
        <w:tc>
          <w:tcPr>
            <w:tcW w:w="5623" w:type="dxa"/>
            <w:tcBorders>
              <w:top w:val="nil"/>
              <w:left w:val="nil"/>
              <w:bottom w:val="nil"/>
              <w:right w:val="nil"/>
            </w:tcBorders>
            <w:shd w:val="clear" w:color="auto" w:fill="auto"/>
            <w:vAlign w:val="center"/>
            <w:hideMark/>
          </w:tcPr>
          <w:p w14:paraId="5EA73AAC" w14:textId="77777777" w:rsidR="00931AF7" w:rsidRPr="00DF0E8D" w:rsidRDefault="00931AF7" w:rsidP="00DF0E8D">
            <w:pPr>
              <w:rPr>
                <w:rFonts w:cs="Arial"/>
                <w:color w:val="000000"/>
                <w:sz w:val="22"/>
                <w:szCs w:val="22"/>
                <w:lang w:eastAsia="en-AU"/>
              </w:rPr>
            </w:pPr>
            <w:r w:rsidRPr="00DF0E8D">
              <w:rPr>
                <w:rFonts w:cs="Arial"/>
                <w:color w:val="000000"/>
                <w:sz w:val="22"/>
                <w:szCs w:val="22"/>
                <w:lang w:eastAsia="en-AU"/>
              </w:rPr>
              <w:t>Amounts provided for during the year</w:t>
            </w:r>
          </w:p>
        </w:tc>
        <w:tc>
          <w:tcPr>
            <w:tcW w:w="1766" w:type="dxa"/>
            <w:tcBorders>
              <w:top w:val="nil"/>
              <w:left w:val="nil"/>
              <w:bottom w:val="single" w:sz="8" w:space="0" w:color="auto"/>
              <w:right w:val="nil"/>
            </w:tcBorders>
            <w:shd w:val="clear" w:color="auto" w:fill="BFBFBF" w:themeFill="background1" w:themeFillShade="BF"/>
            <w:vAlign w:val="center"/>
          </w:tcPr>
          <w:p w14:paraId="5EA73AAE" w14:textId="77777777" w:rsidR="00931AF7" w:rsidRPr="00DF0E8D" w:rsidRDefault="00931AF7" w:rsidP="00BC6AED">
            <w:pPr>
              <w:jc w:val="right"/>
              <w:rPr>
                <w:rFonts w:cs="Arial"/>
                <w:color w:val="000000"/>
                <w:sz w:val="22"/>
                <w:szCs w:val="22"/>
                <w:lang w:eastAsia="en-AU"/>
              </w:rPr>
            </w:pPr>
            <w:r>
              <w:rPr>
                <w:rFonts w:cs="Arial"/>
                <w:color w:val="000000"/>
                <w:sz w:val="22"/>
                <w:szCs w:val="22"/>
                <w:lang w:eastAsia="en-AU"/>
              </w:rPr>
              <w:t>10</w:t>
            </w:r>
          </w:p>
        </w:tc>
        <w:tc>
          <w:tcPr>
            <w:tcW w:w="1378" w:type="dxa"/>
            <w:tcBorders>
              <w:top w:val="nil"/>
              <w:left w:val="nil"/>
              <w:bottom w:val="single" w:sz="8" w:space="0" w:color="auto"/>
              <w:right w:val="nil"/>
            </w:tcBorders>
            <w:shd w:val="clear" w:color="auto" w:fill="auto"/>
            <w:vAlign w:val="center"/>
            <w:hideMark/>
          </w:tcPr>
          <w:p w14:paraId="5EA73AAF" w14:textId="77777777" w:rsidR="00931AF7" w:rsidRPr="00BC6AED" w:rsidRDefault="00931AF7" w:rsidP="00BC6AED">
            <w:pPr>
              <w:jc w:val="right"/>
              <w:rPr>
                <w:rFonts w:cs="Arial"/>
                <w:color w:val="000000"/>
                <w:sz w:val="22"/>
                <w:szCs w:val="22"/>
                <w:lang w:eastAsia="en-AU"/>
              </w:rPr>
            </w:pPr>
            <w:r>
              <w:rPr>
                <w:sz w:val="22"/>
                <w:szCs w:val="22"/>
              </w:rPr>
              <w:t>6</w:t>
            </w:r>
          </w:p>
        </w:tc>
      </w:tr>
      <w:tr w:rsidR="00931AF7" w:rsidRPr="00DF0E8D" w14:paraId="5EA73AB5" w14:textId="77777777" w:rsidTr="00931AF7">
        <w:trPr>
          <w:trHeight w:val="335"/>
        </w:trPr>
        <w:tc>
          <w:tcPr>
            <w:tcW w:w="5623" w:type="dxa"/>
            <w:tcBorders>
              <w:top w:val="nil"/>
              <w:left w:val="nil"/>
              <w:bottom w:val="nil"/>
              <w:right w:val="nil"/>
            </w:tcBorders>
            <w:shd w:val="clear" w:color="auto" w:fill="auto"/>
            <w:vAlign w:val="center"/>
            <w:hideMark/>
          </w:tcPr>
          <w:p w14:paraId="5EA73AB1" w14:textId="77777777" w:rsidR="00931AF7" w:rsidRPr="00DF0E8D" w:rsidRDefault="00931AF7" w:rsidP="00DF0E8D">
            <w:pPr>
              <w:rPr>
                <w:rFonts w:cs="Arial"/>
                <w:color w:val="000000"/>
                <w:sz w:val="22"/>
                <w:szCs w:val="22"/>
                <w:lang w:eastAsia="en-AU"/>
              </w:rPr>
            </w:pPr>
            <w:r w:rsidRPr="00DF0E8D">
              <w:rPr>
                <w:rFonts w:cs="Arial"/>
                <w:color w:val="000000"/>
                <w:sz w:val="22"/>
                <w:szCs w:val="22"/>
                <w:lang w:eastAsia="en-AU"/>
              </w:rPr>
              <w:t>Balance at the end of the year</w:t>
            </w:r>
          </w:p>
        </w:tc>
        <w:tc>
          <w:tcPr>
            <w:tcW w:w="1766" w:type="dxa"/>
            <w:tcBorders>
              <w:top w:val="single" w:sz="12" w:space="0" w:color="auto"/>
              <w:left w:val="nil"/>
              <w:bottom w:val="single" w:sz="12" w:space="0" w:color="auto"/>
              <w:right w:val="nil"/>
            </w:tcBorders>
            <w:shd w:val="clear" w:color="auto" w:fill="BFBFBF" w:themeFill="background1" w:themeFillShade="BF"/>
            <w:vAlign w:val="center"/>
          </w:tcPr>
          <w:p w14:paraId="5EA73AB3" w14:textId="77777777" w:rsidR="00931AF7" w:rsidRPr="00DF0E8D" w:rsidRDefault="00931AF7" w:rsidP="00BC6AED">
            <w:pPr>
              <w:jc w:val="right"/>
              <w:rPr>
                <w:rFonts w:cs="Arial"/>
                <w:color w:val="000000"/>
                <w:sz w:val="22"/>
                <w:szCs w:val="22"/>
                <w:lang w:eastAsia="en-AU"/>
              </w:rPr>
            </w:pPr>
            <w:r>
              <w:rPr>
                <w:rFonts w:cs="Arial"/>
                <w:color w:val="000000"/>
                <w:sz w:val="22"/>
                <w:szCs w:val="22"/>
                <w:lang w:eastAsia="en-AU"/>
              </w:rPr>
              <w:t>26</w:t>
            </w:r>
          </w:p>
        </w:tc>
        <w:tc>
          <w:tcPr>
            <w:tcW w:w="1378" w:type="dxa"/>
            <w:tcBorders>
              <w:top w:val="single" w:sz="12" w:space="0" w:color="auto"/>
              <w:left w:val="nil"/>
              <w:bottom w:val="single" w:sz="12" w:space="0" w:color="auto"/>
              <w:right w:val="nil"/>
            </w:tcBorders>
            <w:shd w:val="clear" w:color="auto" w:fill="auto"/>
            <w:vAlign w:val="center"/>
            <w:hideMark/>
          </w:tcPr>
          <w:p w14:paraId="5EA73AB4" w14:textId="77777777" w:rsidR="00931AF7" w:rsidRPr="00BC6AED" w:rsidRDefault="00931AF7" w:rsidP="00BC6AED">
            <w:pPr>
              <w:jc w:val="right"/>
              <w:rPr>
                <w:rFonts w:cs="Arial"/>
                <w:color w:val="000000"/>
                <w:sz w:val="22"/>
                <w:szCs w:val="22"/>
                <w:lang w:eastAsia="en-AU"/>
              </w:rPr>
            </w:pPr>
            <w:r>
              <w:rPr>
                <w:sz w:val="22"/>
                <w:szCs w:val="22"/>
              </w:rPr>
              <w:t>25</w:t>
            </w:r>
          </w:p>
        </w:tc>
      </w:tr>
    </w:tbl>
    <w:p w14:paraId="5EA73AB6" w14:textId="33DE7489" w:rsidR="00265E4A" w:rsidRDefault="00265E4A" w:rsidP="00CC2230">
      <w:pPr>
        <w:rPr>
          <w:rFonts w:ascii="Times New Roman" w:hAnsi="Times New Roman"/>
          <w:sz w:val="20"/>
          <w:szCs w:val="20"/>
          <w:lang w:eastAsia="en-AU"/>
        </w:rPr>
      </w:pPr>
    </w:p>
    <w:p w14:paraId="798A3461" w14:textId="6AB0DD23" w:rsidR="002C23B2" w:rsidRDefault="002C23B2" w:rsidP="00CC2230">
      <w:pPr>
        <w:rPr>
          <w:rFonts w:cs="Arial"/>
          <w:color w:val="000000"/>
          <w:sz w:val="22"/>
          <w:szCs w:val="22"/>
          <w:u w:val="single"/>
          <w:lang w:eastAsia="en-AU"/>
        </w:rPr>
      </w:pPr>
      <w:r w:rsidRPr="00F70B94">
        <w:rPr>
          <w:rFonts w:cs="Arial"/>
          <w:color w:val="000000"/>
          <w:sz w:val="22"/>
          <w:szCs w:val="22"/>
          <w:u w:val="single"/>
          <w:lang w:eastAsia="en-AU"/>
        </w:rPr>
        <w:t>Ageing of past due but not impaired trade receivables</w:t>
      </w:r>
      <w:r>
        <w:rPr>
          <w:rFonts w:cs="Arial"/>
          <w:color w:val="000000"/>
          <w:sz w:val="22"/>
          <w:szCs w:val="22"/>
          <w:u w:val="single"/>
          <w:lang w:eastAsia="en-AU"/>
        </w:rPr>
        <w:t>:</w:t>
      </w:r>
    </w:p>
    <w:tbl>
      <w:tblPr>
        <w:tblW w:w="8863" w:type="dxa"/>
        <w:tblInd w:w="108" w:type="dxa"/>
        <w:tblLook w:val="04A0" w:firstRow="1" w:lastRow="0" w:firstColumn="1" w:lastColumn="0" w:noHBand="0" w:noVBand="1"/>
      </w:tblPr>
      <w:tblGrid>
        <w:gridCol w:w="5670"/>
        <w:gridCol w:w="1701"/>
        <w:gridCol w:w="1492"/>
      </w:tblGrid>
      <w:tr w:rsidR="002C23B2" w:rsidRPr="00F70B94" w14:paraId="5EA73ACF" w14:textId="77777777" w:rsidTr="003B0341">
        <w:trPr>
          <w:trHeight w:val="197"/>
          <w:tblHeader/>
        </w:trPr>
        <w:tc>
          <w:tcPr>
            <w:tcW w:w="5670" w:type="dxa"/>
            <w:tcBorders>
              <w:top w:val="nil"/>
              <w:left w:val="nil"/>
              <w:bottom w:val="nil"/>
              <w:right w:val="nil"/>
            </w:tcBorders>
            <w:shd w:val="clear" w:color="auto" w:fill="auto"/>
            <w:vAlign w:val="center"/>
            <w:hideMark/>
          </w:tcPr>
          <w:p w14:paraId="5EA73ACB" w14:textId="4767F0B5" w:rsidR="002C23B2" w:rsidRPr="00F70B94" w:rsidRDefault="002C23B2" w:rsidP="002C23B2">
            <w:pPr>
              <w:rPr>
                <w:rFonts w:cs="Arial"/>
                <w:color w:val="000000"/>
                <w:sz w:val="22"/>
                <w:szCs w:val="22"/>
                <w:u w:val="single"/>
                <w:lang w:eastAsia="en-AU"/>
              </w:rPr>
            </w:pPr>
            <w:bookmarkStart w:id="295" w:name="Table_29"/>
            <w:bookmarkEnd w:id="295"/>
          </w:p>
        </w:tc>
        <w:tc>
          <w:tcPr>
            <w:tcW w:w="1701" w:type="dxa"/>
            <w:tcBorders>
              <w:top w:val="nil"/>
              <w:left w:val="nil"/>
              <w:bottom w:val="nil"/>
              <w:right w:val="nil"/>
            </w:tcBorders>
            <w:shd w:val="clear" w:color="000000" w:fill="BFBFBF" w:themeFill="background1" w:themeFillShade="BF"/>
            <w:vAlign w:val="center"/>
            <w:hideMark/>
          </w:tcPr>
          <w:p w14:paraId="5EA73ACD" w14:textId="5D6BD94A" w:rsidR="002C23B2" w:rsidRPr="00F70B94" w:rsidRDefault="002C23B2" w:rsidP="00F70B94">
            <w:pPr>
              <w:jc w:val="right"/>
              <w:rPr>
                <w:rFonts w:cs="Arial"/>
                <w:color w:val="000000"/>
                <w:sz w:val="22"/>
                <w:szCs w:val="22"/>
                <w:lang w:eastAsia="en-AU"/>
              </w:rPr>
            </w:pPr>
            <w:r>
              <w:rPr>
                <w:rFonts w:cs="Arial"/>
                <w:color w:val="000000"/>
                <w:sz w:val="22"/>
                <w:szCs w:val="22"/>
                <w:lang w:eastAsia="en-AU"/>
              </w:rPr>
              <w:t>2015</w:t>
            </w:r>
          </w:p>
        </w:tc>
        <w:tc>
          <w:tcPr>
            <w:tcW w:w="1492" w:type="dxa"/>
            <w:tcBorders>
              <w:top w:val="nil"/>
              <w:left w:val="nil"/>
              <w:bottom w:val="nil"/>
              <w:right w:val="nil"/>
            </w:tcBorders>
            <w:shd w:val="clear" w:color="auto" w:fill="auto"/>
            <w:vAlign w:val="center"/>
            <w:hideMark/>
          </w:tcPr>
          <w:p w14:paraId="5EA73ACE" w14:textId="655F2233" w:rsidR="002C23B2" w:rsidRPr="00BC6AED" w:rsidRDefault="002C23B2" w:rsidP="00F70B94">
            <w:pPr>
              <w:jc w:val="right"/>
              <w:rPr>
                <w:rFonts w:cs="Arial"/>
                <w:color w:val="000000"/>
                <w:sz w:val="22"/>
                <w:szCs w:val="22"/>
                <w:lang w:eastAsia="en-AU"/>
              </w:rPr>
            </w:pPr>
            <w:r>
              <w:rPr>
                <w:sz w:val="22"/>
                <w:szCs w:val="22"/>
              </w:rPr>
              <w:t>2014</w:t>
            </w:r>
          </w:p>
        </w:tc>
      </w:tr>
      <w:tr w:rsidR="002C23B2" w:rsidRPr="00F70B94" w14:paraId="5EA73AD4" w14:textId="77777777" w:rsidTr="002C23B2">
        <w:trPr>
          <w:trHeight w:val="285"/>
        </w:trPr>
        <w:tc>
          <w:tcPr>
            <w:tcW w:w="5670" w:type="dxa"/>
            <w:tcBorders>
              <w:top w:val="nil"/>
              <w:left w:val="nil"/>
              <w:bottom w:val="nil"/>
              <w:right w:val="nil"/>
            </w:tcBorders>
            <w:shd w:val="clear" w:color="auto" w:fill="auto"/>
            <w:vAlign w:val="center"/>
            <w:hideMark/>
          </w:tcPr>
          <w:p w14:paraId="5EA73AD0" w14:textId="69EAC049" w:rsidR="002C23B2" w:rsidRPr="00F70B94" w:rsidRDefault="002C23B2" w:rsidP="00F70B94">
            <w:pPr>
              <w:rPr>
                <w:rFonts w:cs="Arial"/>
                <w:color w:val="000000"/>
                <w:sz w:val="22"/>
                <w:szCs w:val="22"/>
                <w:lang w:eastAsia="en-AU"/>
              </w:rPr>
            </w:pPr>
            <w:r>
              <w:rPr>
                <w:rFonts w:cs="Arial"/>
                <w:color w:val="000000"/>
                <w:sz w:val="22"/>
                <w:szCs w:val="22"/>
                <w:lang w:eastAsia="en-AU"/>
              </w:rPr>
              <w:t>C</w:t>
            </w:r>
            <w:r w:rsidRPr="00F70B94">
              <w:rPr>
                <w:rFonts w:cs="Arial"/>
                <w:color w:val="000000"/>
                <w:sz w:val="22"/>
                <w:szCs w:val="22"/>
                <w:lang w:eastAsia="en-AU"/>
              </w:rPr>
              <w:t>urrent</w:t>
            </w:r>
          </w:p>
        </w:tc>
        <w:tc>
          <w:tcPr>
            <w:tcW w:w="1701" w:type="dxa"/>
            <w:tcBorders>
              <w:top w:val="nil"/>
              <w:left w:val="nil"/>
              <w:bottom w:val="nil"/>
              <w:right w:val="nil"/>
            </w:tcBorders>
            <w:shd w:val="clear" w:color="000000" w:fill="BFBFBF" w:themeFill="background1" w:themeFillShade="BF"/>
            <w:vAlign w:val="center"/>
          </w:tcPr>
          <w:p w14:paraId="5EA73AD2" w14:textId="77777777" w:rsidR="002C23B2" w:rsidRPr="00F70B94" w:rsidRDefault="002C23B2" w:rsidP="00F1411E">
            <w:pPr>
              <w:jc w:val="right"/>
              <w:rPr>
                <w:rFonts w:cs="Arial"/>
                <w:color w:val="000000"/>
                <w:sz w:val="22"/>
                <w:szCs w:val="22"/>
                <w:lang w:eastAsia="en-AU"/>
              </w:rPr>
            </w:pPr>
            <w:r>
              <w:rPr>
                <w:rFonts w:cs="Arial"/>
                <w:color w:val="000000"/>
                <w:sz w:val="22"/>
                <w:szCs w:val="22"/>
                <w:lang w:eastAsia="en-AU"/>
              </w:rPr>
              <w:t>723</w:t>
            </w:r>
          </w:p>
        </w:tc>
        <w:tc>
          <w:tcPr>
            <w:tcW w:w="1492" w:type="dxa"/>
            <w:tcBorders>
              <w:top w:val="nil"/>
              <w:left w:val="nil"/>
              <w:bottom w:val="nil"/>
              <w:right w:val="nil"/>
            </w:tcBorders>
            <w:shd w:val="clear" w:color="auto" w:fill="auto"/>
            <w:vAlign w:val="center"/>
            <w:hideMark/>
          </w:tcPr>
          <w:p w14:paraId="5EA73AD3" w14:textId="77777777" w:rsidR="002C23B2" w:rsidRPr="00BC6AED" w:rsidRDefault="002C23B2" w:rsidP="00BC6AED">
            <w:pPr>
              <w:jc w:val="right"/>
              <w:rPr>
                <w:rFonts w:cs="Arial"/>
                <w:color w:val="000000"/>
                <w:sz w:val="22"/>
                <w:szCs w:val="22"/>
                <w:lang w:eastAsia="en-AU"/>
              </w:rPr>
            </w:pPr>
            <w:r w:rsidRPr="00BC6AED">
              <w:rPr>
                <w:sz w:val="22"/>
                <w:szCs w:val="22"/>
              </w:rPr>
              <w:t>939</w:t>
            </w:r>
          </w:p>
        </w:tc>
      </w:tr>
      <w:tr w:rsidR="002C23B2" w:rsidRPr="00F70B94" w14:paraId="5EA73AD9" w14:textId="77777777" w:rsidTr="002C23B2">
        <w:trPr>
          <w:trHeight w:val="285"/>
        </w:trPr>
        <w:tc>
          <w:tcPr>
            <w:tcW w:w="5670" w:type="dxa"/>
            <w:tcBorders>
              <w:top w:val="nil"/>
              <w:left w:val="nil"/>
              <w:bottom w:val="nil"/>
              <w:right w:val="nil"/>
            </w:tcBorders>
            <w:shd w:val="clear" w:color="auto" w:fill="auto"/>
            <w:vAlign w:val="center"/>
            <w:hideMark/>
          </w:tcPr>
          <w:p w14:paraId="5EA73AD5" w14:textId="77777777" w:rsidR="002C23B2" w:rsidRPr="00F70B94" w:rsidRDefault="002C23B2" w:rsidP="00F70B94">
            <w:pPr>
              <w:rPr>
                <w:rFonts w:cs="Arial"/>
                <w:color w:val="000000"/>
                <w:sz w:val="22"/>
                <w:szCs w:val="22"/>
                <w:lang w:eastAsia="en-AU"/>
              </w:rPr>
            </w:pPr>
            <w:r w:rsidRPr="00F70B94">
              <w:rPr>
                <w:rFonts w:cs="Arial"/>
                <w:color w:val="000000"/>
                <w:sz w:val="22"/>
                <w:szCs w:val="22"/>
                <w:lang w:eastAsia="en-AU"/>
              </w:rPr>
              <w:t>30-60 days</w:t>
            </w:r>
          </w:p>
        </w:tc>
        <w:tc>
          <w:tcPr>
            <w:tcW w:w="1701" w:type="dxa"/>
            <w:tcBorders>
              <w:top w:val="nil"/>
              <w:left w:val="nil"/>
              <w:bottom w:val="nil"/>
              <w:right w:val="nil"/>
            </w:tcBorders>
            <w:shd w:val="clear" w:color="000000" w:fill="BFBFBF" w:themeFill="background1" w:themeFillShade="BF"/>
            <w:vAlign w:val="center"/>
          </w:tcPr>
          <w:p w14:paraId="5EA73AD7" w14:textId="77777777" w:rsidR="002C23B2" w:rsidRPr="00F70B94" w:rsidRDefault="002C23B2" w:rsidP="00BC6AED">
            <w:pPr>
              <w:jc w:val="right"/>
              <w:rPr>
                <w:rFonts w:cs="Arial"/>
                <w:color w:val="000000"/>
                <w:sz w:val="22"/>
                <w:szCs w:val="22"/>
                <w:lang w:eastAsia="en-AU"/>
              </w:rPr>
            </w:pPr>
            <w:r>
              <w:rPr>
                <w:rFonts w:cs="Arial"/>
                <w:color w:val="000000"/>
                <w:sz w:val="22"/>
                <w:szCs w:val="22"/>
                <w:lang w:eastAsia="en-AU"/>
              </w:rPr>
              <w:t>235</w:t>
            </w:r>
          </w:p>
        </w:tc>
        <w:tc>
          <w:tcPr>
            <w:tcW w:w="1492" w:type="dxa"/>
            <w:tcBorders>
              <w:top w:val="nil"/>
              <w:left w:val="nil"/>
              <w:bottom w:val="nil"/>
              <w:right w:val="nil"/>
            </w:tcBorders>
            <w:shd w:val="clear" w:color="auto" w:fill="auto"/>
            <w:vAlign w:val="center"/>
            <w:hideMark/>
          </w:tcPr>
          <w:p w14:paraId="5EA73AD8" w14:textId="77777777" w:rsidR="002C23B2" w:rsidRPr="00BC6AED" w:rsidRDefault="002C23B2" w:rsidP="00BC6AED">
            <w:pPr>
              <w:jc w:val="right"/>
              <w:rPr>
                <w:rFonts w:cs="Arial"/>
                <w:color w:val="000000"/>
                <w:sz w:val="22"/>
                <w:szCs w:val="22"/>
                <w:lang w:eastAsia="en-AU"/>
              </w:rPr>
            </w:pPr>
            <w:r w:rsidRPr="00BC6AED">
              <w:rPr>
                <w:sz w:val="22"/>
                <w:szCs w:val="22"/>
              </w:rPr>
              <w:t>113</w:t>
            </w:r>
          </w:p>
        </w:tc>
      </w:tr>
      <w:tr w:rsidR="002C23B2" w:rsidRPr="00F70B94" w14:paraId="5EA73ADE" w14:textId="77777777" w:rsidTr="002C23B2">
        <w:trPr>
          <w:trHeight w:val="285"/>
        </w:trPr>
        <w:tc>
          <w:tcPr>
            <w:tcW w:w="5670" w:type="dxa"/>
            <w:tcBorders>
              <w:top w:val="nil"/>
              <w:left w:val="nil"/>
              <w:bottom w:val="nil"/>
              <w:right w:val="nil"/>
            </w:tcBorders>
            <w:shd w:val="clear" w:color="auto" w:fill="auto"/>
            <w:vAlign w:val="center"/>
            <w:hideMark/>
          </w:tcPr>
          <w:p w14:paraId="5EA73ADA" w14:textId="77777777" w:rsidR="002C23B2" w:rsidRPr="00F70B94" w:rsidRDefault="002C23B2" w:rsidP="00F70B94">
            <w:pPr>
              <w:rPr>
                <w:rFonts w:cs="Arial"/>
                <w:color w:val="000000"/>
                <w:sz w:val="22"/>
                <w:szCs w:val="22"/>
                <w:lang w:eastAsia="en-AU"/>
              </w:rPr>
            </w:pPr>
            <w:r w:rsidRPr="00F70B94">
              <w:rPr>
                <w:rFonts w:cs="Arial"/>
                <w:color w:val="000000"/>
                <w:sz w:val="22"/>
                <w:szCs w:val="22"/>
                <w:lang w:eastAsia="en-AU"/>
              </w:rPr>
              <w:t>60-90 days</w:t>
            </w:r>
          </w:p>
        </w:tc>
        <w:tc>
          <w:tcPr>
            <w:tcW w:w="1701" w:type="dxa"/>
            <w:tcBorders>
              <w:top w:val="nil"/>
              <w:left w:val="nil"/>
              <w:bottom w:val="nil"/>
              <w:right w:val="nil"/>
            </w:tcBorders>
            <w:shd w:val="clear" w:color="000000" w:fill="BFBFBF" w:themeFill="background1" w:themeFillShade="BF"/>
            <w:vAlign w:val="center"/>
          </w:tcPr>
          <w:p w14:paraId="5EA73ADC" w14:textId="77777777" w:rsidR="002C23B2" w:rsidRPr="00F70B94" w:rsidRDefault="002C23B2" w:rsidP="00BC6AED">
            <w:pPr>
              <w:jc w:val="right"/>
              <w:rPr>
                <w:rFonts w:cs="Arial"/>
                <w:color w:val="000000"/>
                <w:sz w:val="22"/>
                <w:szCs w:val="22"/>
                <w:lang w:eastAsia="en-AU"/>
              </w:rPr>
            </w:pPr>
            <w:r>
              <w:rPr>
                <w:rFonts w:cs="Arial"/>
                <w:color w:val="000000"/>
                <w:sz w:val="22"/>
                <w:szCs w:val="22"/>
                <w:lang w:eastAsia="en-AU"/>
              </w:rPr>
              <w:t>61</w:t>
            </w:r>
          </w:p>
        </w:tc>
        <w:tc>
          <w:tcPr>
            <w:tcW w:w="1492" w:type="dxa"/>
            <w:tcBorders>
              <w:top w:val="nil"/>
              <w:left w:val="nil"/>
              <w:bottom w:val="nil"/>
              <w:right w:val="nil"/>
            </w:tcBorders>
            <w:shd w:val="clear" w:color="auto" w:fill="auto"/>
            <w:vAlign w:val="center"/>
            <w:hideMark/>
          </w:tcPr>
          <w:p w14:paraId="5EA73ADD" w14:textId="77777777" w:rsidR="002C23B2" w:rsidRPr="00BC6AED" w:rsidRDefault="002C23B2" w:rsidP="00BC6AED">
            <w:pPr>
              <w:jc w:val="right"/>
              <w:rPr>
                <w:rFonts w:cs="Arial"/>
                <w:color w:val="000000"/>
                <w:sz w:val="22"/>
                <w:szCs w:val="22"/>
                <w:lang w:eastAsia="en-AU"/>
              </w:rPr>
            </w:pPr>
            <w:r w:rsidRPr="00BC6AED">
              <w:rPr>
                <w:sz w:val="22"/>
                <w:szCs w:val="22"/>
              </w:rPr>
              <w:t>76</w:t>
            </w:r>
          </w:p>
        </w:tc>
      </w:tr>
      <w:tr w:rsidR="002C23B2" w:rsidRPr="00F70B94" w14:paraId="5EA73AE3" w14:textId="77777777" w:rsidTr="002C23B2">
        <w:trPr>
          <w:trHeight w:val="300"/>
        </w:trPr>
        <w:tc>
          <w:tcPr>
            <w:tcW w:w="5670" w:type="dxa"/>
            <w:tcBorders>
              <w:top w:val="nil"/>
              <w:left w:val="nil"/>
              <w:bottom w:val="nil"/>
              <w:right w:val="nil"/>
            </w:tcBorders>
            <w:shd w:val="clear" w:color="auto" w:fill="auto"/>
            <w:vAlign w:val="center"/>
            <w:hideMark/>
          </w:tcPr>
          <w:p w14:paraId="5EA73ADF" w14:textId="77777777" w:rsidR="002C23B2" w:rsidRPr="00F70B94" w:rsidRDefault="002C23B2" w:rsidP="00F70B94">
            <w:pPr>
              <w:rPr>
                <w:rFonts w:cs="Arial"/>
                <w:color w:val="000000"/>
                <w:sz w:val="22"/>
                <w:szCs w:val="22"/>
                <w:lang w:eastAsia="en-AU"/>
              </w:rPr>
            </w:pPr>
            <w:r w:rsidRPr="00F70B94">
              <w:rPr>
                <w:rFonts w:cs="Arial"/>
                <w:color w:val="000000"/>
                <w:sz w:val="22"/>
                <w:szCs w:val="22"/>
                <w:lang w:eastAsia="en-AU"/>
              </w:rPr>
              <w:t>90+ days</w:t>
            </w:r>
          </w:p>
        </w:tc>
        <w:tc>
          <w:tcPr>
            <w:tcW w:w="1701" w:type="dxa"/>
            <w:tcBorders>
              <w:top w:val="nil"/>
              <w:left w:val="nil"/>
              <w:bottom w:val="nil"/>
              <w:right w:val="nil"/>
            </w:tcBorders>
            <w:shd w:val="clear" w:color="000000" w:fill="BFBFBF" w:themeFill="background1" w:themeFillShade="BF"/>
            <w:vAlign w:val="center"/>
          </w:tcPr>
          <w:p w14:paraId="5EA73AE1" w14:textId="77777777" w:rsidR="002C23B2" w:rsidRPr="00F70B94" w:rsidRDefault="002C23B2" w:rsidP="00BC6AED">
            <w:pPr>
              <w:jc w:val="right"/>
              <w:rPr>
                <w:rFonts w:cs="Arial"/>
                <w:color w:val="000000"/>
                <w:sz w:val="22"/>
                <w:szCs w:val="22"/>
                <w:lang w:eastAsia="en-AU"/>
              </w:rPr>
            </w:pPr>
            <w:r>
              <w:rPr>
                <w:rFonts w:cs="Arial"/>
                <w:color w:val="000000"/>
                <w:sz w:val="22"/>
                <w:szCs w:val="22"/>
                <w:lang w:eastAsia="en-AU"/>
              </w:rPr>
              <w:t>189</w:t>
            </w:r>
          </w:p>
        </w:tc>
        <w:tc>
          <w:tcPr>
            <w:tcW w:w="1492" w:type="dxa"/>
            <w:tcBorders>
              <w:top w:val="nil"/>
              <w:left w:val="nil"/>
              <w:bottom w:val="nil"/>
              <w:right w:val="nil"/>
            </w:tcBorders>
            <w:shd w:val="clear" w:color="auto" w:fill="auto"/>
            <w:vAlign w:val="center"/>
            <w:hideMark/>
          </w:tcPr>
          <w:p w14:paraId="5EA73AE2" w14:textId="77777777" w:rsidR="002C23B2" w:rsidRPr="00BC6AED" w:rsidRDefault="002C23B2" w:rsidP="00BC6AED">
            <w:pPr>
              <w:jc w:val="right"/>
              <w:rPr>
                <w:rFonts w:cs="Arial"/>
                <w:color w:val="000000"/>
                <w:sz w:val="22"/>
                <w:szCs w:val="22"/>
                <w:lang w:eastAsia="en-AU"/>
              </w:rPr>
            </w:pPr>
            <w:r w:rsidRPr="00BC6AED">
              <w:rPr>
                <w:sz w:val="22"/>
                <w:szCs w:val="22"/>
              </w:rPr>
              <w:t>190</w:t>
            </w:r>
          </w:p>
        </w:tc>
      </w:tr>
      <w:tr w:rsidR="002C23B2" w:rsidRPr="00F70B94" w14:paraId="5EA73AE8" w14:textId="77777777" w:rsidTr="002C23B2">
        <w:trPr>
          <w:trHeight w:val="315"/>
        </w:trPr>
        <w:tc>
          <w:tcPr>
            <w:tcW w:w="5670" w:type="dxa"/>
            <w:tcBorders>
              <w:top w:val="nil"/>
              <w:left w:val="nil"/>
              <w:bottom w:val="nil"/>
              <w:right w:val="nil"/>
            </w:tcBorders>
            <w:shd w:val="clear" w:color="auto" w:fill="auto"/>
            <w:vAlign w:val="center"/>
            <w:hideMark/>
          </w:tcPr>
          <w:p w14:paraId="5EA73AE4" w14:textId="6DDF8F9A" w:rsidR="002C23B2" w:rsidRPr="00F70B94" w:rsidRDefault="002C23B2" w:rsidP="00F70B94">
            <w:pPr>
              <w:rPr>
                <w:rFonts w:cs="Arial"/>
                <w:color w:val="000000"/>
                <w:sz w:val="22"/>
                <w:szCs w:val="22"/>
                <w:lang w:eastAsia="en-AU"/>
              </w:rPr>
            </w:pPr>
            <w:r>
              <w:rPr>
                <w:rFonts w:cs="Arial"/>
                <w:color w:val="000000"/>
                <w:sz w:val="22"/>
                <w:szCs w:val="22"/>
                <w:lang w:eastAsia="en-AU"/>
              </w:rPr>
              <w:t>Total</w:t>
            </w:r>
          </w:p>
        </w:tc>
        <w:tc>
          <w:tcPr>
            <w:tcW w:w="1701" w:type="dxa"/>
            <w:tcBorders>
              <w:top w:val="single" w:sz="12" w:space="0" w:color="auto"/>
              <w:left w:val="nil"/>
              <w:bottom w:val="single" w:sz="12" w:space="0" w:color="auto"/>
              <w:right w:val="nil"/>
            </w:tcBorders>
            <w:shd w:val="clear" w:color="000000" w:fill="BFBFBF" w:themeFill="background1" w:themeFillShade="BF"/>
            <w:vAlign w:val="center"/>
          </w:tcPr>
          <w:p w14:paraId="5EA73AE6" w14:textId="77777777" w:rsidR="002C23B2" w:rsidRPr="00F70B94" w:rsidRDefault="002C23B2" w:rsidP="00080CB2">
            <w:pPr>
              <w:jc w:val="right"/>
              <w:rPr>
                <w:rFonts w:cs="Arial"/>
                <w:color w:val="000000"/>
                <w:sz w:val="22"/>
                <w:szCs w:val="22"/>
                <w:lang w:eastAsia="en-AU"/>
              </w:rPr>
            </w:pPr>
            <w:r>
              <w:rPr>
                <w:rFonts w:cs="Arial"/>
                <w:color w:val="000000"/>
                <w:sz w:val="22"/>
                <w:szCs w:val="22"/>
                <w:lang w:eastAsia="en-AU"/>
              </w:rPr>
              <w:t>1,208</w:t>
            </w:r>
          </w:p>
        </w:tc>
        <w:tc>
          <w:tcPr>
            <w:tcW w:w="1492" w:type="dxa"/>
            <w:tcBorders>
              <w:top w:val="single" w:sz="12" w:space="0" w:color="auto"/>
              <w:left w:val="nil"/>
              <w:bottom w:val="single" w:sz="12" w:space="0" w:color="auto"/>
              <w:right w:val="nil"/>
            </w:tcBorders>
            <w:shd w:val="clear" w:color="auto" w:fill="auto"/>
            <w:vAlign w:val="center"/>
            <w:hideMark/>
          </w:tcPr>
          <w:p w14:paraId="5EA73AE7" w14:textId="77777777" w:rsidR="002C23B2" w:rsidRPr="00BC6AED" w:rsidRDefault="002C23B2" w:rsidP="00BC6AED">
            <w:pPr>
              <w:jc w:val="right"/>
              <w:rPr>
                <w:rFonts w:cs="Arial"/>
                <w:color w:val="000000"/>
                <w:sz w:val="22"/>
                <w:szCs w:val="22"/>
                <w:lang w:eastAsia="en-AU"/>
              </w:rPr>
            </w:pPr>
            <w:r w:rsidRPr="00BC6AED">
              <w:rPr>
                <w:sz w:val="22"/>
                <w:szCs w:val="22"/>
              </w:rPr>
              <w:t>1,318</w:t>
            </w:r>
          </w:p>
        </w:tc>
      </w:tr>
    </w:tbl>
    <w:p w14:paraId="3494F40B" w14:textId="77777777" w:rsidR="002C23B2" w:rsidRDefault="002C23B2"/>
    <w:p w14:paraId="608AD60A" w14:textId="5CEC2381" w:rsidR="002C23B2" w:rsidRDefault="002C23B2">
      <w:r w:rsidRPr="00F70B94">
        <w:rPr>
          <w:rFonts w:cs="Arial"/>
          <w:color w:val="000000"/>
          <w:sz w:val="22"/>
          <w:szCs w:val="22"/>
          <w:u w:val="single"/>
          <w:lang w:eastAsia="en-AU"/>
        </w:rPr>
        <w:t>Ageing of</w:t>
      </w:r>
      <w:r>
        <w:rPr>
          <w:rFonts w:cs="Arial"/>
          <w:color w:val="000000"/>
          <w:sz w:val="22"/>
          <w:szCs w:val="22"/>
          <w:u w:val="single"/>
          <w:lang w:eastAsia="en-AU"/>
        </w:rPr>
        <w:t xml:space="preserve"> past due and</w:t>
      </w:r>
      <w:r w:rsidRPr="00F70B94">
        <w:rPr>
          <w:rFonts w:cs="Arial"/>
          <w:color w:val="000000"/>
          <w:sz w:val="22"/>
          <w:szCs w:val="22"/>
          <w:u w:val="single"/>
          <w:lang w:eastAsia="en-AU"/>
        </w:rPr>
        <w:t xml:space="preserve"> impaired trade receivables</w:t>
      </w:r>
      <w:r>
        <w:rPr>
          <w:rFonts w:cs="Arial"/>
          <w:color w:val="000000"/>
          <w:sz w:val="22"/>
          <w:szCs w:val="22"/>
          <w:u w:val="single"/>
          <w:lang w:eastAsia="en-AU"/>
        </w:rPr>
        <w:t>:</w:t>
      </w:r>
    </w:p>
    <w:tbl>
      <w:tblPr>
        <w:tblW w:w="8863" w:type="dxa"/>
        <w:tblInd w:w="108" w:type="dxa"/>
        <w:tblLook w:val="04A0" w:firstRow="1" w:lastRow="0" w:firstColumn="1" w:lastColumn="0" w:noHBand="0" w:noVBand="1"/>
      </w:tblPr>
      <w:tblGrid>
        <w:gridCol w:w="5670"/>
        <w:gridCol w:w="1701"/>
        <w:gridCol w:w="1492"/>
      </w:tblGrid>
      <w:tr w:rsidR="002C23B2" w:rsidRPr="00F70B94" w14:paraId="5EA73AED" w14:textId="77777777" w:rsidTr="003B0341">
        <w:trPr>
          <w:trHeight w:val="300"/>
          <w:tblHeader/>
        </w:trPr>
        <w:tc>
          <w:tcPr>
            <w:tcW w:w="5670" w:type="dxa"/>
            <w:tcBorders>
              <w:top w:val="nil"/>
              <w:left w:val="nil"/>
              <w:bottom w:val="nil"/>
              <w:right w:val="nil"/>
            </w:tcBorders>
            <w:shd w:val="clear" w:color="auto" w:fill="auto"/>
            <w:vAlign w:val="center"/>
            <w:hideMark/>
          </w:tcPr>
          <w:p w14:paraId="5EA73AE9" w14:textId="7168E7A0" w:rsidR="002C23B2" w:rsidRPr="00F70B94" w:rsidRDefault="002C23B2">
            <w:pPr>
              <w:rPr>
                <w:rFonts w:cs="Arial"/>
                <w:color w:val="000000"/>
                <w:sz w:val="22"/>
                <w:szCs w:val="22"/>
                <w:u w:val="single"/>
                <w:lang w:eastAsia="en-AU"/>
              </w:rPr>
            </w:pPr>
            <w:bookmarkStart w:id="296" w:name="Table_30"/>
            <w:bookmarkEnd w:id="296"/>
          </w:p>
        </w:tc>
        <w:tc>
          <w:tcPr>
            <w:tcW w:w="1701" w:type="dxa"/>
            <w:tcBorders>
              <w:top w:val="nil"/>
              <w:left w:val="nil"/>
              <w:bottom w:val="nil"/>
              <w:right w:val="nil"/>
            </w:tcBorders>
            <w:shd w:val="clear" w:color="000000" w:fill="BFBFBF" w:themeFill="background1" w:themeFillShade="BF"/>
            <w:vAlign w:val="center"/>
          </w:tcPr>
          <w:p w14:paraId="5EA73AEB" w14:textId="6D7B4E18" w:rsidR="002C23B2" w:rsidRPr="00F70B94" w:rsidRDefault="002C23B2" w:rsidP="00BC6AED">
            <w:pPr>
              <w:jc w:val="right"/>
              <w:rPr>
                <w:rFonts w:cs="Arial"/>
                <w:color w:val="000000"/>
                <w:sz w:val="22"/>
                <w:szCs w:val="22"/>
                <w:lang w:eastAsia="en-AU"/>
              </w:rPr>
            </w:pPr>
            <w:r>
              <w:rPr>
                <w:rFonts w:cs="Arial"/>
                <w:color w:val="000000"/>
                <w:sz w:val="22"/>
                <w:szCs w:val="22"/>
                <w:lang w:eastAsia="en-AU"/>
              </w:rPr>
              <w:t>2015</w:t>
            </w:r>
          </w:p>
        </w:tc>
        <w:tc>
          <w:tcPr>
            <w:tcW w:w="1492" w:type="dxa"/>
            <w:tcBorders>
              <w:top w:val="nil"/>
              <w:left w:val="nil"/>
              <w:bottom w:val="nil"/>
              <w:right w:val="nil"/>
            </w:tcBorders>
            <w:shd w:val="clear" w:color="auto" w:fill="auto"/>
            <w:vAlign w:val="center"/>
            <w:hideMark/>
          </w:tcPr>
          <w:p w14:paraId="5EA73AEC" w14:textId="14538655" w:rsidR="002C23B2" w:rsidRPr="00BC6AED" w:rsidRDefault="002C23B2" w:rsidP="00BC6AED">
            <w:pPr>
              <w:jc w:val="right"/>
              <w:rPr>
                <w:rFonts w:cs="Arial"/>
                <w:color w:val="000000"/>
                <w:sz w:val="22"/>
                <w:szCs w:val="22"/>
                <w:lang w:eastAsia="en-AU"/>
              </w:rPr>
            </w:pPr>
            <w:r>
              <w:rPr>
                <w:sz w:val="22"/>
                <w:szCs w:val="22"/>
              </w:rPr>
              <w:t>2014</w:t>
            </w:r>
          </w:p>
        </w:tc>
      </w:tr>
      <w:tr w:rsidR="002C23B2" w:rsidRPr="00F70B94" w14:paraId="5EA73AF2" w14:textId="77777777" w:rsidTr="002C23B2">
        <w:trPr>
          <w:trHeight w:val="285"/>
        </w:trPr>
        <w:tc>
          <w:tcPr>
            <w:tcW w:w="5670" w:type="dxa"/>
            <w:tcBorders>
              <w:top w:val="nil"/>
              <w:left w:val="nil"/>
              <w:bottom w:val="nil"/>
              <w:right w:val="nil"/>
            </w:tcBorders>
            <w:shd w:val="clear" w:color="auto" w:fill="auto"/>
            <w:vAlign w:val="center"/>
            <w:hideMark/>
          </w:tcPr>
          <w:p w14:paraId="5EA73AEE" w14:textId="77777777" w:rsidR="002C23B2" w:rsidRPr="00F70B94" w:rsidRDefault="002C23B2" w:rsidP="00F70B94">
            <w:pPr>
              <w:rPr>
                <w:rFonts w:cs="Arial"/>
                <w:color w:val="000000"/>
                <w:sz w:val="22"/>
                <w:szCs w:val="22"/>
                <w:lang w:eastAsia="en-AU"/>
              </w:rPr>
            </w:pPr>
            <w:r w:rsidRPr="00F70B94">
              <w:rPr>
                <w:rFonts w:cs="Arial"/>
                <w:color w:val="000000"/>
                <w:sz w:val="22"/>
                <w:szCs w:val="22"/>
                <w:lang w:eastAsia="en-AU"/>
              </w:rPr>
              <w:t>60-90 days</w:t>
            </w:r>
          </w:p>
        </w:tc>
        <w:tc>
          <w:tcPr>
            <w:tcW w:w="1701" w:type="dxa"/>
            <w:tcBorders>
              <w:top w:val="nil"/>
              <w:left w:val="nil"/>
              <w:bottom w:val="nil"/>
              <w:right w:val="nil"/>
            </w:tcBorders>
            <w:shd w:val="clear" w:color="000000" w:fill="BFBFBF" w:themeFill="background1" w:themeFillShade="BF"/>
            <w:vAlign w:val="center"/>
          </w:tcPr>
          <w:p w14:paraId="5EA73AF0" w14:textId="56181C99" w:rsidR="002C23B2" w:rsidRPr="00F70B94" w:rsidRDefault="002C23B2" w:rsidP="00BC6AED">
            <w:pPr>
              <w:jc w:val="right"/>
              <w:rPr>
                <w:rFonts w:cs="Arial"/>
                <w:color w:val="000000"/>
                <w:sz w:val="22"/>
                <w:szCs w:val="22"/>
                <w:lang w:eastAsia="en-AU"/>
              </w:rPr>
            </w:pPr>
            <w:r>
              <w:rPr>
                <w:rFonts w:cs="Arial"/>
                <w:color w:val="000000"/>
                <w:sz w:val="22"/>
                <w:szCs w:val="22"/>
                <w:lang w:eastAsia="en-AU"/>
              </w:rPr>
              <w:t>0</w:t>
            </w:r>
          </w:p>
        </w:tc>
        <w:tc>
          <w:tcPr>
            <w:tcW w:w="1492" w:type="dxa"/>
            <w:tcBorders>
              <w:top w:val="nil"/>
              <w:left w:val="nil"/>
              <w:bottom w:val="nil"/>
              <w:right w:val="nil"/>
            </w:tcBorders>
            <w:shd w:val="clear" w:color="auto" w:fill="auto"/>
            <w:vAlign w:val="center"/>
            <w:hideMark/>
          </w:tcPr>
          <w:p w14:paraId="5EA73AF1" w14:textId="5716A561" w:rsidR="002C23B2" w:rsidRPr="00BC6AED" w:rsidRDefault="002C23B2" w:rsidP="00BC6AED">
            <w:pPr>
              <w:jc w:val="right"/>
              <w:rPr>
                <w:rFonts w:cs="Arial"/>
                <w:color w:val="000000"/>
                <w:sz w:val="22"/>
                <w:szCs w:val="22"/>
                <w:lang w:eastAsia="en-AU"/>
              </w:rPr>
            </w:pPr>
            <w:r>
              <w:rPr>
                <w:rFonts w:cs="Arial"/>
                <w:color w:val="000000"/>
                <w:sz w:val="22"/>
                <w:szCs w:val="22"/>
                <w:lang w:eastAsia="en-AU"/>
              </w:rPr>
              <w:t>0</w:t>
            </w:r>
          </w:p>
        </w:tc>
      </w:tr>
      <w:tr w:rsidR="002C23B2" w:rsidRPr="00F70B94" w14:paraId="5EA73AF7" w14:textId="77777777" w:rsidTr="002C23B2">
        <w:trPr>
          <w:trHeight w:val="300"/>
        </w:trPr>
        <w:tc>
          <w:tcPr>
            <w:tcW w:w="5670" w:type="dxa"/>
            <w:tcBorders>
              <w:top w:val="nil"/>
              <w:left w:val="nil"/>
              <w:bottom w:val="nil"/>
              <w:right w:val="nil"/>
            </w:tcBorders>
            <w:shd w:val="clear" w:color="auto" w:fill="auto"/>
            <w:vAlign w:val="center"/>
            <w:hideMark/>
          </w:tcPr>
          <w:p w14:paraId="5EA73AF3" w14:textId="77777777" w:rsidR="002C23B2" w:rsidRPr="00F70B94" w:rsidRDefault="002C23B2" w:rsidP="00F70B94">
            <w:pPr>
              <w:rPr>
                <w:rFonts w:cs="Arial"/>
                <w:color w:val="000000"/>
                <w:sz w:val="22"/>
                <w:szCs w:val="22"/>
                <w:lang w:eastAsia="en-AU"/>
              </w:rPr>
            </w:pPr>
            <w:r w:rsidRPr="00F70B94">
              <w:rPr>
                <w:rFonts w:cs="Arial"/>
                <w:color w:val="000000"/>
                <w:sz w:val="22"/>
                <w:szCs w:val="22"/>
                <w:lang w:eastAsia="en-AU"/>
              </w:rPr>
              <w:t>90+ days</w:t>
            </w:r>
          </w:p>
        </w:tc>
        <w:tc>
          <w:tcPr>
            <w:tcW w:w="1701" w:type="dxa"/>
            <w:tcBorders>
              <w:top w:val="nil"/>
              <w:left w:val="nil"/>
              <w:bottom w:val="single" w:sz="8" w:space="0" w:color="auto"/>
              <w:right w:val="nil"/>
            </w:tcBorders>
            <w:shd w:val="clear" w:color="000000" w:fill="BFBFBF" w:themeFill="background1" w:themeFillShade="BF"/>
            <w:vAlign w:val="center"/>
          </w:tcPr>
          <w:p w14:paraId="5EA73AF5" w14:textId="77777777" w:rsidR="002C23B2" w:rsidRPr="00F70B94" w:rsidRDefault="002C23B2" w:rsidP="00BC6AED">
            <w:pPr>
              <w:jc w:val="right"/>
              <w:rPr>
                <w:rFonts w:cs="Arial"/>
                <w:color w:val="000000"/>
                <w:sz w:val="22"/>
                <w:szCs w:val="22"/>
                <w:lang w:eastAsia="en-AU"/>
              </w:rPr>
            </w:pPr>
            <w:r>
              <w:rPr>
                <w:rFonts w:cs="Arial"/>
                <w:color w:val="000000"/>
                <w:sz w:val="22"/>
                <w:szCs w:val="22"/>
                <w:lang w:eastAsia="en-AU"/>
              </w:rPr>
              <w:t>26</w:t>
            </w:r>
          </w:p>
        </w:tc>
        <w:tc>
          <w:tcPr>
            <w:tcW w:w="1492" w:type="dxa"/>
            <w:tcBorders>
              <w:top w:val="nil"/>
              <w:left w:val="nil"/>
              <w:bottom w:val="single" w:sz="8" w:space="0" w:color="auto"/>
              <w:right w:val="nil"/>
            </w:tcBorders>
            <w:shd w:val="clear" w:color="auto" w:fill="auto"/>
            <w:vAlign w:val="center"/>
            <w:hideMark/>
          </w:tcPr>
          <w:p w14:paraId="5EA73AF6" w14:textId="77777777" w:rsidR="002C23B2" w:rsidRPr="00BC6AED" w:rsidRDefault="002C23B2" w:rsidP="00BC6AED">
            <w:pPr>
              <w:jc w:val="right"/>
              <w:rPr>
                <w:rFonts w:cs="Arial"/>
                <w:color w:val="000000"/>
                <w:sz w:val="22"/>
                <w:szCs w:val="22"/>
                <w:lang w:eastAsia="en-AU"/>
              </w:rPr>
            </w:pPr>
            <w:r w:rsidRPr="00BC6AED">
              <w:rPr>
                <w:sz w:val="22"/>
                <w:szCs w:val="22"/>
              </w:rPr>
              <w:t>25</w:t>
            </w:r>
          </w:p>
        </w:tc>
      </w:tr>
      <w:tr w:rsidR="002C23B2" w:rsidRPr="00F70B94" w14:paraId="5EA73AFC" w14:textId="77777777" w:rsidTr="002C23B2">
        <w:trPr>
          <w:trHeight w:val="315"/>
        </w:trPr>
        <w:tc>
          <w:tcPr>
            <w:tcW w:w="5670" w:type="dxa"/>
            <w:tcBorders>
              <w:top w:val="nil"/>
              <w:left w:val="nil"/>
              <w:bottom w:val="nil"/>
              <w:right w:val="nil"/>
            </w:tcBorders>
            <w:shd w:val="clear" w:color="auto" w:fill="auto"/>
            <w:vAlign w:val="center"/>
            <w:hideMark/>
          </w:tcPr>
          <w:p w14:paraId="5EA73AF8" w14:textId="1AD34EAF" w:rsidR="002C23B2" w:rsidRPr="00F70B94" w:rsidRDefault="002C23B2" w:rsidP="00F70B94">
            <w:pPr>
              <w:rPr>
                <w:rFonts w:cs="Arial"/>
                <w:color w:val="000000"/>
                <w:sz w:val="22"/>
                <w:szCs w:val="22"/>
                <w:lang w:eastAsia="en-AU"/>
              </w:rPr>
            </w:pPr>
            <w:r>
              <w:rPr>
                <w:rFonts w:cs="Arial"/>
                <w:color w:val="000000"/>
                <w:sz w:val="22"/>
                <w:szCs w:val="22"/>
                <w:lang w:eastAsia="en-AU"/>
              </w:rPr>
              <w:t>Total</w:t>
            </w:r>
          </w:p>
        </w:tc>
        <w:tc>
          <w:tcPr>
            <w:tcW w:w="1701" w:type="dxa"/>
            <w:tcBorders>
              <w:top w:val="single" w:sz="12" w:space="0" w:color="auto"/>
              <w:left w:val="nil"/>
              <w:bottom w:val="single" w:sz="12" w:space="0" w:color="auto"/>
              <w:right w:val="nil"/>
            </w:tcBorders>
            <w:shd w:val="clear" w:color="000000" w:fill="BFBFBF" w:themeFill="background1" w:themeFillShade="BF"/>
            <w:vAlign w:val="center"/>
          </w:tcPr>
          <w:p w14:paraId="5EA73AFA" w14:textId="77777777" w:rsidR="002C23B2" w:rsidRPr="00F70B94" w:rsidRDefault="002C23B2" w:rsidP="00BC6AED">
            <w:pPr>
              <w:jc w:val="right"/>
              <w:rPr>
                <w:rFonts w:cs="Arial"/>
                <w:color w:val="000000"/>
                <w:sz w:val="22"/>
                <w:szCs w:val="22"/>
                <w:lang w:eastAsia="en-AU"/>
              </w:rPr>
            </w:pPr>
            <w:r>
              <w:rPr>
                <w:rFonts w:cs="Arial"/>
                <w:color w:val="000000"/>
                <w:sz w:val="22"/>
                <w:szCs w:val="22"/>
                <w:lang w:eastAsia="en-AU"/>
              </w:rPr>
              <w:t>26</w:t>
            </w:r>
          </w:p>
        </w:tc>
        <w:tc>
          <w:tcPr>
            <w:tcW w:w="1492" w:type="dxa"/>
            <w:tcBorders>
              <w:top w:val="single" w:sz="12" w:space="0" w:color="auto"/>
              <w:left w:val="nil"/>
              <w:bottom w:val="single" w:sz="12" w:space="0" w:color="auto"/>
              <w:right w:val="nil"/>
            </w:tcBorders>
            <w:shd w:val="clear" w:color="auto" w:fill="auto"/>
            <w:vAlign w:val="center"/>
            <w:hideMark/>
          </w:tcPr>
          <w:p w14:paraId="5EA73AFB" w14:textId="77777777" w:rsidR="002C23B2" w:rsidRPr="00BC6AED" w:rsidRDefault="002C23B2" w:rsidP="00BC6AED">
            <w:pPr>
              <w:jc w:val="right"/>
              <w:rPr>
                <w:rFonts w:cs="Arial"/>
                <w:color w:val="000000"/>
                <w:sz w:val="22"/>
                <w:szCs w:val="22"/>
                <w:lang w:eastAsia="en-AU"/>
              </w:rPr>
            </w:pPr>
            <w:r w:rsidRPr="00BC6AED">
              <w:rPr>
                <w:sz w:val="22"/>
                <w:szCs w:val="22"/>
              </w:rPr>
              <w:t>25</w:t>
            </w:r>
          </w:p>
        </w:tc>
      </w:tr>
    </w:tbl>
    <w:p w14:paraId="5EA73AFD" w14:textId="77777777" w:rsidR="00CC2230" w:rsidRPr="007540D9" w:rsidRDefault="00CC2230" w:rsidP="00CC2230">
      <w:pPr>
        <w:rPr>
          <w:rFonts w:cs="Arial"/>
          <w:bCs/>
          <w:color w:val="000000"/>
          <w:sz w:val="16"/>
          <w:szCs w:val="22"/>
        </w:rPr>
      </w:pPr>
    </w:p>
    <w:p w14:paraId="5EA73AFE" w14:textId="77777777" w:rsidR="006621AC" w:rsidRPr="007540D9" w:rsidRDefault="00B45D0D" w:rsidP="00F068DE">
      <w:pPr>
        <w:numPr>
          <w:ilvl w:val="0"/>
          <w:numId w:val="16"/>
        </w:numPr>
        <w:rPr>
          <w:rFonts w:cs="Arial"/>
          <w:sz w:val="22"/>
          <w:szCs w:val="22"/>
        </w:rPr>
      </w:pPr>
      <w:r w:rsidRPr="007540D9">
        <w:rPr>
          <w:rFonts w:cs="Arial"/>
          <w:sz w:val="22"/>
          <w:szCs w:val="22"/>
        </w:rPr>
        <w:t xml:space="preserve">The credit period </w:t>
      </w:r>
      <w:r w:rsidR="0004153F" w:rsidRPr="007540D9">
        <w:rPr>
          <w:rFonts w:cs="Arial"/>
          <w:sz w:val="22"/>
          <w:szCs w:val="22"/>
        </w:rPr>
        <w:t>provided by Vision Australia</w:t>
      </w:r>
      <w:r w:rsidR="00A124A1" w:rsidRPr="007540D9">
        <w:rPr>
          <w:rFonts w:cs="Arial"/>
          <w:sz w:val="22"/>
          <w:szCs w:val="22"/>
        </w:rPr>
        <w:t xml:space="preserve"> Limited</w:t>
      </w:r>
      <w:r w:rsidR="0004153F" w:rsidRPr="007540D9">
        <w:rPr>
          <w:rFonts w:cs="Arial"/>
          <w:sz w:val="22"/>
          <w:szCs w:val="22"/>
        </w:rPr>
        <w:t xml:space="preserve"> </w:t>
      </w:r>
      <w:r w:rsidRPr="007540D9">
        <w:rPr>
          <w:rFonts w:cs="Arial"/>
          <w:sz w:val="22"/>
          <w:szCs w:val="22"/>
        </w:rPr>
        <w:t>on sales of goods</w:t>
      </w:r>
      <w:r w:rsidR="0004153F" w:rsidRPr="007540D9">
        <w:rPr>
          <w:rFonts w:cs="Arial"/>
          <w:sz w:val="22"/>
          <w:szCs w:val="22"/>
        </w:rPr>
        <w:t xml:space="preserve"> and services</w:t>
      </w:r>
      <w:r w:rsidRPr="007540D9">
        <w:rPr>
          <w:rFonts w:cs="Arial"/>
          <w:sz w:val="22"/>
          <w:szCs w:val="22"/>
        </w:rPr>
        <w:t xml:space="preserve"> is 30 days</w:t>
      </w:r>
      <w:r w:rsidR="00A347EA" w:rsidRPr="007540D9">
        <w:rPr>
          <w:rFonts w:cs="Arial"/>
          <w:sz w:val="22"/>
          <w:szCs w:val="22"/>
        </w:rPr>
        <w:t xml:space="preserve"> from the date of the invoice</w:t>
      </w:r>
      <w:r w:rsidRPr="007540D9">
        <w:rPr>
          <w:rFonts w:cs="Arial"/>
          <w:sz w:val="22"/>
          <w:szCs w:val="22"/>
        </w:rPr>
        <w:t xml:space="preserve">.  No interest is charged on the trade receivables. An allowance has been made for estimated irrecoverable amounts from the sale of goods and services, determined by reference to specific debtor balances.  </w:t>
      </w:r>
    </w:p>
    <w:p w14:paraId="5EA73AFF" w14:textId="77777777" w:rsidR="00D31A6F" w:rsidRPr="007540D9" w:rsidRDefault="00D31A6F" w:rsidP="00F068DE">
      <w:pPr>
        <w:ind w:left="720"/>
        <w:rPr>
          <w:rFonts w:cs="Arial"/>
          <w:sz w:val="16"/>
          <w:szCs w:val="22"/>
        </w:rPr>
      </w:pPr>
    </w:p>
    <w:p w14:paraId="5EA73B00" w14:textId="77777777" w:rsidR="00B45D0D" w:rsidRPr="007540D9" w:rsidRDefault="00B45D0D" w:rsidP="00F068DE">
      <w:pPr>
        <w:numPr>
          <w:ilvl w:val="0"/>
          <w:numId w:val="16"/>
        </w:numPr>
        <w:rPr>
          <w:rFonts w:cs="Arial"/>
          <w:sz w:val="22"/>
          <w:szCs w:val="22"/>
        </w:rPr>
      </w:pPr>
      <w:r w:rsidRPr="007540D9">
        <w:rPr>
          <w:rFonts w:cs="Arial"/>
          <w:sz w:val="22"/>
          <w:szCs w:val="22"/>
        </w:rPr>
        <w:t>Receivables past due but not impaired are considered collectible despite being outside Vision Australia</w:t>
      </w:r>
      <w:r w:rsidR="00A124A1" w:rsidRPr="007540D9">
        <w:rPr>
          <w:rFonts w:cs="Arial"/>
          <w:sz w:val="22"/>
          <w:szCs w:val="22"/>
        </w:rPr>
        <w:t xml:space="preserve"> Limited</w:t>
      </w:r>
      <w:r w:rsidRPr="007540D9">
        <w:rPr>
          <w:rFonts w:cs="Arial"/>
          <w:sz w:val="22"/>
          <w:szCs w:val="22"/>
        </w:rPr>
        <w:t xml:space="preserve">’s </w:t>
      </w:r>
      <w:r w:rsidR="0004153F" w:rsidRPr="007540D9">
        <w:rPr>
          <w:rFonts w:cs="Arial"/>
          <w:sz w:val="22"/>
          <w:szCs w:val="22"/>
        </w:rPr>
        <w:t xml:space="preserve">standard terms of trade </w:t>
      </w:r>
      <w:r w:rsidRPr="007540D9">
        <w:rPr>
          <w:rFonts w:cs="Arial"/>
          <w:sz w:val="22"/>
          <w:szCs w:val="22"/>
        </w:rPr>
        <w:t>as there are a number of debtors (typically</w:t>
      </w:r>
      <w:r w:rsidR="0004153F" w:rsidRPr="007540D9">
        <w:rPr>
          <w:rFonts w:cs="Arial"/>
          <w:sz w:val="22"/>
          <w:szCs w:val="22"/>
        </w:rPr>
        <w:t xml:space="preserve"> business and</w:t>
      </w:r>
      <w:r w:rsidRPr="007540D9">
        <w:rPr>
          <w:rFonts w:cs="Arial"/>
          <w:sz w:val="22"/>
          <w:szCs w:val="22"/>
        </w:rPr>
        <w:t xml:space="preserve"> government) that pay in 60 – 90 day</w:t>
      </w:r>
      <w:r w:rsidR="0004153F" w:rsidRPr="007540D9">
        <w:rPr>
          <w:rFonts w:cs="Arial"/>
          <w:sz w:val="22"/>
          <w:szCs w:val="22"/>
        </w:rPr>
        <w:t xml:space="preserve"> cycles</w:t>
      </w:r>
      <w:r w:rsidRPr="007540D9">
        <w:rPr>
          <w:rFonts w:cs="Arial"/>
          <w:sz w:val="22"/>
          <w:szCs w:val="22"/>
        </w:rPr>
        <w:t>.</w:t>
      </w:r>
      <w:r w:rsidR="0004153F" w:rsidRPr="007540D9">
        <w:rPr>
          <w:rFonts w:cs="Arial"/>
          <w:sz w:val="22"/>
          <w:szCs w:val="22"/>
        </w:rPr>
        <w:t xml:space="preserve">  This results in amounts being in the 90+ day category.</w:t>
      </w:r>
    </w:p>
    <w:p w14:paraId="7CDE350D" w14:textId="7F547313" w:rsidR="002C23B2" w:rsidRDefault="002C23B2">
      <w:pPr>
        <w:rPr>
          <w:rFonts w:cs="Arial"/>
          <w:sz w:val="22"/>
          <w:szCs w:val="22"/>
        </w:rPr>
      </w:pPr>
      <w:r>
        <w:rPr>
          <w:rFonts w:cs="Arial"/>
          <w:sz w:val="22"/>
          <w:szCs w:val="22"/>
        </w:rPr>
        <w:br w:type="page"/>
      </w:r>
    </w:p>
    <w:p w14:paraId="00FBD1A3" w14:textId="77777777" w:rsidR="00D20A31" w:rsidRDefault="00D20A31" w:rsidP="00BF287B">
      <w:pPr>
        <w:pStyle w:val="Heading1"/>
      </w:pPr>
      <w:bookmarkStart w:id="297" w:name="_Toc430613761"/>
      <w:r w:rsidRPr="00D20A31">
        <w:lastRenderedPageBreak/>
        <w:t>Note 8: Other financial assets</w:t>
      </w:r>
      <w:bookmarkEnd w:id="297"/>
    </w:p>
    <w:p w14:paraId="79F5FB51" w14:textId="77777777" w:rsidR="002C23B2" w:rsidRDefault="002C23B2" w:rsidP="00F068DE">
      <w:pPr>
        <w:rPr>
          <w:rFonts w:cs="Arial"/>
          <w:color w:val="000000"/>
          <w:sz w:val="22"/>
          <w:szCs w:val="22"/>
          <w:u w:val="single"/>
          <w:lang w:eastAsia="en-AU"/>
        </w:rPr>
      </w:pPr>
    </w:p>
    <w:p w14:paraId="18C12CF8" w14:textId="2966E210" w:rsidR="00D20A31" w:rsidRDefault="002C23B2" w:rsidP="00F068DE">
      <w:pPr>
        <w:rPr>
          <w:rFonts w:cs="Arial"/>
          <w:color w:val="000000"/>
          <w:sz w:val="22"/>
          <w:szCs w:val="22"/>
          <w:u w:val="single"/>
          <w:lang w:eastAsia="en-AU"/>
        </w:rPr>
      </w:pPr>
      <w:r w:rsidRPr="00F70B94">
        <w:rPr>
          <w:rFonts w:cs="Arial"/>
          <w:color w:val="000000"/>
          <w:sz w:val="22"/>
          <w:szCs w:val="22"/>
          <w:u w:val="single"/>
          <w:lang w:eastAsia="en-AU"/>
        </w:rPr>
        <w:t>Current</w:t>
      </w:r>
    </w:p>
    <w:p w14:paraId="33D945A6" w14:textId="3151C7B3" w:rsidR="002C23B2" w:rsidRDefault="002C23B2" w:rsidP="00F068DE">
      <w:r w:rsidRPr="00F70B94">
        <w:rPr>
          <w:rFonts w:cs="Arial"/>
          <w:color w:val="000000"/>
          <w:sz w:val="22"/>
          <w:szCs w:val="22"/>
          <w:lang w:eastAsia="en-AU"/>
        </w:rPr>
        <w:t>Held to maturity investments carried at cost:</w:t>
      </w:r>
    </w:p>
    <w:tbl>
      <w:tblPr>
        <w:tblW w:w="9045" w:type="dxa"/>
        <w:tblInd w:w="108" w:type="dxa"/>
        <w:tblLook w:val="04A0" w:firstRow="1" w:lastRow="0" w:firstColumn="1" w:lastColumn="0" w:noHBand="0" w:noVBand="1"/>
      </w:tblPr>
      <w:tblGrid>
        <w:gridCol w:w="5511"/>
        <w:gridCol w:w="1767"/>
        <w:gridCol w:w="1767"/>
      </w:tblGrid>
      <w:tr w:rsidR="002C23B2" w:rsidRPr="00F70B94" w14:paraId="5EA73B0C" w14:textId="77777777" w:rsidTr="003B0341">
        <w:trPr>
          <w:trHeight w:val="292"/>
          <w:tblHeader/>
        </w:trPr>
        <w:tc>
          <w:tcPr>
            <w:tcW w:w="5511" w:type="dxa"/>
            <w:tcBorders>
              <w:top w:val="nil"/>
              <w:left w:val="nil"/>
              <w:bottom w:val="nil"/>
              <w:right w:val="nil"/>
            </w:tcBorders>
            <w:shd w:val="clear" w:color="auto" w:fill="auto"/>
            <w:vAlign w:val="center"/>
            <w:hideMark/>
          </w:tcPr>
          <w:p w14:paraId="5EA73B08" w14:textId="01B636F1" w:rsidR="002C23B2" w:rsidRPr="00F70B94" w:rsidRDefault="002C23B2" w:rsidP="00F068DE">
            <w:pPr>
              <w:rPr>
                <w:rFonts w:cs="Arial"/>
                <w:color w:val="000000"/>
                <w:sz w:val="22"/>
                <w:szCs w:val="22"/>
                <w:u w:val="single"/>
                <w:lang w:eastAsia="en-AU"/>
              </w:rPr>
            </w:pPr>
            <w:bookmarkStart w:id="298" w:name="Table_31"/>
            <w:bookmarkEnd w:id="298"/>
          </w:p>
        </w:tc>
        <w:tc>
          <w:tcPr>
            <w:tcW w:w="1767" w:type="dxa"/>
            <w:tcBorders>
              <w:top w:val="nil"/>
              <w:left w:val="nil"/>
              <w:bottom w:val="nil"/>
              <w:right w:val="nil"/>
            </w:tcBorders>
            <w:shd w:val="clear" w:color="000000" w:fill="BFBFBF" w:themeFill="background1" w:themeFillShade="BF"/>
            <w:vAlign w:val="center"/>
            <w:hideMark/>
          </w:tcPr>
          <w:p w14:paraId="5EA73B0A" w14:textId="262018F8" w:rsidR="002C23B2" w:rsidRPr="002C23B2" w:rsidRDefault="002C23B2" w:rsidP="00F068DE">
            <w:pPr>
              <w:jc w:val="right"/>
              <w:rPr>
                <w:rFonts w:cs="Arial"/>
                <w:b/>
                <w:color w:val="000000"/>
                <w:sz w:val="22"/>
                <w:szCs w:val="22"/>
                <w:lang w:eastAsia="en-AU"/>
              </w:rPr>
            </w:pPr>
            <w:r w:rsidRPr="002C23B2">
              <w:rPr>
                <w:rFonts w:cs="Arial"/>
                <w:b/>
                <w:color w:val="000000"/>
                <w:sz w:val="22"/>
                <w:szCs w:val="22"/>
                <w:lang w:eastAsia="en-AU"/>
              </w:rPr>
              <w:t>2015</w:t>
            </w:r>
          </w:p>
        </w:tc>
        <w:tc>
          <w:tcPr>
            <w:tcW w:w="1767" w:type="dxa"/>
            <w:tcBorders>
              <w:top w:val="nil"/>
              <w:left w:val="nil"/>
              <w:bottom w:val="nil"/>
              <w:right w:val="nil"/>
            </w:tcBorders>
            <w:shd w:val="clear" w:color="auto" w:fill="auto"/>
            <w:vAlign w:val="center"/>
            <w:hideMark/>
          </w:tcPr>
          <w:p w14:paraId="5EA73B0B" w14:textId="386AB065" w:rsidR="002C23B2" w:rsidRPr="00F70B94" w:rsidRDefault="002C23B2" w:rsidP="00F068DE">
            <w:pPr>
              <w:jc w:val="right"/>
              <w:rPr>
                <w:rFonts w:cs="Arial"/>
                <w:color w:val="000000"/>
                <w:sz w:val="22"/>
                <w:szCs w:val="22"/>
                <w:lang w:eastAsia="en-AU"/>
              </w:rPr>
            </w:pPr>
            <w:r>
              <w:rPr>
                <w:sz w:val="22"/>
                <w:szCs w:val="22"/>
              </w:rPr>
              <w:t>2014</w:t>
            </w:r>
          </w:p>
        </w:tc>
      </w:tr>
      <w:tr w:rsidR="002C23B2" w:rsidRPr="00F70B94" w14:paraId="5EA73B16" w14:textId="77777777" w:rsidTr="002C23B2">
        <w:trPr>
          <w:trHeight w:val="307"/>
        </w:trPr>
        <w:tc>
          <w:tcPr>
            <w:tcW w:w="5511" w:type="dxa"/>
            <w:tcBorders>
              <w:top w:val="nil"/>
              <w:left w:val="nil"/>
              <w:bottom w:val="nil"/>
              <w:right w:val="nil"/>
            </w:tcBorders>
            <w:shd w:val="clear" w:color="auto" w:fill="auto"/>
            <w:vAlign w:val="center"/>
            <w:hideMark/>
          </w:tcPr>
          <w:p w14:paraId="5EA73B12" w14:textId="28389257" w:rsidR="002C23B2" w:rsidRPr="00F70B94" w:rsidRDefault="002C23B2" w:rsidP="00F70B94">
            <w:pPr>
              <w:rPr>
                <w:rFonts w:cs="Arial"/>
                <w:color w:val="000000"/>
                <w:sz w:val="22"/>
                <w:szCs w:val="22"/>
                <w:lang w:eastAsia="en-AU"/>
              </w:rPr>
            </w:pPr>
            <w:r w:rsidRPr="00F70B94">
              <w:rPr>
                <w:rFonts w:cs="Arial"/>
                <w:color w:val="000000"/>
                <w:sz w:val="22"/>
                <w:szCs w:val="22"/>
                <w:lang w:eastAsia="en-AU"/>
              </w:rPr>
              <w:t>Interest bearing deposits</w:t>
            </w:r>
          </w:p>
        </w:tc>
        <w:tc>
          <w:tcPr>
            <w:tcW w:w="1767" w:type="dxa"/>
            <w:tcBorders>
              <w:top w:val="nil"/>
              <w:left w:val="nil"/>
              <w:bottom w:val="nil"/>
              <w:right w:val="nil"/>
            </w:tcBorders>
            <w:shd w:val="clear" w:color="000000" w:fill="BFBFBF" w:themeFill="background1" w:themeFillShade="BF"/>
            <w:vAlign w:val="center"/>
          </w:tcPr>
          <w:p w14:paraId="5EA73B14" w14:textId="77777777" w:rsidR="002C23B2" w:rsidRPr="00F70B94" w:rsidRDefault="002C23B2" w:rsidP="00F70B94">
            <w:pPr>
              <w:jc w:val="right"/>
              <w:rPr>
                <w:rFonts w:cs="Arial"/>
                <w:color w:val="000000"/>
                <w:sz w:val="22"/>
                <w:szCs w:val="22"/>
                <w:lang w:eastAsia="en-AU"/>
              </w:rPr>
            </w:pPr>
            <w:r>
              <w:rPr>
                <w:rFonts w:cs="Arial"/>
                <w:color w:val="000000"/>
                <w:sz w:val="22"/>
                <w:szCs w:val="22"/>
                <w:lang w:eastAsia="en-AU"/>
              </w:rPr>
              <w:t>21,453</w:t>
            </w:r>
          </w:p>
        </w:tc>
        <w:tc>
          <w:tcPr>
            <w:tcW w:w="1767" w:type="dxa"/>
            <w:tcBorders>
              <w:top w:val="nil"/>
              <w:left w:val="nil"/>
              <w:bottom w:val="nil"/>
              <w:right w:val="nil"/>
            </w:tcBorders>
            <w:shd w:val="clear" w:color="auto" w:fill="auto"/>
            <w:vAlign w:val="center"/>
            <w:hideMark/>
          </w:tcPr>
          <w:p w14:paraId="5EA73B15" w14:textId="77777777" w:rsidR="002C23B2" w:rsidRPr="00F70B94" w:rsidRDefault="002C23B2" w:rsidP="00F70B94">
            <w:pPr>
              <w:jc w:val="right"/>
              <w:rPr>
                <w:rFonts w:cs="Arial"/>
                <w:color w:val="000000"/>
                <w:sz w:val="22"/>
                <w:szCs w:val="22"/>
                <w:lang w:eastAsia="en-AU"/>
              </w:rPr>
            </w:pPr>
            <w:r w:rsidRPr="00F70B94">
              <w:rPr>
                <w:rFonts w:cs="Arial"/>
                <w:color w:val="000000"/>
                <w:sz w:val="22"/>
                <w:szCs w:val="22"/>
                <w:lang w:eastAsia="en-AU"/>
              </w:rPr>
              <w:t>13,980</w:t>
            </w:r>
          </w:p>
        </w:tc>
      </w:tr>
      <w:tr w:rsidR="002C23B2" w:rsidRPr="00F70B94" w14:paraId="5EA73B1B" w14:textId="77777777" w:rsidTr="002C23B2">
        <w:trPr>
          <w:trHeight w:val="322"/>
        </w:trPr>
        <w:tc>
          <w:tcPr>
            <w:tcW w:w="5511" w:type="dxa"/>
            <w:tcBorders>
              <w:left w:val="nil"/>
              <w:right w:val="nil"/>
            </w:tcBorders>
            <w:shd w:val="clear" w:color="auto" w:fill="auto"/>
            <w:vAlign w:val="center"/>
            <w:hideMark/>
          </w:tcPr>
          <w:p w14:paraId="5EA73B17" w14:textId="6AFB56F4" w:rsidR="002C23B2" w:rsidRPr="00F70B94" w:rsidRDefault="002C23B2" w:rsidP="00F70B94">
            <w:pPr>
              <w:rPr>
                <w:rFonts w:cs="Arial"/>
                <w:color w:val="000000"/>
                <w:sz w:val="22"/>
                <w:szCs w:val="22"/>
                <w:lang w:eastAsia="en-AU"/>
              </w:rPr>
            </w:pPr>
            <w:r>
              <w:rPr>
                <w:rFonts w:cs="Arial"/>
                <w:color w:val="000000"/>
                <w:sz w:val="22"/>
                <w:szCs w:val="22"/>
                <w:lang w:eastAsia="en-AU"/>
              </w:rPr>
              <w:t>Total</w:t>
            </w:r>
          </w:p>
        </w:tc>
        <w:tc>
          <w:tcPr>
            <w:tcW w:w="1767" w:type="dxa"/>
            <w:tcBorders>
              <w:left w:val="nil"/>
              <w:right w:val="nil"/>
            </w:tcBorders>
            <w:shd w:val="clear" w:color="000000" w:fill="BFBFBF" w:themeFill="background1" w:themeFillShade="BF"/>
            <w:vAlign w:val="center"/>
          </w:tcPr>
          <w:p w14:paraId="5EA73B19" w14:textId="77777777" w:rsidR="002C23B2" w:rsidRPr="00F70B94" w:rsidRDefault="002C23B2" w:rsidP="00F70B94">
            <w:pPr>
              <w:jc w:val="right"/>
              <w:rPr>
                <w:rFonts w:cs="Arial"/>
                <w:color w:val="000000"/>
                <w:sz w:val="22"/>
                <w:szCs w:val="22"/>
                <w:lang w:eastAsia="en-AU"/>
              </w:rPr>
            </w:pPr>
            <w:r>
              <w:rPr>
                <w:rFonts w:cs="Arial"/>
                <w:color w:val="000000"/>
                <w:sz w:val="22"/>
                <w:szCs w:val="22"/>
                <w:lang w:eastAsia="en-AU"/>
              </w:rPr>
              <w:t>21,453</w:t>
            </w:r>
          </w:p>
        </w:tc>
        <w:tc>
          <w:tcPr>
            <w:tcW w:w="1767" w:type="dxa"/>
            <w:tcBorders>
              <w:left w:val="nil"/>
              <w:right w:val="nil"/>
            </w:tcBorders>
            <w:shd w:val="clear" w:color="auto" w:fill="auto"/>
            <w:vAlign w:val="center"/>
            <w:hideMark/>
          </w:tcPr>
          <w:p w14:paraId="5EA73B1A" w14:textId="77777777" w:rsidR="002C23B2" w:rsidRPr="00F70B94" w:rsidRDefault="002C23B2" w:rsidP="00F70B94">
            <w:pPr>
              <w:jc w:val="right"/>
              <w:rPr>
                <w:rFonts w:cs="Arial"/>
                <w:color w:val="000000"/>
                <w:sz w:val="22"/>
                <w:szCs w:val="22"/>
                <w:lang w:eastAsia="en-AU"/>
              </w:rPr>
            </w:pPr>
            <w:r w:rsidRPr="00F70B94">
              <w:rPr>
                <w:rFonts w:cs="Arial"/>
                <w:color w:val="000000"/>
                <w:sz w:val="22"/>
                <w:szCs w:val="22"/>
                <w:lang w:eastAsia="en-AU"/>
              </w:rPr>
              <w:t>13,980</w:t>
            </w:r>
          </w:p>
        </w:tc>
      </w:tr>
    </w:tbl>
    <w:p w14:paraId="4743B1FF" w14:textId="77777777" w:rsidR="002C23B2" w:rsidRDefault="002C23B2"/>
    <w:p w14:paraId="7473E33E" w14:textId="77777777" w:rsidR="002C23B2" w:rsidRDefault="002C23B2" w:rsidP="002C23B2">
      <w:pPr>
        <w:rPr>
          <w:rFonts w:cs="Arial"/>
          <w:color w:val="000000"/>
          <w:sz w:val="22"/>
          <w:szCs w:val="22"/>
          <w:u w:val="single"/>
          <w:lang w:eastAsia="en-AU"/>
        </w:rPr>
      </w:pPr>
      <w:r w:rsidRPr="00F70B94">
        <w:rPr>
          <w:rFonts w:cs="Arial"/>
          <w:color w:val="000000"/>
          <w:sz w:val="22"/>
          <w:szCs w:val="22"/>
          <w:u w:val="single"/>
          <w:lang w:eastAsia="en-AU"/>
        </w:rPr>
        <w:t>Non-current</w:t>
      </w:r>
    </w:p>
    <w:p w14:paraId="53DAD2D8" w14:textId="0CD78336" w:rsidR="002C23B2" w:rsidRPr="00F70B94" w:rsidRDefault="002C23B2" w:rsidP="002C23B2">
      <w:pPr>
        <w:rPr>
          <w:rFonts w:cs="Arial"/>
          <w:color w:val="000000"/>
          <w:sz w:val="22"/>
          <w:szCs w:val="22"/>
          <w:u w:val="single"/>
          <w:lang w:eastAsia="en-AU"/>
        </w:rPr>
      </w:pPr>
      <w:r w:rsidRPr="00F70B94">
        <w:rPr>
          <w:rFonts w:cs="Arial"/>
          <w:color w:val="000000"/>
          <w:sz w:val="22"/>
          <w:szCs w:val="22"/>
          <w:lang w:eastAsia="en-AU"/>
        </w:rPr>
        <w:t>Available for sale investments carried at fair value:</w:t>
      </w:r>
    </w:p>
    <w:tbl>
      <w:tblPr>
        <w:tblW w:w="9045" w:type="dxa"/>
        <w:tblInd w:w="108" w:type="dxa"/>
        <w:tblLook w:val="04A0" w:firstRow="1" w:lastRow="0" w:firstColumn="1" w:lastColumn="0" w:noHBand="0" w:noVBand="1"/>
      </w:tblPr>
      <w:tblGrid>
        <w:gridCol w:w="5511"/>
        <w:gridCol w:w="1767"/>
        <w:gridCol w:w="1767"/>
      </w:tblGrid>
      <w:tr w:rsidR="002C23B2" w:rsidRPr="00F70B94" w14:paraId="5EA73B20" w14:textId="77777777" w:rsidTr="002C23B2">
        <w:trPr>
          <w:trHeight w:val="307"/>
        </w:trPr>
        <w:tc>
          <w:tcPr>
            <w:tcW w:w="5511" w:type="dxa"/>
            <w:tcBorders>
              <w:left w:val="nil"/>
              <w:bottom w:val="nil"/>
              <w:right w:val="nil"/>
            </w:tcBorders>
            <w:shd w:val="clear" w:color="auto" w:fill="auto"/>
            <w:vAlign w:val="center"/>
          </w:tcPr>
          <w:p w14:paraId="5EA73B1C" w14:textId="6398821A" w:rsidR="002C23B2" w:rsidRPr="00F70B94" w:rsidRDefault="002C23B2" w:rsidP="00F70B94">
            <w:pPr>
              <w:rPr>
                <w:rFonts w:cs="Arial"/>
                <w:color w:val="000000"/>
                <w:sz w:val="22"/>
                <w:szCs w:val="22"/>
                <w:u w:val="single"/>
                <w:lang w:eastAsia="en-AU"/>
              </w:rPr>
            </w:pPr>
            <w:bookmarkStart w:id="299" w:name="Table_32"/>
            <w:bookmarkEnd w:id="299"/>
          </w:p>
        </w:tc>
        <w:tc>
          <w:tcPr>
            <w:tcW w:w="1767" w:type="dxa"/>
            <w:tcBorders>
              <w:left w:val="nil"/>
              <w:bottom w:val="nil"/>
              <w:right w:val="nil"/>
            </w:tcBorders>
            <w:shd w:val="clear" w:color="000000" w:fill="BFBFBF" w:themeFill="background1" w:themeFillShade="BF"/>
            <w:vAlign w:val="bottom"/>
          </w:tcPr>
          <w:p w14:paraId="5EA73B1E" w14:textId="519177D4" w:rsidR="002C23B2" w:rsidRPr="002C23B2" w:rsidRDefault="002C23B2" w:rsidP="002C23B2">
            <w:pPr>
              <w:jc w:val="right"/>
              <w:rPr>
                <w:rFonts w:cs="Arial"/>
                <w:b/>
                <w:color w:val="000000"/>
                <w:sz w:val="22"/>
                <w:szCs w:val="22"/>
                <w:lang w:eastAsia="en-AU"/>
              </w:rPr>
            </w:pPr>
            <w:r w:rsidRPr="002C23B2">
              <w:rPr>
                <w:rFonts w:cs="Arial"/>
                <w:b/>
                <w:color w:val="000000"/>
                <w:sz w:val="22"/>
                <w:szCs w:val="22"/>
                <w:lang w:eastAsia="en-AU"/>
              </w:rPr>
              <w:t>2015</w:t>
            </w:r>
          </w:p>
        </w:tc>
        <w:tc>
          <w:tcPr>
            <w:tcW w:w="1767" w:type="dxa"/>
            <w:tcBorders>
              <w:left w:val="nil"/>
              <w:bottom w:val="nil"/>
              <w:right w:val="nil"/>
            </w:tcBorders>
            <w:shd w:val="clear" w:color="auto" w:fill="auto"/>
            <w:vAlign w:val="bottom"/>
            <w:hideMark/>
          </w:tcPr>
          <w:p w14:paraId="5EA73B1F" w14:textId="542D499E" w:rsidR="002C23B2" w:rsidRPr="00F70B94" w:rsidRDefault="002C23B2" w:rsidP="002C23B2">
            <w:pPr>
              <w:jc w:val="right"/>
              <w:rPr>
                <w:rFonts w:cs="Arial"/>
                <w:color w:val="000000"/>
                <w:sz w:val="22"/>
                <w:szCs w:val="22"/>
                <w:lang w:eastAsia="en-AU"/>
              </w:rPr>
            </w:pPr>
            <w:r>
              <w:rPr>
                <w:sz w:val="22"/>
                <w:szCs w:val="22"/>
              </w:rPr>
              <w:t>2014</w:t>
            </w:r>
          </w:p>
        </w:tc>
      </w:tr>
      <w:tr w:rsidR="002C23B2" w:rsidRPr="00F70B94" w14:paraId="5EA73B2A" w14:textId="77777777" w:rsidTr="002C23B2">
        <w:trPr>
          <w:trHeight w:val="292"/>
        </w:trPr>
        <w:tc>
          <w:tcPr>
            <w:tcW w:w="5511" w:type="dxa"/>
            <w:tcBorders>
              <w:top w:val="nil"/>
              <w:left w:val="nil"/>
              <w:bottom w:val="nil"/>
              <w:right w:val="nil"/>
            </w:tcBorders>
            <w:shd w:val="clear" w:color="auto" w:fill="auto"/>
            <w:vAlign w:val="center"/>
            <w:hideMark/>
          </w:tcPr>
          <w:p w14:paraId="5EA73B26" w14:textId="678418BF" w:rsidR="002C23B2" w:rsidRPr="00F70B94" w:rsidRDefault="002C23B2" w:rsidP="00F70B94">
            <w:pPr>
              <w:rPr>
                <w:rFonts w:cs="Arial"/>
                <w:color w:val="000000"/>
                <w:sz w:val="22"/>
                <w:szCs w:val="22"/>
                <w:lang w:eastAsia="en-AU"/>
              </w:rPr>
            </w:pPr>
            <w:r w:rsidRPr="00F70B94">
              <w:rPr>
                <w:rFonts w:cs="Arial"/>
                <w:color w:val="000000"/>
                <w:sz w:val="22"/>
                <w:szCs w:val="22"/>
                <w:lang w:eastAsia="en-AU"/>
              </w:rPr>
              <w:t>Managed trusts and funds</w:t>
            </w:r>
          </w:p>
        </w:tc>
        <w:tc>
          <w:tcPr>
            <w:tcW w:w="1767" w:type="dxa"/>
            <w:tcBorders>
              <w:top w:val="nil"/>
              <w:left w:val="nil"/>
              <w:bottom w:val="nil"/>
              <w:right w:val="nil"/>
            </w:tcBorders>
            <w:shd w:val="clear" w:color="000000" w:fill="BFBFBF" w:themeFill="background1" w:themeFillShade="BF"/>
            <w:vAlign w:val="center"/>
          </w:tcPr>
          <w:p w14:paraId="5EA73B28" w14:textId="77777777" w:rsidR="002C23B2" w:rsidRPr="00F70B94" w:rsidRDefault="002C23B2" w:rsidP="00F70B94">
            <w:pPr>
              <w:jc w:val="right"/>
              <w:rPr>
                <w:rFonts w:cs="Arial"/>
                <w:color w:val="000000"/>
                <w:sz w:val="22"/>
                <w:szCs w:val="22"/>
                <w:lang w:eastAsia="en-AU"/>
              </w:rPr>
            </w:pPr>
            <w:r>
              <w:rPr>
                <w:rFonts w:cs="Arial"/>
                <w:color w:val="000000"/>
                <w:sz w:val="22"/>
                <w:szCs w:val="22"/>
                <w:lang w:eastAsia="en-AU"/>
              </w:rPr>
              <w:t>18,410</w:t>
            </w:r>
          </w:p>
        </w:tc>
        <w:tc>
          <w:tcPr>
            <w:tcW w:w="1767" w:type="dxa"/>
            <w:tcBorders>
              <w:top w:val="nil"/>
              <w:left w:val="nil"/>
              <w:bottom w:val="nil"/>
              <w:right w:val="nil"/>
            </w:tcBorders>
            <w:shd w:val="clear" w:color="auto" w:fill="auto"/>
            <w:vAlign w:val="center"/>
            <w:hideMark/>
          </w:tcPr>
          <w:p w14:paraId="5EA73B29" w14:textId="77777777" w:rsidR="002C23B2" w:rsidRPr="00F70B94" w:rsidRDefault="002C23B2" w:rsidP="00F70B94">
            <w:pPr>
              <w:jc w:val="right"/>
              <w:rPr>
                <w:rFonts w:cs="Arial"/>
                <w:color w:val="000000"/>
                <w:sz w:val="22"/>
                <w:szCs w:val="22"/>
                <w:lang w:eastAsia="en-AU"/>
              </w:rPr>
            </w:pPr>
            <w:r w:rsidRPr="00F70B94">
              <w:rPr>
                <w:rFonts w:cs="Arial"/>
                <w:color w:val="000000"/>
                <w:sz w:val="22"/>
                <w:szCs w:val="22"/>
                <w:lang w:eastAsia="en-AU"/>
              </w:rPr>
              <w:t>12,170</w:t>
            </w:r>
          </w:p>
        </w:tc>
      </w:tr>
      <w:tr w:rsidR="002C23B2" w:rsidRPr="00F70B94" w14:paraId="5EA73B2F" w14:textId="77777777" w:rsidTr="002C23B2">
        <w:trPr>
          <w:trHeight w:val="292"/>
        </w:trPr>
        <w:tc>
          <w:tcPr>
            <w:tcW w:w="5511" w:type="dxa"/>
            <w:tcBorders>
              <w:top w:val="nil"/>
              <w:left w:val="nil"/>
              <w:bottom w:val="nil"/>
              <w:right w:val="nil"/>
            </w:tcBorders>
            <w:shd w:val="clear" w:color="auto" w:fill="auto"/>
            <w:vAlign w:val="center"/>
            <w:hideMark/>
          </w:tcPr>
          <w:p w14:paraId="5EA73B2B" w14:textId="7EF435B3" w:rsidR="002C23B2" w:rsidRPr="00F70B94" w:rsidRDefault="002C23B2" w:rsidP="00F70B94">
            <w:pPr>
              <w:rPr>
                <w:rFonts w:cs="Arial"/>
                <w:color w:val="000000"/>
                <w:sz w:val="22"/>
                <w:szCs w:val="22"/>
                <w:lang w:eastAsia="en-AU"/>
              </w:rPr>
            </w:pPr>
            <w:r w:rsidRPr="00F70B94">
              <w:rPr>
                <w:rFonts w:cs="Arial"/>
                <w:color w:val="000000"/>
                <w:sz w:val="22"/>
                <w:szCs w:val="22"/>
                <w:lang w:eastAsia="en-AU"/>
              </w:rPr>
              <w:t>Fixed interest securities</w:t>
            </w:r>
          </w:p>
        </w:tc>
        <w:tc>
          <w:tcPr>
            <w:tcW w:w="1767" w:type="dxa"/>
            <w:tcBorders>
              <w:top w:val="nil"/>
              <w:left w:val="nil"/>
              <w:bottom w:val="nil"/>
              <w:right w:val="nil"/>
            </w:tcBorders>
            <w:shd w:val="clear" w:color="000000" w:fill="BFBFBF" w:themeFill="background1" w:themeFillShade="BF"/>
            <w:vAlign w:val="center"/>
          </w:tcPr>
          <w:p w14:paraId="5EA73B2D" w14:textId="77777777" w:rsidR="002C23B2" w:rsidRPr="00F70B94" w:rsidRDefault="002C23B2" w:rsidP="00130963">
            <w:pPr>
              <w:jc w:val="right"/>
              <w:rPr>
                <w:rFonts w:cs="Arial"/>
                <w:color w:val="000000"/>
                <w:sz w:val="22"/>
                <w:szCs w:val="22"/>
                <w:lang w:eastAsia="en-AU"/>
              </w:rPr>
            </w:pPr>
            <w:r>
              <w:rPr>
                <w:rFonts w:cs="Arial"/>
                <w:color w:val="000000"/>
                <w:sz w:val="22"/>
                <w:szCs w:val="22"/>
                <w:lang w:eastAsia="en-AU"/>
              </w:rPr>
              <w:t>18,426</w:t>
            </w:r>
          </w:p>
        </w:tc>
        <w:tc>
          <w:tcPr>
            <w:tcW w:w="1767" w:type="dxa"/>
            <w:tcBorders>
              <w:top w:val="nil"/>
              <w:left w:val="nil"/>
              <w:bottom w:val="nil"/>
              <w:right w:val="nil"/>
            </w:tcBorders>
            <w:shd w:val="clear" w:color="auto" w:fill="auto"/>
            <w:vAlign w:val="center"/>
            <w:hideMark/>
          </w:tcPr>
          <w:p w14:paraId="5EA73B2E" w14:textId="77777777" w:rsidR="002C23B2" w:rsidRPr="00F70B94" w:rsidRDefault="002C23B2" w:rsidP="00F70B94">
            <w:pPr>
              <w:jc w:val="right"/>
              <w:rPr>
                <w:rFonts w:cs="Arial"/>
                <w:color w:val="000000"/>
                <w:sz w:val="22"/>
                <w:szCs w:val="22"/>
                <w:lang w:eastAsia="en-AU"/>
              </w:rPr>
            </w:pPr>
            <w:r w:rsidRPr="00F70B94">
              <w:rPr>
                <w:rFonts w:cs="Arial"/>
                <w:color w:val="000000"/>
                <w:sz w:val="22"/>
                <w:szCs w:val="22"/>
                <w:lang w:eastAsia="en-AU"/>
              </w:rPr>
              <w:t>19,639</w:t>
            </w:r>
          </w:p>
        </w:tc>
      </w:tr>
      <w:tr w:rsidR="002C23B2" w:rsidRPr="00F70B94" w14:paraId="5EA73B34" w14:textId="77777777" w:rsidTr="002C23B2">
        <w:trPr>
          <w:trHeight w:val="307"/>
        </w:trPr>
        <w:tc>
          <w:tcPr>
            <w:tcW w:w="5511" w:type="dxa"/>
            <w:tcBorders>
              <w:top w:val="nil"/>
              <w:left w:val="nil"/>
              <w:bottom w:val="nil"/>
              <w:right w:val="nil"/>
            </w:tcBorders>
            <w:shd w:val="clear" w:color="auto" w:fill="auto"/>
            <w:vAlign w:val="center"/>
            <w:hideMark/>
          </w:tcPr>
          <w:p w14:paraId="5EA73B30" w14:textId="62DA31C3" w:rsidR="002C23B2" w:rsidRPr="00F70B94" w:rsidRDefault="002C23B2" w:rsidP="00F70B94">
            <w:pPr>
              <w:rPr>
                <w:rFonts w:cs="Arial"/>
                <w:color w:val="000000"/>
                <w:sz w:val="22"/>
                <w:szCs w:val="22"/>
                <w:lang w:eastAsia="en-AU"/>
              </w:rPr>
            </w:pPr>
            <w:r w:rsidRPr="00F70B94">
              <w:rPr>
                <w:rFonts w:cs="Arial"/>
                <w:color w:val="000000"/>
                <w:sz w:val="22"/>
                <w:szCs w:val="22"/>
                <w:lang w:eastAsia="en-AU"/>
              </w:rPr>
              <w:t>Shares</w:t>
            </w:r>
          </w:p>
        </w:tc>
        <w:tc>
          <w:tcPr>
            <w:tcW w:w="1767" w:type="dxa"/>
            <w:tcBorders>
              <w:top w:val="nil"/>
              <w:left w:val="nil"/>
              <w:bottom w:val="single" w:sz="8" w:space="0" w:color="auto"/>
              <w:right w:val="nil"/>
            </w:tcBorders>
            <w:shd w:val="clear" w:color="000000" w:fill="BFBFBF" w:themeFill="background1" w:themeFillShade="BF"/>
            <w:vAlign w:val="center"/>
          </w:tcPr>
          <w:p w14:paraId="5EA73B32" w14:textId="77777777" w:rsidR="002C23B2" w:rsidRPr="00F70B94" w:rsidRDefault="002C23B2" w:rsidP="00F70B94">
            <w:pPr>
              <w:jc w:val="right"/>
              <w:rPr>
                <w:rFonts w:cs="Arial"/>
                <w:color w:val="000000"/>
                <w:sz w:val="22"/>
                <w:szCs w:val="22"/>
                <w:lang w:eastAsia="en-AU"/>
              </w:rPr>
            </w:pPr>
            <w:r>
              <w:rPr>
                <w:rFonts w:cs="Arial"/>
                <w:color w:val="000000"/>
                <w:sz w:val="22"/>
                <w:szCs w:val="22"/>
                <w:lang w:eastAsia="en-AU"/>
              </w:rPr>
              <w:t>51,702</w:t>
            </w:r>
          </w:p>
        </w:tc>
        <w:tc>
          <w:tcPr>
            <w:tcW w:w="1767" w:type="dxa"/>
            <w:tcBorders>
              <w:top w:val="nil"/>
              <w:left w:val="nil"/>
              <w:bottom w:val="single" w:sz="8" w:space="0" w:color="auto"/>
              <w:right w:val="nil"/>
            </w:tcBorders>
            <w:shd w:val="clear" w:color="auto" w:fill="auto"/>
            <w:vAlign w:val="center"/>
            <w:hideMark/>
          </w:tcPr>
          <w:p w14:paraId="5EA73B33" w14:textId="77777777" w:rsidR="002C23B2" w:rsidRPr="00F70B94" w:rsidRDefault="002C23B2" w:rsidP="00F70B94">
            <w:pPr>
              <w:jc w:val="right"/>
              <w:rPr>
                <w:rFonts w:cs="Arial"/>
                <w:color w:val="000000"/>
                <w:sz w:val="22"/>
                <w:szCs w:val="22"/>
                <w:lang w:eastAsia="en-AU"/>
              </w:rPr>
            </w:pPr>
            <w:r w:rsidRPr="00F70B94">
              <w:rPr>
                <w:rFonts w:cs="Arial"/>
                <w:color w:val="000000"/>
                <w:sz w:val="22"/>
                <w:szCs w:val="22"/>
                <w:lang w:eastAsia="en-AU"/>
              </w:rPr>
              <w:t>50,585</w:t>
            </w:r>
          </w:p>
        </w:tc>
      </w:tr>
      <w:tr w:rsidR="002C23B2" w:rsidRPr="00F70B94" w14:paraId="5EA73B39" w14:textId="77777777" w:rsidTr="002C23B2">
        <w:trPr>
          <w:trHeight w:val="322"/>
        </w:trPr>
        <w:tc>
          <w:tcPr>
            <w:tcW w:w="5511" w:type="dxa"/>
            <w:tcBorders>
              <w:top w:val="nil"/>
              <w:left w:val="nil"/>
              <w:bottom w:val="nil"/>
              <w:right w:val="nil"/>
            </w:tcBorders>
            <w:shd w:val="clear" w:color="auto" w:fill="auto"/>
            <w:vAlign w:val="center"/>
            <w:hideMark/>
          </w:tcPr>
          <w:p w14:paraId="5EA73B35" w14:textId="7FF09078" w:rsidR="002C23B2" w:rsidRPr="00F70B94" w:rsidRDefault="002C23B2" w:rsidP="00F70B94">
            <w:pPr>
              <w:rPr>
                <w:rFonts w:cs="Arial"/>
                <w:color w:val="000000"/>
                <w:sz w:val="22"/>
                <w:szCs w:val="22"/>
                <w:lang w:eastAsia="en-AU"/>
              </w:rPr>
            </w:pPr>
            <w:r>
              <w:rPr>
                <w:rFonts w:cs="Arial"/>
                <w:color w:val="000000"/>
                <w:sz w:val="22"/>
                <w:szCs w:val="22"/>
                <w:lang w:eastAsia="en-AU"/>
              </w:rPr>
              <w:t>Total</w:t>
            </w:r>
          </w:p>
        </w:tc>
        <w:tc>
          <w:tcPr>
            <w:tcW w:w="1767" w:type="dxa"/>
            <w:tcBorders>
              <w:top w:val="single" w:sz="12" w:space="0" w:color="auto"/>
              <w:left w:val="nil"/>
              <w:bottom w:val="single" w:sz="12" w:space="0" w:color="auto"/>
              <w:right w:val="nil"/>
            </w:tcBorders>
            <w:shd w:val="clear" w:color="000000" w:fill="BFBFBF" w:themeFill="background1" w:themeFillShade="BF"/>
            <w:vAlign w:val="center"/>
          </w:tcPr>
          <w:p w14:paraId="5EA73B37" w14:textId="77777777" w:rsidR="002C23B2" w:rsidRPr="00F70B94" w:rsidRDefault="002C23B2" w:rsidP="00F70B94">
            <w:pPr>
              <w:jc w:val="right"/>
              <w:rPr>
                <w:rFonts w:cs="Arial"/>
                <w:color w:val="000000"/>
                <w:sz w:val="22"/>
                <w:szCs w:val="22"/>
                <w:lang w:eastAsia="en-AU"/>
              </w:rPr>
            </w:pPr>
            <w:r>
              <w:rPr>
                <w:rFonts w:cs="Arial"/>
                <w:color w:val="000000"/>
                <w:sz w:val="22"/>
                <w:szCs w:val="22"/>
                <w:lang w:eastAsia="en-AU"/>
              </w:rPr>
              <w:t>88,538</w:t>
            </w:r>
          </w:p>
        </w:tc>
        <w:tc>
          <w:tcPr>
            <w:tcW w:w="1767" w:type="dxa"/>
            <w:tcBorders>
              <w:top w:val="single" w:sz="12" w:space="0" w:color="auto"/>
              <w:left w:val="nil"/>
              <w:bottom w:val="single" w:sz="12" w:space="0" w:color="auto"/>
              <w:right w:val="nil"/>
            </w:tcBorders>
            <w:shd w:val="clear" w:color="auto" w:fill="auto"/>
            <w:vAlign w:val="center"/>
            <w:hideMark/>
          </w:tcPr>
          <w:p w14:paraId="5EA73B38" w14:textId="77777777" w:rsidR="002C23B2" w:rsidRPr="00F70B94" w:rsidRDefault="002C23B2" w:rsidP="00F70B94">
            <w:pPr>
              <w:jc w:val="right"/>
              <w:rPr>
                <w:rFonts w:cs="Arial"/>
                <w:color w:val="000000"/>
                <w:sz w:val="22"/>
                <w:szCs w:val="22"/>
                <w:lang w:eastAsia="en-AU"/>
              </w:rPr>
            </w:pPr>
            <w:r w:rsidRPr="00F70B94">
              <w:rPr>
                <w:rFonts w:cs="Arial"/>
                <w:color w:val="000000"/>
                <w:sz w:val="22"/>
                <w:szCs w:val="22"/>
                <w:lang w:eastAsia="en-AU"/>
              </w:rPr>
              <w:t>82,394</w:t>
            </w:r>
          </w:p>
        </w:tc>
      </w:tr>
    </w:tbl>
    <w:p w14:paraId="5EA73B3C" w14:textId="77777777" w:rsidR="00897F0C" w:rsidRDefault="00D31A6F" w:rsidP="00CC2230">
      <w:pPr>
        <w:tabs>
          <w:tab w:val="left" w:pos="284"/>
        </w:tabs>
        <w:ind w:left="284" w:hanging="284"/>
        <w:rPr>
          <w:rFonts w:ascii="Times New Roman" w:hAnsi="Times New Roman"/>
          <w:sz w:val="20"/>
          <w:szCs w:val="20"/>
          <w:lang w:eastAsia="en-AU"/>
        </w:rPr>
      </w:pPr>
      <w:r w:rsidRPr="007540D9">
        <w:rPr>
          <w:rFonts w:cs="Arial"/>
          <w:sz w:val="22"/>
          <w:szCs w:val="22"/>
        </w:rPr>
        <w:br w:type="page"/>
      </w:r>
    </w:p>
    <w:p w14:paraId="7558BF1C" w14:textId="68A89513" w:rsidR="00F068DE" w:rsidRDefault="00F068DE"/>
    <w:p w14:paraId="266BD624" w14:textId="15604F8F" w:rsidR="00F068DE" w:rsidRDefault="00F068DE" w:rsidP="00BF287B">
      <w:pPr>
        <w:pStyle w:val="Heading1"/>
      </w:pPr>
      <w:bookmarkStart w:id="300" w:name="_Toc430613762"/>
      <w:r w:rsidRPr="00F068DE">
        <w:t>Note 9: Inventories</w:t>
      </w:r>
      <w:bookmarkEnd w:id="300"/>
    </w:p>
    <w:p w14:paraId="49AB6179" w14:textId="77777777" w:rsidR="0048328F" w:rsidRPr="0048328F" w:rsidRDefault="0048328F" w:rsidP="0048328F"/>
    <w:tbl>
      <w:tblPr>
        <w:tblW w:w="9346" w:type="dxa"/>
        <w:tblInd w:w="108" w:type="dxa"/>
        <w:tblLook w:val="04A0" w:firstRow="1" w:lastRow="0" w:firstColumn="1" w:lastColumn="0" w:noHBand="0" w:noVBand="1"/>
      </w:tblPr>
      <w:tblGrid>
        <w:gridCol w:w="6429"/>
        <w:gridCol w:w="1651"/>
        <w:gridCol w:w="1266"/>
      </w:tblGrid>
      <w:tr w:rsidR="004B62C7" w:rsidRPr="00F70B94" w14:paraId="60D11BCE" w14:textId="77777777" w:rsidTr="003B0341">
        <w:trPr>
          <w:trHeight w:val="460"/>
          <w:tblHeader/>
        </w:trPr>
        <w:tc>
          <w:tcPr>
            <w:tcW w:w="6429" w:type="dxa"/>
            <w:tcBorders>
              <w:left w:val="nil"/>
              <w:bottom w:val="nil"/>
              <w:right w:val="nil"/>
            </w:tcBorders>
            <w:shd w:val="clear" w:color="auto" w:fill="auto"/>
            <w:vAlign w:val="center"/>
          </w:tcPr>
          <w:p w14:paraId="264E9D48" w14:textId="77777777" w:rsidR="004B62C7" w:rsidRPr="00F70B94" w:rsidRDefault="004B62C7" w:rsidP="00F70B94">
            <w:pPr>
              <w:rPr>
                <w:rFonts w:cs="Arial"/>
                <w:color w:val="000000"/>
                <w:sz w:val="22"/>
                <w:szCs w:val="22"/>
                <w:lang w:eastAsia="en-AU"/>
              </w:rPr>
            </w:pPr>
            <w:bookmarkStart w:id="301" w:name="Table_33"/>
            <w:bookmarkEnd w:id="301"/>
          </w:p>
        </w:tc>
        <w:tc>
          <w:tcPr>
            <w:tcW w:w="1651" w:type="dxa"/>
            <w:tcBorders>
              <w:left w:val="nil"/>
              <w:bottom w:val="nil"/>
              <w:right w:val="nil"/>
            </w:tcBorders>
            <w:shd w:val="clear" w:color="000000" w:fill="BFBFBF" w:themeFill="background1" w:themeFillShade="BF"/>
            <w:vAlign w:val="center"/>
          </w:tcPr>
          <w:p w14:paraId="3278A885" w14:textId="14067BB8" w:rsidR="004B62C7" w:rsidRPr="003B0341" w:rsidRDefault="004B62C7" w:rsidP="00F70B94">
            <w:pPr>
              <w:jc w:val="right"/>
              <w:rPr>
                <w:rFonts w:cs="Arial"/>
                <w:b/>
                <w:color w:val="000000"/>
                <w:sz w:val="22"/>
                <w:szCs w:val="22"/>
                <w:lang w:eastAsia="en-AU"/>
              </w:rPr>
            </w:pPr>
            <w:r w:rsidRPr="003B0341">
              <w:rPr>
                <w:rFonts w:cs="Arial"/>
                <w:b/>
                <w:color w:val="000000"/>
                <w:sz w:val="22"/>
                <w:szCs w:val="22"/>
                <w:lang w:eastAsia="en-AU"/>
              </w:rPr>
              <w:t>2015</w:t>
            </w:r>
          </w:p>
        </w:tc>
        <w:tc>
          <w:tcPr>
            <w:tcW w:w="1266" w:type="dxa"/>
            <w:tcBorders>
              <w:left w:val="nil"/>
              <w:bottom w:val="nil"/>
              <w:right w:val="nil"/>
            </w:tcBorders>
            <w:shd w:val="clear" w:color="auto" w:fill="auto"/>
            <w:vAlign w:val="center"/>
          </w:tcPr>
          <w:p w14:paraId="59E5D2B4" w14:textId="57C4EAEC" w:rsidR="004B62C7" w:rsidRPr="00F70B94" w:rsidRDefault="004B62C7" w:rsidP="00F70B94">
            <w:pPr>
              <w:jc w:val="right"/>
              <w:rPr>
                <w:rFonts w:cs="Arial"/>
                <w:color w:val="000000"/>
                <w:sz w:val="22"/>
                <w:szCs w:val="22"/>
                <w:lang w:eastAsia="en-AU"/>
              </w:rPr>
            </w:pPr>
            <w:r>
              <w:rPr>
                <w:rFonts w:cs="Arial"/>
                <w:color w:val="000000"/>
                <w:sz w:val="22"/>
                <w:szCs w:val="22"/>
                <w:lang w:eastAsia="en-AU"/>
              </w:rPr>
              <w:t>2014</w:t>
            </w:r>
          </w:p>
        </w:tc>
      </w:tr>
      <w:tr w:rsidR="004B62C7" w:rsidRPr="00F70B94" w14:paraId="5EA73B5A" w14:textId="77777777" w:rsidTr="003B0341">
        <w:trPr>
          <w:trHeight w:val="460"/>
        </w:trPr>
        <w:tc>
          <w:tcPr>
            <w:tcW w:w="6429" w:type="dxa"/>
            <w:tcBorders>
              <w:left w:val="nil"/>
              <w:bottom w:val="nil"/>
              <w:right w:val="nil"/>
            </w:tcBorders>
            <w:shd w:val="clear" w:color="auto" w:fill="auto"/>
            <w:vAlign w:val="center"/>
            <w:hideMark/>
          </w:tcPr>
          <w:p w14:paraId="5EA73B56" w14:textId="77777777" w:rsidR="004B62C7" w:rsidRPr="00F70B94" w:rsidRDefault="004B62C7" w:rsidP="00F70B94">
            <w:pPr>
              <w:rPr>
                <w:rFonts w:cs="Arial"/>
                <w:color w:val="000000"/>
                <w:sz w:val="22"/>
                <w:szCs w:val="22"/>
                <w:lang w:eastAsia="en-AU"/>
              </w:rPr>
            </w:pPr>
            <w:r w:rsidRPr="00F70B94">
              <w:rPr>
                <w:rFonts w:cs="Arial"/>
                <w:color w:val="000000"/>
                <w:sz w:val="22"/>
                <w:szCs w:val="22"/>
                <w:lang w:eastAsia="en-AU"/>
              </w:rPr>
              <w:t xml:space="preserve">Goods available for sale at cost </w:t>
            </w:r>
            <w:r w:rsidRPr="00F70B94">
              <w:rPr>
                <w:rFonts w:cs="Arial"/>
                <w:color w:val="000000"/>
                <w:sz w:val="22"/>
                <w:szCs w:val="22"/>
                <w:vertAlign w:val="superscript"/>
                <w:lang w:eastAsia="en-AU"/>
              </w:rPr>
              <w:t>(</w:t>
            </w:r>
            <w:proofErr w:type="spellStart"/>
            <w:r w:rsidRPr="00F70B94">
              <w:rPr>
                <w:rFonts w:cs="Arial"/>
                <w:color w:val="000000"/>
                <w:sz w:val="22"/>
                <w:szCs w:val="22"/>
                <w:vertAlign w:val="superscript"/>
                <w:lang w:eastAsia="en-AU"/>
              </w:rPr>
              <w:t>i</w:t>
            </w:r>
            <w:proofErr w:type="spellEnd"/>
            <w:r w:rsidRPr="00F70B94">
              <w:rPr>
                <w:rFonts w:cs="Arial"/>
                <w:color w:val="000000"/>
                <w:sz w:val="22"/>
                <w:szCs w:val="22"/>
                <w:vertAlign w:val="superscript"/>
                <w:lang w:eastAsia="en-AU"/>
              </w:rPr>
              <w:t>)</w:t>
            </w:r>
          </w:p>
        </w:tc>
        <w:tc>
          <w:tcPr>
            <w:tcW w:w="1651" w:type="dxa"/>
            <w:tcBorders>
              <w:left w:val="nil"/>
              <w:bottom w:val="nil"/>
              <w:right w:val="nil"/>
            </w:tcBorders>
            <w:shd w:val="clear" w:color="000000" w:fill="BFBFBF" w:themeFill="background1" w:themeFillShade="BF"/>
            <w:vAlign w:val="center"/>
          </w:tcPr>
          <w:p w14:paraId="5EA73B58" w14:textId="77777777" w:rsidR="004B62C7" w:rsidRPr="00F70B94" w:rsidRDefault="004B62C7" w:rsidP="00F70B94">
            <w:pPr>
              <w:jc w:val="right"/>
              <w:rPr>
                <w:rFonts w:cs="Arial"/>
                <w:color w:val="000000"/>
                <w:sz w:val="22"/>
                <w:szCs w:val="22"/>
                <w:lang w:eastAsia="en-AU"/>
              </w:rPr>
            </w:pPr>
            <w:r>
              <w:rPr>
                <w:rFonts w:cs="Arial"/>
                <w:color w:val="000000"/>
                <w:sz w:val="22"/>
                <w:szCs w:val="22"/>
                <w:lang w:eastAsia="en-AU"/>
              </w:rPr>
              <w:t>1,052</w:t>
            </w:r>
          </w:p>
        </w:tc>
        <w:tc>
          <w:tcPr>
            <w:tcW w:w="1266" w:type="dxa"/>
            <w:tcBorders>
              <w:left w:val="nil"/>
              <w:bottom w:val="nil"/>
              <w:right w:val="nil"/>
            </w:tcBorders>
            <w:shd w:val="clear" w:color="auto" w:fill="auto"/>
            <w:vAlign w:val="center"/>
            <w:hideMark/>
          </w:tcPr>
          <w:p w14:paraId="5EA73B59" w14:textId="77777777" w:rsidR="004B62C7" w:rsidRPr="00F70B94" w:rsidRDefault="004B62C7" w:rsidP="00F70B94">
            <w:pPr>
              <w:jc w:val="right"/>
              <w:rPr>
                <w:rFonts w:cs="Arial"/>
                <w:color w:val="000000"/>
                <w:sz w:val="22"/>
                <w:szCs w:val="22"/>
                <w:lang w:eastAsia="en-AU"/>
              </w:rPr>
            </w:pPr>
            <w:r w:rsidRPr="00F70B94">
              <w:rPr>
                <w:rFonts w:cs="Arial"/>
                <w:color w:val="000000"/>
                <w:sz w:val="22"/>
                <w:szCs w:val="22"/>
                <w:lang w:eastAsia="en-AU"/>
              </w:rPr>
              <w:t>1,274</w:t>
            </w:r>
          </w:p>
        </w:tc>
      </w:tr>
      <w:tr w:rsidR="004B62C7" w:rsidRPr="00F70B94" w14:paraId="5EA73B5F" w14:textId="77777777" w:rsidTr="003B0341">
        <w:trPr>
          <w:trHeight w:val="460"/>
        </w:trPr>
        <w:tc>
          <w:tcPr>
            <w:tcW w:w="6429" w:type="dxa"/>
            <w:tcBorders>
              <w:top w:val="nil"/>
              <w:left w:val="nil"/>
              <w:bottom w:val="nil"/>
              <w:right w:val="nil"/>
            </w:tcBorders>
            <w:shd w:val="clear" w:color="auto" w:fill="auto"/>
            <w:vAlign w:val="center"/>
            <w:hideMark/>
          </w:tcPr>
          <w:p w14:paraId="5EA73B5B" w14:textId="77777777" w:rsidR="004B62C7" w:rsidRPr="00F70B94" w:rsidRDefault="004B62C7" w:rsidP="00F70B94">
            <w:pPr>
              <w:rPr>
                <w:rFonts w:cs="Arial"/>
                <w:color w:val="000000"/>
                <w:sz w:val="22"/>
                <w:szCs w:val="22"/>
                <w:lang w:eastAsia="en-AU"/>
              </w:rPr>
            </w:pPr>
            <w:r w:rsidRPr="00F70B94">
              <w:rPr>
                <w:rFonts w:cs="Arial"/>
                <w:color w:val="000000"/>
                <w:sz w:val="22"/>
                <w:szCs w:val="22"/>
                <w:lang w:eastAsia="en-AU"/>
              </w:rPr>
              <w:t>Provision for stock obsolescence</w:t>
            </w:r>
          </w:p>
        </w:tc>
        <w:tc>
          <w:tcPr>
            <w:tcW w:w="1651" w:type="dxa"/>
            <w:tcBorders>
              <w:top w:val="nil"/>
              <w:left w:val="nil"/>
              <w:bottom w:val="nil"/>
              <w:right w:val="nil"/>
            </w:tcBorders>
            <w:shd w:val="clear" w:color="000000" w:fill="BFBFBF" w:themeFill="background1" w:themeFillShade="BF"/>
            <w:vAlign w:val="center"/>
          </w:tcPr>
          <w:p w14:paraId="5EA73B5D" w14:textId="77777777" w:rsidR="004B62C7" w:rsidRPr="00F70B94" w:rsidRDefault="004B62C7" w:rsidP="00F70B94">
            <w:pPr>
              <w:jc w:val="right"/>
              <w:rPr>
                <w:rFonts w:cs="Arial"/>
                <w:color w:val="000000"/>
                <w:sz w:val="22"/>
                <w:szCs w:val="22"/>
                <w:lang w:eastAsia="en-AU"/>
              </w:rPr>
            </w:pPr>
            <w:r>
              <w:rPr>
                <w:rFonts w:cs="Arial"/>
                <w:color w:val="000000"/>
                <w:sz w:val="22"/>
                <w:szCs w:val="22"/>
                <w:lang w:eastAsia="en-AU"/>
              </w:rPr>
              <w:t>(24)</w:t>
            </w:r>
          </w:p>
        </w:tc>
        <w:tc>
          <w:tcPr>
            <w:tcW w:w="1266" w:type="dxa"/>
            <w:tcBorders>
              <w:top w:val="nil"/>
              <w:left w:val="nil"/>
              <w:bottom w:val="nil"/>
              <w:right w:val="nil"/>
            </w:tcBorders>
            <w:shd w:val="clear" w:color="auto" w:fill="auto"/>
            <w:vAlign w:val="center"/>
            <w:hideMark/>
          </w:tcPr>
          <w:p w14:paraId="5EA73B5E" w14:textId="77777777" w:rsidR="004B62C7" w:rsidRPr="00F70B94" w:rsidRDefault="004B62C7" w:rsidP="00F70B94">
            <w:pPr>
              <w:jc w:val="right"/>
              <w:rPr>
                <w:rFonts w:cs="Arial"/>
                <w:color w:val="000000"/>
                <w:sz w:val="22"/>
                <w:szCs w:val="22"/>
                <w:lang w:eastAsia="en-AU"/>
              </w:rPr>
            </w:pPr>
            <w:r w:rsidRPr="00F70B94">
              <w:rPr>
                <w:rFonts w:cs="Arial"/>
                <w:color w:val="000000"/>
                <w:sz w:val="22"/>
                <w:szCs w:val="22"/>
                <w:lang w:eastAsia="en-AU"/>
              </w:rPr>
              <w:t>(49)</w:t>
            </w:r>
          </w:p>
        </w:tc>
      </w:tr>
      <w:tr w:rsidR="004B62C7" w:rsidRPr="00F70B94" w14:paraId="5EA73B64" w14:textId="77777777" w:rsidTr="003B0341">
        <w:trPr>
          <w:trHeight w:val="460"/>
        </w:trPr>
        <w:tc>
          <w:tcPr>
            <w:tcW w:w="6429" w:type="dxa"/>
            <w:tcBorders>
              <w:top w:val="nil"/>
              <w:left w:val="nil"/>
              <w:bottom w:val="nil"/>
              <w:right w:val="nil"/>
            </w:tcBorders>
            <w:shd w:val="clear" w:color="auto" w:fill="auto"/>
            <w:vAlign w:val="center"/>
            <w:hideMark/>
          </w:tcPr>
          <w:p w14:paraId="5EA73B60" w14:textId="38754668" w:rsidR="004B62C7" w:rsidRPr="00F70B94" w:rsidRDefault="004B62C7" w:rsidP="00F70B94">
            <w:pPr>
              <w:rPr>
                <w:rFonts w:cs="Arial"/>
                <w:color w:val="000000"/>
                <w:sz w:val="22"/>
                <w:szCs w:val="22"/>
                <w:lang w:eastAsia="en-AU"/>
              </w:rPr>
            </w:pPr>
            <w:r>
              <w:rPr>
                <w:rFonts w:cs="Arial"/>
                <w:color w:val="000000"/>
                <w:sz w:val="22"/>
                <w:szCs w:val="22"/>
                <w:lang w:eastAsia="en-AU"/>
              </w:rPr>
              <w:t>Total</w:t>
            </w:r>
          </w:p>
        </w:tc>
        <w:tc>
          <w:tcPr>
            <w:tcW w:w="1651" w:type="dxa"/>
            <w:tcBorders>
              <w:top w:val="single" w:sz="12" w:space="0" w:color="auto"/>
              <w:left w:val="nil"/>
              <w:bottom w:val="single" w:sz="12" w:space="0" w:color="auto"/>
              <w:right w:val="nil"/>
            </w:tcBorders>
            <w:shd w:val="clear" w:color="000000" w:fill="BFBFBF" w:themeFill="background1" w:themeFillShade="BF"/>
            <w:vAlign w:val="center"/>
          </w:tcPr>
          <w:p w14:paraId="5EA73B62" w14:textId="77777777" w:rsidR="004B62C7" w:rsidRPr="00F70B94" w:rsidRDefault="004B62C7" w:rsidP="00F70B94">
            <w:pPr>
              <w:jc w:val="right"/>
              <w:rPr>
                <w:rFonts w:cs="Arial"/>
                <w:color w:val="000000"/>
                <w:sz w:val="22"/>
                <w:szCs w:val="22"/>
                <w:lang w:eastAsia="en-AU"/>
              </w:rPr>
            </w:pPr>
            <w:r>
              <w:rPr>
                <w:rFonts w:cs="Arial"/>
                <w:color w:val="000000"/>
                <w:sz w:val="22"/>
                <w:szCs w:val="22"/>
                <w:lang w:eastAsia="en-AU"/>
              </w:rPr>
              <w:t>1,028</w:t>
            </w:r>
          </w:p>
        </w:tc>
        <w:tc>
          <w:tcPr>
            <w:tcW w:w="1266" w:type="dxa"/>
            <w:tcBorders>
              <w:top w:val="single" w:sz="12" w:space="0" w:color="auto"/>
              <w:left w:val="nil"/>
              <w:bottom w:val="single" w:sz="12" w:space="0" w:color="auto"/>
              <w:right w:val="nil"/>
            </w:tcBorders>
            <w:shd w:val="clear" w:color="auto" w:fill="auto"/>
            <w:vAlign w:val="center"/>
            <w:hideMark/>
          </w:tcPr>
          <w:p w14:paraId="5EA73B63" w14:textId="77777777" w:rsidR="004B62C7" w:rsidRPr="00F70B94" w:rsidRDefault="004B62C7" w:rsidP="00F70B94">
            <w:pPr>
              <w:jc w:val="right"/>
              <w:rPr>
                <w:rFonts w:cs="Arial"/>
                <w:color w:val="000000"/>
                <w:sz w:val="22"/>
                <w:szCs w:val="22"/>
                <w:lang w:eastAsia="en-AU"/>
              </w:rPr>
            </w:pPr>
            <w:r w:rsidRPr="00F70B94">
              <w:rPr>
                <w:rFonts w:cs="Arial"/>
                <w:color w:val="000000"/>
                <w:sz w:val="22"/>
                <w:szCs w:val="22"/>
                <w:lang w:eastAsia="en-AU"/>
              </w:rPr>
              <w:t>1,225</w:t>
            </w:r>
          </w:p>
        </w:tc>
      </w:tr>
    </w:tbl>
    <w:p w14:paraId="74498081" w14:textId="77777777" w:rsidR="004B62C7" w:rsidRDefault="004B62C7">
      <w:pPr>
        <w:rPr>
          <w:rFonts w:cs="Arial"/>
          <w:color w:val="000000"/>
          <w:sz w:val="22"/>
          <w:szCs w:val="22"/>
          <w:lang w:eastAsia="en-AU"/>
        </w:rPr>
      </w:pPr>
    </w:p>
    <w:p w14:paraId="061ACFEA" w14:textId="7EF41152" w:rsidR="004B62C7" w:rsidRDefault="004B62C7">
      <w:r w:rsidRPr="00F70B94">
        <w:rPr>
          <w:rFonts w:cs="Arial"/>
          <w:color w:val="000000"/>
          <w:sz w:val="22"/>
          <w:szCs w:val="22"/>
          <w:lang w:eastAsia="en-AU"/>
        </w:rPr>
        <w:t>(</w:t>
      </w:r>
      <w:proofErr w:type="spellStart"/>
      <w:r w:rsidRPr="00F70B94">
        <w:rPr>
          <w:rFonts w:cs="Arial"/>
          <w:color w:val="000000"/>
          <w:sz w:val="22"/>
          <w:szCs w:val="22"/>
          <w:lang w:eastAsia="en-AU"/>
        </w:rPr>
        <w:t>i</w:t>
      </w:r>
      <w:proofErr w:type="spellEnd"/>
      <w:r w:rsidRPr="00F70B94">
        <w:rPr>
          <w:rFonts w:cs="Arial"/>
          <w:color w:val="000000"/>
          <w:sz w:val="22"/>
          <w:szCs w:val="22"/>
          <w:lang w:eastAsia="en-AU"/>
        </w:rPr>
        <w:t>) Goods available for sale at balance date comprise the following:</w:t>
      </w:r>
    </w:p>
    <w:tbl>
      <w:tblPr>
        <w:tblW w:w="9285" w:type="dxa"/>
        <w:tblInd w:w="108" w:type="dxa"/>
        <w:tblLook w:val="04A0" w:firstRow="1" w:lastRow="0" w:firstColumn="1" w:lastColumn="0" w:noHBand="0" w:noVBand="1"/>
      </w:tblPr>
      <w:tblGrid>
        <w:gridCol w:w="6379"/>
        <w:gridCol w:w="1708"/>
        <w:gridCol w:w="1198"/>
      </w:tblGrid>
      <w:tr w:rsidR="004B62C7" w:rsidRPr="00F70B94" w14:paraId="5EA73B6D" w14:textId="77777777" w:rsidTr="003B0341">
        <w:trPr>
          <w:trHeight w:val="490"/>
          <w:tblHeader/>
        </w:trPr>
        <w:tc>
          <w:tcPr>
            <w:tcW w:w="6379" w:type="dxa"/>
            <w:tcBorders>
              <w:top w:val="nil"/>
              <w:left w:val="nil"/>
              <w:bottom w:val="nil"/>
              <w:right w:val="nil"/>
            </w:tcBorders>
            <w:shd w:val="clear" w:color="auto" w:fill="auto"/>
            <w:noWrap/>
            <w:vAlign w:val="center"/>
          </w:tcPr>
          <w:p w14:paraId="707F9F28" w14:textId="77777777" w:rsidR="004B62C7" w:rsidRPr="00F70B94" w:rsidRDefault="004B62C7" w:rsidP="00F70B94">
            <w:pPr>
              <w:rPr>
                <w:rFonts w:cs="Arial"/>
                <w:color w:val="000000"/>
                <w:sz w:val="22"/>
                <w:szCs w:val="22"/>
                <w:lang w:eastAsia="en-AU"/>
              </w:rPr>
            </w:pPr>
            <w:bookmarkStart w:id="302" w:name="Table_34"/>
            <w:bookmarkEnd w:id="302"/>
          </w:p>
        </w:tc>
        <w:tc>
          <w:tcPr>
            <w:tcW w:w="1708" w:type="dxa"/>
            <w:tcBorders>
              <w:top w:val="nil"/>
              <w:left w:val="nil"/>
              <w:bottom w:val="nil"/>
              <w:right w:val="nil"/>
            </w:tcBorders>
            <w:shd w:val="clear" w:color="000000" w:fill="BFBFBF" w:themeFill="background1" w:themeFillShade="BF"/>
            <w:noWrap/>
            <w:vAlign w:val="center"/>
          </w:tcPr>
          <w:p w14:paraId="5EA73B6B" w14:textId="2918359A" w:rsidR="004B62C7" w:rsidRPr="003B0341" w:rsidRDefault="004B62C7" w:rsidP="003B0341">
            <w:pPr>
              <w:jc w:val="right"/>
              <w:rPr>
                <w:rFonts w:cs="Arial"/>
                <w:b/>
                <w:color w:val="000000"/>
                <w:sz w:val="22"/>
                <w:szCs w:val="22"/>
                <w:lang w:eastAsia="en-AU"/>
              </w:rPr>
            </w:pPr>
            <w:r w:rsidRPr="003B0341">
              <w:rPr>
                <w:rFonts w:cs="Arial"/>
                <w:b/>
                <w:color w:val="000000"/>
                <w:sz w:val="22"/>
                <w:szCs w:val="22"/>
                <w:lang w:eastAsia="en-AU"/>
              </w:rPr>
              <w:t>2015</w:t>
            </w:r>
          </w:p>
        </w:tc>
        <w:tc>
          <w:tcPr>
            <w:tcW w:w="1198" w:type="dxa"/>
            <w:tcBorders>
              <w:top w:val="nil"/>
              <w:left w:val="nil"/>
              <w:bottom w:val="nil"/>
              <w:right w:val="nil"/>
            </w:tcBorders>
            <w:shd w:val="clear" w:color="auto" w:fill="auto"/>
            <w:noWrap/>
            <w:vAlign w:val="center"/>
            <w:hideMark/>
          </w:tcPr>
          <w:p w14:paraId="5EA73B6C" w14:textId="20CD166F" w:rsidR="004B62C7" w:rsidRPr="00F70B94" w:rsidRDefault="004B62C7" w:rsidP="003B0341">
            <w:pPr>
              <w:jc w:val="right"/>
              <w:rPr>
                <w:rFonts w:cs="Arial"/>
                <w:color w:val="000000"/>
                <w:sz w:val="22"/>
                <w:szCs w:val="22"/>
                <w:lang w:eastAsia="en-AU"/>
              </w:rPr>
            </w:pPr>
            <w:r>
              <w:rPr>
                <w:rFonts w:cs="Arial"/>
                <w:color w:val="000000"/>
                <w:sz w:val="22"/>
                <w:szCs w:val="22"/>
                <w:lang w:eastAsia="en-AU"/>
              </w:rPr>
              <w:t>2014</w:t>
            </w:r>
          </w:p>
        </w:tc>
      </w:tr>
      <w:tr w:rsidR="004B62C7" w:rsidRPr="00F70B94" w14:paraId="5EA73B77" w14:textId="77777777" w:rsidTr="003B0341">
        <w:trPr>
          <w:trHeight w:val="490"/>
        </w:trPr>
        <w:tc>
          <w:tcPr>
            <w:tcW w:w="6379" w:type="dxa"/>
            <w:tcBorders>
              <w:top w:val="nil"/>
              <w:left w:val="nil"/>
              <w:bottom w:val="nil"/>
              <w:right w:val="nil"/>
            </w:tcBorders>
            <w:shd w:val="clear" w:color="auto" w:fill="auto"/>
            <w:vAlign w:val="center"/>
            <w:hideMark/>
          </w:tcPr>
          <w:p w14:paraId="5EA73B73" w14:textId="77777777" w:rsidR="004B62C7" w:rsidRPr="00F70B94" w:rsidRDefault="004B62C7" w:rsidP="00F70B94">
            <w:pPr>
              <w:rPr>
                <w:rFonts w:cs="Arial"/>
                <w:color w:val="000000"/>
                <w:sz w:val="22"/>
                <w:szCs w:val="22"/>
                <w:lang w:eastAsia="en-AU"/>
              </w:rPr>
            </w:pPr>
            <w:r w:rsidRPr="00F70B94">
              <w:rPr>
                <w:rFonts w:cs="Arial"/>
                <w:color w:val="000000"/>
                <w:sz w:val="22"/>
                <w:szCs w:val="22"/>
                <w:lang w:eastAsia="en-AU"/>
              </w:rPr>
              <w:t>Equipment Solutions</w:t>
            </w:r>
          </w:p>
        </w:tc>
        <w:tc>
          <w:tcPr>
            <w:tcW w:w="1708" w:type="dxa"/>
            <w:tcBorders>
              <w:top w:val="nil"/>
              <w:left w:val="nil"/>
              <w:bottom w:val="nil"/>
              <w:right w:val="nil"/>
            </w:tcBorders>
            <w:shd w:val="clear" w:color="000000" w:fill="BFBFBF" w:themeFill="background1" w:themeFillShade="BF"/>
            <w:vAlign w:val="center"/>
          </w:tcPr>
          <w:p w14:paraId="5EA73B75" w14:textId="77777777" w:rsidR="004B62C7" w:rsidRPr="00F70B94" w:rsidRDefault="004B62C7" w:rsidP="00F70B94">
            <w:pPr>
              <w:jc w:val="right"/>
              <w:rPr>
                <w:rFonts w:cs="Arial"/>
                <w:color w:val="000000"/>
                <w:sz w:val="22"/>
                <w:szCs w:val="22"/>
                <w:lang w:eastAsia="en-AU"/>
              </w:rPr>
            </w:pPr>
            <w:r>
              <w:rPr>
                <w:rFonts w:cs="Arial"/>
                <w:color w:val="000000"/>
                <w:sz w:val="22"/>
                <w:szCs w:val="22"/>
                <w:lang w:eastAsia="en-AU"/>
              </w:rPr>
              <w:t>801</w:t>
            </w:r>
          </w:p>
        </w:tc>
        <w:tc>
          <w:tcPr>
            <w:tcW w:w="1198" w:type="dxa"/>
            <w:tcBorders>
              <w:top w:val="nil"/>
              <w:left w:val="nil"/>
              <w:bottom w:val="nil"/>
              <w:right w:val="nil"/>
            </w:tcBorders>
            <w:shd w:val="clear" w:color="auto" w:fill="auto"/>
            <w:vAlign w:val="center"/>
            <w:hideMark/>
          </w:tcPr>
          <w:p w14:paraId="5EA73B76" w14:textId="77777777" w:rsidR="004B62C7" w:rsidRPr="00F70B94" w:rsidRDefault="004B62C7" w:rsidP="00F70B94">
            <w:pPr>
              <w:jc w:val="right"/>
              <w:rPr>
                <w:rFonts w:cs="Arial"/>
                <w:color w:val="000000"/>
                <w:sz w:val="22"/>
                <w:szCs w:val="22"/>
                <w:lang w:eastAsia="en-AU"/>
              </w:rPr>
            </w:pPr>
            <w:r w:rsidRPr="00F70B94">
              <w:rPr>
                <w:rFonts w:cs="Arial"/>
                <w:color w:val="000000"/>
                <w:sz w:val="22"/>
                <w:szCs w:val="22"/>
                <w:lang w:eastAsia="en-AU"/>
              </w:rPr>
              <w:t>853</w:t>
            </w:r>
          </w:p>
        </w:tc>
      </w:tr>
      <w:tr w:rsidR="004B62C7" w:rsidRPr="00F70B94" w14:paraId="5EA73B7C" w14:textId="77777777" w:rsidTr="003B0341">
        <w:trPr>
          <w:trHeight w:val="490"/>
        </w:trPr>
        <w:tc>
          <w:tcPr>
            <w:tcW w:w="6379" w:type="dxa"/>
            <w:tcBorders>
              <w:top w:val="nil"/>
              <w:left w:val="nil"/>
              <w:right w:val="nil"/>
            </w:tcBorders>
            <w:shd w:val="clear" w:color="auto" w:fill="auto"/>
            <w:vAlign w:val="center"/>
            <w:hideMark/>
          </w:tcPr>
          <w:p w14:paraId="5EA73B78" w14:textId="77777777" w:rsidR="004B62C7" w:rsidRPr="00F70B94" w:rsidRDefault="004B62C7" w:rsidP="00F70B94">
            <w:pPr>
              <w:rPr>
                <w:rFonts w:cs="Arial"/>
                <w:color w:val="000000"/>
                <w:sz w:val="22"/>
                <w:szCs w:val="22"/>
                <w:lang w:eastAsia="en-AU"/>
              </w:rPr>
            </w:pPr>
            <w:r w:rsidRPr="00F70B94">
              <w:rPr>
                <w:rFonts w:cs="Arial"/>
                <w:color w:val="000000"/>
                <w:sz w:val="22"/>
                <w:szCs w:val="22"/>
                <w:lang w:eastAsia="en-AU"/>
              </w:rPr>
              <w:t>Other goods for sale</w:t>
            </w:r>
          </w:p>
        </w:tc>
        <w:tc>
          <w:tcPr>
            <w:tcW w:w="1708" w:type="dxa"/>
            <w:tcBorders>
              <w:top w:val="nil"/>
              <w:left w:val="nil"/>
              <w:bottom w:val="single" w:sz="4" w:space="0" w:color="auto"/>
              <w:right w:val="nil"/>
            </w:tcBorders>
            <w:shd w:val="clear" w:color="000000" w:fill="BFBFBF" w:themeFill="background1" w:themeFillShade="BF"/>
            <w:vAlign w:val="center"/>
          </w:tcPr>
          <w:p w14:paraId="5EA73B7A" w14:textId="77777777" w:rsidR="004B62C7" w:rsidRPr="00F70B94" w:rsidRDefault="004B62C7" w:rsidP="00F70B94">
            <w:pPr>
              <w:jc w:val="right"/>
              <w:rPr>
                <w:rFonts w:cs="Arial"/>
                <w:color w:val="000000"/>
                <w:sz w:val="22"/>
                <w:szCs w:val="22"/>
                <w:lang w:eastAsia="en-AU"/>
              </w:rPr>
            </w:pPr>
            <w:r>
              <w:rPr>
                <w:rFonts w:cs="Arial"/>
                <w:color w:val="000000"/>
                <w:sz w:val="22"/>
                <w:szCs w:val="22"/>
                <w:lang w:eastAsia="en-AU"/>
              </w:rPr>
              <w:t>251</w:t>
            </w:r>
          </w:p>
        </w:tc>
        <w:tc>
          <w:tcPr>
            <w:tcW w:w="1198" w:type="dxa"/>
            <w:tcBorders>
              <w:top w:val="nil"/>
              <w:left w:val="nil"/>
              <w:bottom w:val="single" w:sz="4" w:space="0" w:color="auto"/>
              <w:right w:val="nil"/>
            </w:tcBorders>
            <w:shd w:val="clear" w:color="auto" w:fill="auto"/>
            <w:vAlign w:val="center"/>
            <w:hideMark/>
          </w:tcPr>
          <w:p w14:paraId="5EA73B7B" w14:textId="77777777" w:rsidR="004B62C7" w:rsidRPr="00F70B94" w:rsidRDefault="004B62C7" w:rsidP="00F70B94">
            <w:pPr>
              <w:jc w:val="right"/>
              <w:rPr>
                <w:rFonts w:cs="Arial"/>
                <w:color w:val="000000"/>
                <w:sz w:val="22"/>
                <w:szCs w:val="22"/>
                <w:lang w:eastAsia="en-AU"/>
              </w:rPr>
            </w:pPr>
            <w:r>
              <w:rPr>
                <w:rFonts w:cs="Arial"/>
                <w:color w:val="000000"/>
                <w:sz w:val="22"/>
                <w:szCs w:val="22"/>
                <w:lang w:eastAsia="en-AU"/>
              </w:rPr>
              <w:t>421</w:t>
            </w:r>
          </w:p>
        </w:tc>
      </w:tr>
      <w:tr w:rsidR="004B62C7" w:rsidRPr="00F70B94" w14:paraId="5EA73B81" w14:textId="77777777" w:rsidTr="003B0341">
        <w:trPr>
          <w:trHeight w:val="490"/>
        </w:trPr>
        <w:tc>
          <w:tcPr>
            <w:tcW w:w="6379" w:type="dxa"/>
            <w:shd w:val="clear" w:color="auto" w:fill="auto"/>
            <w:vAlign w:val="center"/>
            <w:hideMark/>
          </w:tcPr>
          <w:p w14:paraId="5EA73B7D" w14:textId="158D6560" w:rsidR="004B62C7" w:rsidRPr="00F70B94" w:rsidRDefault="003B0341" w:rsidP="00F70B94">
            <w:pPr>
              <w:rPr>
                <w:rFonts w:cs="Arial"/>
                <w:color w:val="000000"/>
                <w:sz w:val="22"/>
                <w:szCs w:val="22"/>
                <w:lang w:eastAsia="en-AU"/>
              </w:rPr>
            </w:pPr>
            <w:r>
              <w:rPr>
                <w:rFonts w:cs="Arial"/>
                <w:color w:val="000000"/>
                <w:sz w:val="22"/>
                <w:szCs w:val="22"/>
                <w:lang w:eastAsia="en-AU"/>
              </w:rPr>
              <w:t>Total</w:t>
            </w:r>
          </w:p>
        </w:tc>
        <w:tc>
          <w:tcPr>
            <w:tcW w:w="1708" w:type="dxa"/>
            <w:tcBorders>
              <w:top w:val="single" w:sz="4" w:space="0" w:color="auto"/>
              <w:bottom w:val="single" w:sz="4" w:space="0" w:color="auto"/>
            </w:tcBorders>
            <w:shd w:val="clear" w:color="000000" w:fill="BFBFBF" w:themeFill="background1" w:themeFillShade="BF"/>
            <w:vAlign w:val="center"/>
          </w:tcPr>
          <w:p w14:paraId="5EA73B7F" w14:textId="77777777" w:rsidR="004B62C7" w:rsidRPr="00F70B94" w:rsidRDefault="004B62C7" w:rsidP="00F70B94">
            <w:pPr>
              <w:jc w:val="right"/>
              <w:rPr>
                <w:rFonts w:cs="Arial"/>
                <w:color w:val="000000"/>
                <w:sz w:val="22"/>
                <w:szCs w:val="22"/>
                <w:lang w:eastAsia="en-AU"/>
              </w:rPr>
            </w:pPr>
            <w:r>
              <w:rPr>
                <w:rFonts w:cs="Arial"/>
                <w:color w:val="000000"/>
                <w:sz w:val="22"/>
                <w:szCs w:val="22"/>
                <w:lang w:eastAsia="en-AU"/>
              </w:rPr>
              <w:t>1,052</w:t>
            </w:r>
          </w:p>
        </w:tc>
        <w:tc>
          <w:tcPr>
            <w:tcW w:w="1198" w:type="dxa"/>
            <w:tcBorders>
              <w:top w:val="single" w:sz="4" w:space="0" w:color="auto"/>
              <w:bottom w:val="single" w:sz="4" w:space="0" w:color="auto"/>
            </w:tcBorders>
            <w:shd w:val="clear" w:color="auto" w:fill="auto"/>
            <w:vAlign w:val="center"/>
            <w:hideMark/>
          </w:tcPr>
          <w:p w14:paraId="5EA73B80" w14:textId="77777777" w:rsidR="004B62C7" w:rsidRPr="00F70B94" w:rsidRDefault="004B62C7" w:rsidP="00F70B94">
            <w:pPr>
              <w:jc w:val="right"/>
              <w:rPr>
                <w:rFonts w:cs="Arial"/>
                <w:color w:val="000000"/>
                <w:sz w:val="22"/>
                <w:szCs w:val="22"/>
                <w:lang w:eastAsia="en-AU"/>
              </w:rPr>
            </w:pPr>
            <w:r w:rsidRPr="00F70B94">
              <w:rPr>
                <w:rFonts w:cs="Arial"/>
                <w:color w:val="000000"/>
                <w:sz w:val="22"/>
                <w:szCs w:val="22"/>
                <w:lang w:eastAsia="en-AU"/>
              </w:rPr>
              <w:t>1,274</w:t>
            </w:r>
          </w:p>
        </w:tc>
      </w:tr>
    </w:tbl>
    <w:p w14:paraId="65AD095B" w14:textId="3A4CD754" w:rsidR="00F068DE" w:rsidRDefault="00F068DE"/>
    <w:p w14:paraId="30ED813E" w14:textId="408983E2" w:rsidR="00F068DE" w:rsidRPr="00F068DE" w:rsidRDefault="00F068DE" w:rsidP="00BF287B">
      <w:pPr>
        <w:pStyle w:val="Heading1"/>
      </w:pPr>
      <w:bookmarkStart w:id="303" w:name="_Toc430613763"/>
      <w:r w:rsidRPr="00F068DE">
        <w:t>Note 10: Other current assets</w:t>
      </w:r>
      <w:bookmarkEnd w:id="303"/>
    </w:p>
    <w:p w14:paraId="47631E2D" w14:textId="77777777" w:rsidR="00F068DE" w:rsidRDefault="00F068DE"/>
    <w:tbl>
      <w:tblPr>
        <w:tblW w:w="9317" w:type="dxa"/>
        <w:tblInd w:w="108" w:type="dxa"/>
        <w:tblLook w:val="04A0" w:firstRow="1" w:lastRow="0" w:firstColumn="1" w:lastColumn="0" w:noHBand="0" w:noVBand="1"/>
      </w:tblPr>
      <w:tblGrid>
        <w:gridCol w:w="6409"/>
        <w:gridCol w:w="1646"/>
        <w:gridCol w:w="1262"/>
      </w:tblGrid>
      <w:tr w:rsidR="003B0341" w:rsidRPr="00F70B94" w14:paraId="1CBC9173" w14:textId="77777777" w:rsidTr="003B0341">
        <w:trPr>
          <w:trHeight w:val="474"/>
          <w:tblHeader/>
        </w:trPr>
        <w:tc>
          <w:tcPr>
            <w:tcW w:w="6409" w:type="dxa"/>
            <w:tcBorders>
              <w:top w:val="nil"/>
              <w:left w:val="nil"/>
              <w:bottom w:val="nil"/>
              <w:right w:val="nil"/>
            </w:tcBorders>
            <w:shd w:val="clear" w:color="auto" w:fill="auto"/>
            <w:noWrap/>
            <w:vAlign w:val="center"/>
          </w:tcPr>
          <w:p w14:paraId="1F57B00E" w14:textId="77777777" w:rsidR="003B0341" w:rsidRPr="00F70B94" w:rsidRDefault="003B0341" w:rsidP="00F70B94">
            <w:pPr>
              <w:rPr>
                <w:rFonts w:cs="Arial"/>
                <w:color w:val="000000"/>
                <w:sz w:val="22"/>
                <w:szCs w:val="22"/>
                <w:lang w:eastAsia="en-AU"/>
              </w:rPr>
            </w:pPr>
            <w:bookmarkStart w:id="304" w:name="Table_35"/>
            <w:bookmarkEnd w:id="304"/>
          </w:p>
        </w:tc>
        <w:tc>
          <w:tcPr>
            <w:tcW w:w="1646" w:type="dxa"/>
            <w:tcBorders>
              <w:top w:val="nil"/>
              <w:left w:val="nil"/>
              <w:bottom w:val="nil"/>
              <w:right w:val="nil"/>
            </w:tcBorders>
            <w:shd w:val="clear" w:color="000000" w:fill="BFBFBF" w:themeFill="background1" w:themeFillShade="BF"/>
            <w:noWrap/>
            <w:vAlign w:val="center"/>
          </w:tcPr>
          <w:p w14:paraId="0209CD5A" w14:textId="5D7F7F2A" w:rsidR="003B0341" w:rsidRDefault="003B0341" w:rsidP="00F70B94">
            <w:pPr>
              <w:jc w:val="right"/>
              <w:rPr>
                <w:rFonts w:cs="Arial"/>
                <w:color w:val="000000"/>
                <w:sz w:val="22"/>
                <w:szCs w:val="22"/>
                <w:lang w:eastAsia="en-AU"/>
              </w:rPr>
            </w:pPr>
            <w:r w:rsidRPr="003B0341">
              <w:rPr>
                <w:rFonts w:cs="Arial"/>
                <w:b/>
                <w:color w:val="000000"/>
                <w:sz w:val="22"/>
                <w:szCs w:val="22"/>
                <w:lang w:eastAsia="en-AU"/>
              </w:rPr>
              <w:t>2015</w:t>
            </w:r>
          </w:p>
        </w:tc>
        <w:tc>
          <w:tcPr>
            <w:tcW w:w="1262" w:type="dxa"/>
            <w:tcBorders>
              <w:top w:val="nil"/>
              <w:left w:val="nil"/>
              <w:bottom w:val="nil"/>
              <w:right w:val="nil"/>
            </w:tcBorders>
            <w:shd w:val="clear" w:color="auto" w:fill="auto"/>
            <w:noWrap/>
            <w:vAlign w:val="center"/>
          </w:tcPr>
          <w:p w14:paraId="4D179504" w14:textId="7F3E4E50" w:rsidR="003B0341" w:rsidRPr="00F70B94" w:rsidRDefault="003B0341" w:rsidP="00F70B94">
            <w:pPr>
              <w:jc w:val="right"/>
              <w:rPr>
                <w:rFonts w:cs="Arial"/>
                <w:color w:val="000000"/>
                <w:sz w:val="22"/>
                <w:szCs w:val="22"/>
                <w:lang w:eastAsia="en-AU"/>
              </w:rPr>
            </w:pPr>
            <w:r>
              <w:rPr>
                <w:rFonts w:cs="Arial"/>
                <w:color w:val="000000"/>
                <w:sz w:val="22"/>
                <w:szCs w:val="22"/>
                <w:lang w:eastAsia="en-AU"/>
              </w:rPr>
              <w:t>2014</w:t>
            </w:r>
          </w:p>
        </w:tc>
      </w:tr>
      <w:tr w:rsidR="003B0341" w:rsidRPr="00F70B94" w14:paraId="5EA73B9A" w14:textId="77777777" w:rsidTr="003B0341">
        <w:trPr>
          <w:trHeight w:val="474"/>
        </w:trPr>
        <w:tc>
          <w:tcPr>
            <w:tcW w:w="6409" w:type="dxa"/>
            <w:tcBorders>
              <w:top w:val="nil"/>
              <w:left w:val="nil"/>
              <w:bottom w:val="nil"/>
              <w:right w:val="nil"/>
            </w:tcBorders>
            <w:shd w:val="clear" w:color="auto" w:fill="auto"/>
            <w:noWrap/>
            <w:vAlign w:val="center"/>
            <w:hideMark/>
          </w:tcPr>
          <w:p w14:paraId="5EA73B96" w14:textId="77777777" w:rsidR="003B0341" w:rsidRPr="00F70B94" w:rsidRDefault="003B0341" w:rsidP="00F70B94">
            <w:pPr>
              <w:rPr>
                <w:rFonts w:cs="Arial"/>
                <w:color w:val="000000"/>
                <w:sz w:val="22"/>
                <w:szCs w:val="22"/>
                <w:lang w:eastAsia="en-AU"/>
              </w:rPr>
            </w:pPr>
            <w:r w:rsidRPr="00F70B94">
              <w:rPr>
                <w:rFonts w:cs="Arial"/>
                <w:color w:val="000000"/>
                <w:sz w:val="22"/>
                <w:szCs w:val="22"/>
                <w:lang w:eastAsia="en-AU"/>
              </w:rPr>
              <w:t>Prepaid Rent</w:t>
            </w:r>
          </w:p>
        </w:tc>
        <w:tc>
          <w:tcPr>
            <w:tcW w:w="1646" w:type="dxa"/>
            <w:tcBorders>
              <w:top w:val="nil"/>
              <w:left w:val="nil"/>
              <w:bottom w:val="nil"/>
              <w:right w:val="nil"/>
            </w:tcBorders>
            <w:shd w:val="clear" w:color="000000" w:fill="BFBFBF" w:themeFill="background1" w:themeFillShade="BF"/>
            <w:noWrap/>
            <w:vAlign w:val="bottom"/>
          </w:tcPr>
          <w:p w14:paraId="5EA73B98" w14:textId="77777777" w:rsidR="003B0341" w:rsidRPr="00F70B94" w:rsidRDefault="003B0341" w:rsidP="00F70B94">
            <w:pPr>
              <w:jc w:val="right"/>
              <w:rPr>
                <w:rFonts w:cs="Arial"/>
                <w:color w:val="000000"/>
                <w:sz w:val="22"/>
                <w:szCs w:val="22"/>
                <w:lang w:eastAsia="en-AU"/>
              </w:rPr>
            </w:pPr>
            <w:r>
              <w:rPr>
                <w:rFonts w:cs="Arial"/>
                <w:color w:val="000000"/>
                <w:sz w:val="22"/>
                <w:szCs w:val="22"/>
                <w:lang w:eastAsia="en-AU"/>
              </w:rPr>
              <w:t>153</w:t>
            </w:r>
          </w:p>
        </w:tc>
        <w:tc>
          <w:tcPr>
            <w:tcW w:w="1262" w:type="dxa"/>
            <w:tcBorders>
              <w:top w:val="nil"/>
              <w:left w:val="nil"/>
              <w:bottom w:val="nil"/>
              <w:right w:val="nil"/>
            </w:tcBorders>
            <w:shd w:val="clear" w:color="auto" w:fill="auto"/>
            <w:noWrap/>
            <w:vAlign w:val="bottom"/>
            <w:hideMark/>
          </w:tcPr>
          <w:p w14:paraId="5EA73B99"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157</w:t>
            </w:r>
          </w:p>
        </w:tc>
      </w:tr>
      <w:tr w:rsidR="003B0341" w:rsidRPr="00F70B94" w14:paraId="5EA73B9F" w14:textId="77777777" w:rsidTr="003B0341">
        <w:trPr>
          <w:trHeight w:val="474"/>
        </w:trPr>
        <w:tc>
          <w:tcPr>
            <w:tcW w:w="6409" w:type="dxa"/>
            <w:tcBorders>
              <w:top w:val="nil"/>
              <w:left w:val="nil"/>
              <w:bottom w:val="nil"/>
              <w:right w:val="nil"/>
            </w:tcBorders>
            <w:shd w:val="clear" w:color="auto" w:fill="auto"/>
            <w:noWrap/>
            <w:vAlign w:val="center"/>
            <w:hideMark/>
          </w:tcPr>
          <w:p w14:paraId="5EA73B9B" w14:textId="77777777" w:rsidR="003B0341" w:rsidRPr="00F70B94" w:rsidRDefault="003B0341" w:rsidP="00F70B94">
            <w:pPr>
              <w:rPr>
                <w:rFonts w:cs="Arial"/>
                <w:color w:val="000000"/>
                <w:sz w:val="22"/>
                <w:szCs w:val="22"/>
                <w:lang w:eastAsia="en-AU"/>
              </w:rPr>
            </w:pPr>
            <w:r w:rsidRPr="00F70B94">
              <w:rPr>
                <w:rFonts w:cs="Arial"/>
                <w:color w:val="000000"/>
                <w:sz w:val="22"/>
                <w:szCs w:val="22"/>
                <w:lang w:eastAsia="en-AU"/>
              </w:rPr>
              <w:t>Prepaid Insurance</w:t>
            </w:r>
          </w:p>
        </w:tc>
        <w:tc>
          <w:tcPr>
            <w:tcW w:w="1646" w:type="dxa"/>
            <w:tcBorders>
              <w:top w:val="nil"/>
              <w:left w:val="nil"/>
              <w:bottom w:val="nil"/>
              <w:right w:val="nil"/>
            </w:tcBorders>
            <w:shd w:val="clear" w:color="000000" w:fill="BFBFBF" w:themeFill="background1" w:themeFillShade="BF"/>
            <w:noWrap/>
            <w:vAlign w:val="bottom"/>
          </w:tcPr>
          <w:p w14:paraId="5EA73B9D" w14:textId="77777777" w:rsidR="003B0341" w:rsidRPr="00F70B94" w:rsidRDefault="003B0341" w:rsidP="00F70B94">
            <w:pPr>
              <w:jc w:val="right"/>
              <w:rPr>
                <w:rFonts w:cs="Arial"/>
                <w:color w:val="000000"/>
                <w:sz w:val="22"/>
                <w:szCs w:val="22"/>
                <w:lang w:eastAsia="en-AU"/>
              </w:rPr>
            </w:pPr>
            <w:r>
              <w:rPr>
                <w:rFonts w:cs="Arial"/>
                <w:color w:val="000000"/>
                <w:sz w:val="22"/>
                <w:szCs w:val="22"/>
                <w:lang w:eastAsia="en-AU"/>
              </w:rPr>
              <w:t>35</w:t>
            </w:r>
          </w:p>
        </w:tc>
        <w:tc>
          <w:tcPr>
            <w:tcW w:w="1262" w:type="dxa"/>
            <w:tcBorders>
              <w:top w:val="nil"/>
              <w:left w:val="nil"/>
              <w:bottom w:val="nil"/>
              <w:right w:val="nil"/>
            </w:tcBorders>
            <w:shd w:val="clear" w:color="auto" w:fill="auto"/>
            <w:noWrap/>
            <w:vAlign w:val="bottom"/>
            <w:hideMark/>
          </w:tcPr>
          <w:p w14:paraId="5EA73B9E"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40</w:t>
            </w:r>
          </w:p>
        </w:tc>
      </w:tr>
      <w:tr w:rsidR="003B0341" w:rsidRPr="00F70B94" w14:paraId="5EA73BA4" w14:textId="77777777" w:rsidTr="003B0341">
        <w:trPr>
          <w:trHeight w:val="474"/>
        </w:trPr>
        <w:tc>
          <w:tcPr>
            <w:tcW w:w="6409" w:type="dxa"/>
            <w:tcBorders>
              <w:top w:val="nil"/>
              <w:left w:val="nil"/>
              <w:bottom w:val="nil"/>
              <w:right w:val="nil"/>
            </w:tcBorders>
            <w:shd w:val="clear" w:color="auto" w:fill="auto"/>
            <w:noWrap/>
            <w:vAlign w:val="center"/>
            <w:hideMark/>
          </w:tcPr>
          <w:p w14:paraId="5EA73BA0" w14:textId="77777777" w:rsidR="003B0341" w:rsidRPr="00F70B94" w:rsidRDefault="003B0341" w:rsidP="00F70B94">
            <w:pPr>
              <w:rPr>
                <w:rFonts w:cs="Arial"/>
                <w:color w:val="000000"/>
                <w:sz w:val="22"/>
                <w:szCs w:val="22"/>
                <w:lang w:eastAsia="en-AU"/>
              </w:rPr>
            </w:pPr>
            <w:r w:rsidRPr="00F70B94">
              <w:rPr>
                <w:rFonts w:cs="Arial"/>
                <w:color w:val="000000"/>
                <w:sz w:val="22"/>
                <w:szCs w:val="22"/>
                <w:lang w:eastAsia="en-AU"/>
              </w:rPr>
              <w:t>Prepaid IT services and support fees</w:t>
            </w:r>
          </w:p>
        </w:tc>
        <w:tc>
          <w:tcPr>
            <w:tcW w:w="1646" w:type="dxa"/>
            <w:tcBorders>
              <w:top w:val="nil"/>
              <w:left w:val="nil"/>
              <w:bottom w:val="nil"/>
              <w:right w:val="nil"/>
            </w:tcBorders>
            <w:shd w:val="clear" w:color="000000" w:fill="BFBFBF" w:themeFill="background1" w:themeFillShade="BF"/>
            <w:noWrap/>
            <w:vAlign w:val="bottom"/>
          </w:tcPr>
          <w:p w14:paraId="5EA73BA2" w14:textId="77777777" w:rsidR="003B0341" w:rsidRPr="00F70B94" w:rsidRDefault="003B0341" w:rsidP="00F70B94">
            <w:pPr>
              <w:jc w:val="right"/>
              <w:rPr>
                <w:rFonts w:cs="Arial"/>
                <w:color w:val="000000"/>
                <w:sz w:val="22"/>
                <w:szCs w:val="22"/>
                <w:lang w:eastAsia="en-AU"/>
              </w:rPr>
            </w:pPr>
            <w:r>
              <w:rPr>
                <w:rFonts w:cs="Arial"/>
                <w:color w:val="000000"/>
                <w:sz w:val="22"/>
                <w:szCs w:val="22"/>
                <w:lang w:eastAsia="en-AU"/>
              </w:rPr>
              <w:t>379</w:t>
            </w:r>
          </w:p>
        </w:tc>
        <w:tc>
          <w:tcPr>
            <w:tcW w:w="1262" w:type="dxa"/>
            <w:tcBorders>
              <w:top w:val="nil"/>
              <w:left w:val="nil"/>
              <w:bottom w:val="nil"/>
              <w:right w:val="nil"/>
            </w:tcBorders>
            <w:shd w:val="clear" w:color="auto" w:fill="auto"/>
            <w:noWrap/>
            <w:vAlign w:val="bottom"/>
            <w:hideMark/>
          </w:tcPr>
          <w:p w14:paraId="5EA73BA3"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554</w:t>
            </w:r>
          </w:p>
        </w:tc>
      </w:tr>
      <w:tr w:rsidR="003B0341" w:rsidRPr="00F70B94" w14:paraId="5EA73BA9" w14:textId="77777777" w:rsidTr="003B0341">
        <w:trPr>
          <w:trHeight w:val="474"/>
        </w:trPr>
        <w:tc>
          <w:tcPr>
            <w:tcW w:w="6409" w:type="dxa"/>
            <w:tcBorders>
              <w:top w:val="nil"/>
              <w:left w:val="nil"/>
              <w:bottom w:val="nil"/>
              <w:right w:val="nil"/>
            </w:tcBorders>
            <w:shd w:val="clear" w:color="auto" w:fill="auto"/>
            <w:noWrap/>
            <w:vAlign w:val="center"/>
            <w:hideMark/>
          </w:tcPr>
          <w:p w14:paraId="5EA73BA5" w14:textId="77777777" w:rsidR="003B0341" w:rsidRPr="00F70B94" w:rsidRDefault="003B0341" w:rsidP="00F70B94">
            <w:pPr>
              <w:rPr>
                <w:rFonts w:cs="Arial"/>
                <w:color w:val="000000"/>
                <w:sz w:val="22"/>
                <w:szCs w:val="22"/>
                <w:lang w:eastAsia="en-AU"/>
              </w:rPr>
            </w:pPr>
            <w:r w:rsidRPr="00F70B94">
              <w:rPr>
                <w:rFonts w:cs="Arial"/>
                <w:color w:val="000000"/>
                <w:sz w:val="22"/>
                <w:szCs w:val="22"/>
                <w:lang w:eastAsia="en-AU"/>
              </w:rPr>
              <w:t>Other prepayments</w:t>
            </w:r>
          </w:p>
        </w:tc>
        <w:tc>
          <w:tcPr>
            <w:tcW w:w="1646" w:type="dxa"/>
            <w:tcBorders>
              <w:top w:val="nil"/>
              <w:left w:val="nil"/>
              <w:bottom w:val="nil"/>
              <w:right w:val="nil"/>
            </w:tcBorders>
            <w:shd w:val="clear" w:color="000000" w:fill="BFBFBF" w:themeFill="background1" w:themeFillShade="BF"/>
            <w:noWrap/>
            <w:vAlign w:val="bottom"/>
          </w:tcPr>
          <w:p w14:paraId="5EA73BA7" w14:textId="77777777" w:rsidR="003B0341" w:rsidRPr="00F70B94" w:rsidRDefault="003B0341" w:rsidP="00F70B94">
            <w:pPr>
              <w:jc w:val="right"/>
              <w:rPr>
                <w:rFonts w:cs="Arial"/>
                <w:color w:val="000000"/>
                <w:sz w:val="22"/>
                <w:szCs w:val="22"/>
                <w:lang w:eastAsia="en-AU"/>
              </w:rPr>
            </w:pPr>
            <w:r>
              <w:rPr>
                <w:rFonts w:cs="Arial"/>
                <w:color w:val="000000"/>
                <w:sz w:val="22"/>
                <w:szCs w:val="22"/>
                <w:lang w:eastAsia="en-AU"/>
              </w:rPr>
              <w:t>18</w:t>
            </w:r>
          </w:p>
        </w:tc>
        <w:tc>
          <w:tcPr>
            <w:tcW w:w="1262" w:type="dxa"/>
            <w:tcBorders>
              <w:top w:val="nil"/>
              <w:left w:val="nil"/>
              <w:bottom w:val="nil"/>
              <w:right w:val="nil"/>
            </w:tcBorders>
            <w:shd w:val="clear" w:color="auto" w:fill="auto"/>
            <w:noWrap/>
            <w:vAlign w:val="bottom"/>
            <w:hideMark/>
          </w:tcPr>
          <w:p w14:paraId="5EA73BA8"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36</w:t>
            </w:r>
          </w:p>
        </w:tc>
      </w:tr>
      <w:tr w:rsidR="003B0341" w:rsidRPr="00F70B94" w14:paraId="5EA73BAE" w14:textId="77777777" w:rsidTr="003B0341">
        <w:trPr>
          <w:trHeight w:val="474"/>
        </w:trPr>
        <w:tc>
          <w:tcPr>
            <w:tcW w:w="6409" w:type="dxa"/>
            <w:tcBorders>
              <w:top w:val="nil"/>
              <w:left w:val="nil"/>
              <w:bottom w:val="nil"/>
              <w:right w:val="nil"/>
            </w:tcBorders>
            <w:shd w:val="clear" w:color="auto" w:fill="auto"/>
            <w:vAlign w:val="center"/>
          </w:tcPr>
          <w:p w14:paraId="5EA73BAA" w14:textId="144F4E06" w:rsidR="003B0341" w:rsidRPr="00F70B94" w:rsidRDefault="003B0341" w:rsidP="00F70B94">
            <w:pPr>
              <w:rPr>
                <w:rFonts w:cs="Arial"/>
                <w:color w:val="000000"/>
                <w:sz w:val="22"/>
                <w:szCs w:val="22"/>
                <w:lang w:eastAsia="en-AU"/>
              </w:rPr>
            </w:pPr>
            <w:r>
              <w:rPr>
                <w:rFonts w:cs="Arial"/>
                <w:color w:val="000000"/>
                <w:sz w:val="22"/>
                <w:szCs w:val="22"/>
                <w:lang w:eastAsia="en-AU"/>
              </w:rPr>
              <w:t>Total</w:t>
            </w:r>
          </w:p>
        </w:tc>
        <w:tc>
          <w:tcPr>
            <w:tcW w:w="1646" w:type="dxa"/>
            <w:tcBorders>
              <w:top w:val="single" w:sz="12" w:space="0" w:color="auto"/>
              <w:left w:val="nil"/>
              <w:bottom w:val="single" w:sz="12" w:space="0" w:color="auto"/>
              <w:right w:val="nil"/>
            </w:tcBorders>
            <w:shd w:val="clear" w:color="000000" w:fill="BFBFBF" w:themeFill="background1" w:themeFillShade="BF"/>
            <w:vAlign w:val="center"/>
          </w:tcPr>
          <w:p w14:paraId="5EA73BAC" w14:textId="77777777" w:rsidR="003B0341" w:rsidRPr="00F70B94" w:rsidRDefault="003B0341" w:rsidP="00F70B94">
            <w:pPr>
              <w:jc w:val="right"/>
              <w:rPr>
                <w:rFonts w:cs="Arial"/>
                <w:color w:val="000000"/>
                <w:sz w:val="22"/>
                <w:szCs w:val="22"/>
                <w:lang w:eastAsia="en-AU"/>
              </w:rPr>
            </w:pPr>
            <w:r>
              <w:rPr>
                <w:rFonts w:cs="Arial"/>
                <w:color w:val="000000"/>
                <w:sz w:val="22"/>
                <w:szCs w:val="22"/>
                <w:lang w:eastAsia="en-AU"/>
              </w:rPr>
              <w:t>585</w:t>
            </w:r>
          </w:p>
        </w:tc>
        <w:tc>
          <w:tcPr>
            <w:tcW w:w="1262" w:type="dxa"/>
            <w:tcBorders>
              <w:top w:val="single" w:sz="12" w:space="0" w:color="auto"/>
              <w:left w:val="nil"/>
              <w:bottom w:val="single" w:sz="12" w:space="0" w:color="auto"/>
              <w:right w:val="nil"/>
            </w:tcBorders>
            <w:shd w:val="clear" w:color="auto" w:fill="auto"/>
            <w:vAlign w:val="center"/>
            <w:hideMark/>
          </w:tcPr>
          <w:p w14:paraId="5EA73BAD"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787</w:t>
            </w:r>
          </w:p>
        </w:tc>
      </w:tr>
    </w:tbl>
    <w:p w14:paraId="5EA73BAF" w14:textId="77777777" w:rsidR="006621AC" w:rsidRPr="007540D9" w:rsidRDefault="006621AC" w:rsidP="00CC2230">
      <w:pPr>
        <w:tabs>
          <w:tab w:val="left" w:pos="284"/>
        </w:tabs>
        <w:ind w:left="284" w:hanging="284"/>
        <w:rPr>
          <w:rFonts w:cs="Arial"/>
          <w:b/>
          <w:bCs/>
          <w:color w:val="000000"/>
          <w:sz w:val="22"/>
          <w:szCs w:val="22"/>
          <w:highlight w:val="yellow"/>
        </w:rPr>
      </w:pPr>
    </w:p>
    <w:p w14:paraId="5EA73BB0" w14:textId="77777777" w:rsidR="00897F0C" w:rsidRDefault="00212A3E" w:rsidP="006B5FD2">
      <w:pPr>
        <w:rPr>
          <w:rFonts w:ascii="Times New Roman" w:hAnsi="Times New Roman"/>
          <w:sz w:val="20"/>
          <w:szCs w:val="20"/>
          <w:lang w:eastAsia="en-AU"/>
        </w:rPr>
      </w:pPr>
      <w:r w:rsidRPr="007540D9">
        <w:rPr>
          <w:rFonts w:cs="Arial"/>
          <w:b/>
          <w:bCs/>
          <w:color w:val="000000"/>
          <w:sz w:val="22"/>
          <w:szCs w:val="22"/>
        </w:rPr>
        <w:br w:type="page"/>
      </w:r>
    </w:p>
    <w:p w14:paraId="4D1F8D2B" w14:textId="4E777EB1" w:rsidR="0048328F" w:rsidRDefault="0048328F"/>
    <w:p w14:paraId="59441E7F" w14:textId="6815EAF9" w:rsidR="0048328F" w:rsidRPr="0048328F" w:rsidRDefault="0048328F" w:rsidP="00BF287B">
      <w:pPr>
        <w:pStyle w:val="Heading1"/>
      </w:pPr>
      <w:bookmarkStart w:id="305" w:name="_Toc430613764"/>
      <w:r w:rsidRPr="0048328F">
        <w:t>Note 11: Non-</w:t>
      </w:r>
      <w:r w:rsidRPr="0048328F">
        <w:rPr>
          <w:lang w:eastAsia="en-AU"/>
        </w:rPr>
        <w:t xml:space="preserve"> current assets classified as held for sale</w:t>
      </w:r>
      <w:bookmarkEnd w:id="305"/>
    </w:p>
    <w:p w14:paraId="2552D1F1" w14:textId="77777777" w:rsidR="0048328F" w:rsidRDefault="0048328F"/>
    <w:tbl>
      <w:tblPr>
        <w:tblW w:w="8708" w:type="dxa"/>
        <w:tblInd w:w="108" w:type="dxa"/>
        <w:tblLook w:val="04A0" w:firstRow="1" w:lastRow="0" w:firstColumn="1" w:lastColumn="0" w:noHBand="0" w:noVBand="1"/>
      </w:tblPr>
      <w:tblGrid>
        <w:gridCol w:w="5904"/>
        <w:gridCol w:w="1402"/>
        <w:gridCol w:w="1402"/>
      </w:tblGrid>
      <w:tr w:rsidR="003B0341" w:rsidRPr="00F70B94" w14:paraId="5EA73BC8" w14:textId="77777777" w:rsidTr="003B0341">
        <w:trPr>
          <w:trHeight w:val="457"/>
          <w:tblHeader/>
        </w:trPr>
        <w:tc>
          <w:tcPr>
            <w:tcW w:w="5904" w:type="dxa"/>
            <w:shd w:val="clear" w:color="auto" w:fill="auto"/>
            <w:vAlign w:val="bottom"/>
            <w:hideMark/>
          </w:tcPr>
          <w:p w14:paraId="5EA73BC4" w14:textId="77777777" w:rsidR="003B0341" w:rsidRPr="00F70B94" w:rsidRDefault="003B0341" w:rsidP="00F70B94">
            <w:pPr>
              <w:rPr>
                <w:rFonts w:cs="Arial"/>
                <w:b/>
                <w:bCs/>
                <w:color w:val="000000"/>
                <w:sz w:val="22"/>
                <w:szCs w:val="22"/>
                <w:lang w:eastAsia="en-AU"/>
              </w:rPr>
            </w:pPr>
            <w:bookmarkStart w:id="306" w:name="Table_36"/>
            <w:bookmarkEnd w:id="306"/>
            <w:r w:rsidRPr="00F70B94">
              <w:rPr>
                <w:rFonts w:cs="Arial"/>
                <w:b/>
                <w:bCs/>
                <w:color w:val="000000"/>
                <w:sz w:val="22"/>
                <w:szCs w:val="22"/>
                <w:lang w:eastAsia="en-AU"/>
              </w:rPr>
              <w:t xml:space="preserve">Gross carrying amount </w:t>
            </w:r>
          </w:p>
        </w:tc>
        <w:tc>
          <w:tcPr>
            <w:tcW w:w="1402" w:type="dxa"/>
            <w:shd w:val="clear" w:color="000000" w:fill="BFBFBF" w:themeFill="background1" w:themeFillShade="BF"/>
            <w:vAlign w:val="center"/>
            <w:hideMark/>
          </w:tcPr>
          <w:p w14:paraId="5EA73BC6" w14:textId="318AF6A8" w:rsidR="003B0341" w:rsidRPr="003B0341" w:rsidRDefault="003B0341" w:rsidP="00F70B94">
            <w:pPr>
              <w:jc w:val="right"/>
              <w:rPr>
                <w:rFonts w:cs="Arial"/>
                <w:b/>
                <w:color w:val="000000"/>
                <w:sz w:val="22"/>
                <w:szCs w:val="22"/>
                <w:lang w:eastAsia="en-AU"/>
              </w:rPr>
            </w:pPr>
            <w:r w:rsidRPr="003B0341">
              <w:rPr>
                <w:rFonts w:cs="Arial"/>
                <w:b/>
                <w:color w:val="000000"/>
                <w:sz w:val="22"/>
                <w:szCs w:val="22"/>
                <w:lang w:eastAsia="en-AU"/>
              </w:rPr>
              <w:t>2015</w:t>
            </w:r>
          </w:p>
        </w:tc>
        <w:tc>
          <w:tcPr>
            <w:tcW w:w="1402" w:type="dxa"/>
            <w:shd w:val="clear" w:color="auto" w:fill="auto"/>
            <w:vAlign w:val="center"/>
            <w:hideMark/>
          </w:tcPr>
          <w:p w14:paraId="5EA73BC7" w14:textId="3B2546F9" w:rsidR="003B0341" w:rsidRPr="00F70B94" w:rsidRDefault="003B0341" w:rsidP="00F70B94">
            <w:pPr>
              <w:jc w:val="right"/>
              <w:rPr>
                <w:rFonts w:cs="Arial"/>
                <w:color w:val="000000"/>
                <w:sz w:val="22"/>
                <w:szCs w:val="22"/>
                <w:lang w:eastAsia="en-AU"/>
              </w:rPr>
            </w:pPr>
            <w:r>
              <w:rPr>
                <w:rFonts w:cs="Arial"/>
                <w:color w:val="000000"/>
                <w:sz w:val="22"/>
                <w:szCs w:val="22"/>
                <w:lang w:eastAsia="en-AU"/>
              </w:rPr>
              <w:t>2014</w:t>
            </w:r>
          </w:p>
        </w:tc>
      </w:tr>
      <w:tr w:rsidR="003B0341" w:rsidRPr="00F70B94" w14:paraId="5EA73BCD" w14:textId="77777777" w:rsidTr="003B0341">
        <w:trPr>
          <w:trHeight w:val="457"/>
        </w:trPr>
        <w:tc>
          <w:tcPr>
            <w:tcW w:w="5904" w:type="dxa"/>
            <w:tcBorders>
              <w:left w:val="nil"/>
              <w:bottom w:val="nil"/>
              <w:right w:val="nil"/>
            </w:tcBorders>
            <w:shd w:val="clear" w:color="auto" w:fill="auto"/>
            <w:vAlign w:val="bottom"/>
            <w:hideMark/>
          </w:tcPr>
          <w:p w14:paraId="5EA73BC9" w14:textId="77777777" w:rsidR="003B0341" w:rsidRPr="00F70B94" w:rsidRDefault="003B0341" w:rsidP="00F70B94">
            <w:pPr>
              <w:rPr>
                <w:rFonts w:cs="Arial"/>
                <w:color w:val="000000"/>
                <w:sz w:val="22"/>
                <w:szCs w:val="22"/>
                <w:lang w:eastAsia="en-AU"/>
              </w:rPr>
            </w:pPr>
            <w:r w:rsidRPr="00F70B94">
              <w:rPr>
                <w:rFonts w:cs="Arial"/>
                <w:color w:val="000000"/>
                <w:sz w:val="22"/>
                <w:szCs w:val="22"/>
                <w:lang w:eastAsia="en-AU"/>
              </w:rPr>
              <w:t>Balance at beginning of financial year</w:t>
            </w:r>
          </w:p>
        </w:tc>
        <w:tc>
          <w:tcPr>
            <w:tcW w:w="1402" w:type="dxa"/>
            <w:tcBorders>
              <w:left w:val="nil"/>
              <w:bottom w:val="nil"/>
              <w:right w:val="nil"/>
            </w:tcBorders>
            <w:shd w:val="clear" w:color="000000" w:fill="BFBFBF" w:themeFill="background1" w:themeFillShade="BF"/>
            <w:vAlign w:val="bottom"/>
          </w:tcPr>
          <w:p w14:paraId="5EA73BCB" w14:textId="77777777" w:rsidR="003B0341" w:rsidRPr="00F70B94" w:rsidRDefault="003B0341" w:rsidP="00F70B94">
            <w:pPr>
              <w:jc w:val="right"/>
              <w:rPr>
                <w:rFonts w:cs="Arial"/>
                <w:color w:val="000000"/>
                <w:sz w:val="22"/>
                <w:szCs w:val="22"/>
                <w:lang w:eastAsia="en-AU"/>
              </w:rPr>
            </w:pPr>
            <w:r>
              <w:rPr>
                <w:rFonts w:cs="Arial"/>
                <w:color w:val="000000"/>
                <w:sz w:val="22"/>
                <w:szCs w:val="22"/>
                <w:lang w:eastAsia="en-AU"/>
              </w:rPr>
              <w:t>2,589</w:t>
            </w:r>
          </w:p>
        </w:tc>
        <w:tc>
          <w:tcPr>
            <w:tcW w:w="1402" w:type="dxa"/>
            <w:tcBorders>
              <w:left w:val="nil"/>
              <w:bottom w:val="nil"/>
              <w:right w:val="nil"/>
            </w:tcBorders>
            <w:shd w:val="clear" w:color="auto" w:fill="auto"/>
            <w:vAlign w:val="bottom"/>
            <w:hideMark/>
          </w:tcPr>
          <w:p w14:paraId="5EA73BCC"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1,989</w:t>
            </w:r>
          </w:p>
        </w:tc>
      </w:tr>
      <w:tr w:rsidR="003B0341" w:rsidRPr="00F70B94" w14:paraId="5EA73BD2" w14:textId="77777777" w:rsidTr="003B0341">
        <w:trPr>
          <w:trHeight w:val="457"/>
        </w:trPr>
        <w:tc>
          <w:tcPr>
            <w:tcW w:w="5904" w:type="dxa"/>
            <w:tcBorders>
              <w:top w:val="nil"/>
              <w:left w:val="nil"/>
              <w:bottom w:val="nil"/>
              <w:right w:val="nil"/>
            </w:tcBorders>
            <w:shd w:val="clear" w:color="auto" w:fill="auto"/>
            <w:vAlign w:val="bottom"/>
            <w:hideMark/>
          </w:tcPr>
          <w:p w14:paraId="5EA73BCE" w14:textId="77777777" w:rsidR="003B0341" w:rsidRPr="00F70B94" w:rsidRDefault="003B0341" w:rsidP="009159BE">
            <w:pPr>
              <w:rPr>
                <w:rFonts w:cs="Arial"/>
                <w:color w:val="000000"/>
                <w:sz w:val="22"/>
                <w:szCs w:val="22"/>
                <w:lang w:eastAsia="en-AU"/>
              </w:rPr>
            </w:pPr>
            <w:r>
              <w:rPr>
                <w:rFonts w:cs="Arial"/>
                <w:color w:val="000000"/>
                <w:sz w:val="22"/>
                <w:szCs w:val="22"/>
                <w:lang w:eastAsia="en-AU"/>
              </w:rPr>
              <w:t>Disposals</w:t>
            </w:r>
          </w:p>
        </w:tc>
        <w:tc>
          <w:tcPr>
            <w:tcW w:w="1402" w:type="dxa"/>
            <w:tcBorders>
              <w:top w:val="nil"/>
              <w:left w:val="nil"/>
              <w:bottom w:val="nil"/>
              <w:right w:val="nil"/>
            </w:tcBorders>
            <w:shd w:val="clear" w:color="000000" w:fill="BFBFBF" w:themeFill="background1" w:themeFillShade="BF"/>
            <w:vAlign w:val="bottom"/>
          </w:tcPr>
          <w:p w14:paraId="5EA73BD0" w14:textId="77777777" w:rsidR="003B0341" w:rsidRPr="00F70B94" w:rsidRDefault="003B0341" w:rsidP="009159BE">
            <w:pPr>
              <w:jc w:val="right"/>
              <w:rPr>
                <w:rFonts w:cs="Arial"/>
                <w:color w:val="000000"/>
                <w:sz w:val="22"/>
                <w:szCs w:val="22"/>
                <w:lang w:eastAsia="en-AU"/>
              </w:rPr>
            </w:pPr>
            <w:r>
              <w:rPr>
                <w:rFonts w:cs="Arial"/>
                <w:color w:val="000000"/>
                <w:sz w:val="22"/>
                <w:szCs w:val="22"/>
                <w:lang w:eastAsia="en-AU"/>
              </w:rPr>
              <w:t>(2,589)</w:t>
            </w:r>
          </w:p>
        </w:tc>
        <w:tc>
          <w:tcPr>
            <w:tcW w:w="1402" w:type="dxa"/>
            <w:tcBorders>
              <w:top w:val="nil"/>
              <w:left w:val="nil"/>
              <w:bottom w:val="nil"/>
              <w:right w:val="nil"/>
            </w:tcBorders>
            <w:shd w:val="clear" w:color="auto" w:fill="auto"/>
            <w:vAlign w:val="bottom"/>
            <w:hideMark/>
          </w:tcPr>
          <w:p w14:paraId="5EA73BD1" w14:textId="77777777" w:rsidR="003B0341" w:rsidRPr="00F70B94" w:rsidRDefault="003B0341" w:rsidP="00560794">
            <w:pPr>
              <w:jc w:val="right"/>
              <w:rPr>
                <w:rFonts w:cs="Arial"/>
                <w:color w:val="000000"/>
                <w:sz w:val="22"/>
                <w:szCs w:val="22"/>
                <w:lang w:eastAsia="en-AU"/>
              </w:rPr>
            </w:pPr>
            <w:r>
              <w:rPr>
                <w:rFonts w:cs="Arial"/>
                <w:color w:val="000000"/>
                <w:sz w:val="22"/>
                <w:szCs w:val="22"/>
                <w:lang w:eastAsia="en-AU"/>
              </w:rPr>
              <w:t>-</w:t>
            </w:r>
          </w:p>
        </w:tc>
      </w:tr>
      <w:tr w:rsidR="003B0341" w:rsidRPr="00F70B94" w14:paraId="5EA73BD8" w14:textId="77777777" w:rsidTr="003B0341">
        <w:trPr>
          <w:trHeight w:val="457"/>
        </w:trPr>
        <w:tc>
          <w:tcPr>
            <w:tcW w:w="5904" w:type="dxa"/>
            <w:tcBorders>
              <w:top w:val="nil"/>
              <w:left w:val="nil"/>
              <w:bottom w:val="nil"/>
              <w:right w:val="nil"/>
            </w:tcBorders>
            <w:shd w:val="clear" w:color="auto" w:fill="auto"/>
            <w:vAlign w:val="bottom"/>
            <w:hideMark/>
          </w:tcPr>
          <w:p w14:paraId="5EA73BD3" w14:textId="181D3A91" w:rsidR="003B0341" w:rsidRDefault="003B0341" w:rsidP="00CF6572">
            <w:pPr>
              <w:rPr>
                <w:rFonts w:cs="Arial"/>
                <w:color w:val="000000"/>
                <w:sz w:val="22"/>
                <w:szCs w:val="22"/>
                <w:lang w:eastAsia="en-AU"/>
              </w:rPr>
            </w:pPr>
          </w:p>
          <w:p w14:paraId="5EA73BD4" w14:textId="77777777" w:rsidR="003B0341" w:rsidRPr="00F70B94" w:rsidRDefault="003B0341" w:rsidP="00CF6572">
            <w:pPr>
              <w:rPr>
                <w:rFonts w:cs="Arial"/>
                <w:color w:val="000000"/>
                <w:sz w:val="22"/>
                <w:szCs w:val="22"/>
                <w:lang w:eastAsia="en-AU"/>
              </w:rPr>
            </w:pPr>
            <w:r w:rsidRPr="00F70B94">
              <w:rPr>
                <w:rFonts w:cs="Arial"/>
                <w:color w:val="000000"/>
                <w:sz w:val="22"/>
                <w:szCs w:val="22"/>
                <w:lang w:eastAsia="en-AU"/>
              </w:rPr>
              <w:t xml:space="preserve">Transfer from assets classified as </w:t>
            </w:r>
            <w:r>
              <w:rPr>
                <w:rFonts w:cs="Arial"/>
                <w:color w:val="000000"/>
                <w:sz w:val="22"/>
                <w:szCs w:val="22"/>
                <w:lang w:eastAsia="en-AU"/>
              </w:rPr>
              <w:t>property, plant and equipment</w:t>
            </w:r>
          </w:p>
        </w:tc>
        <w:tc>
          <w:tcPr>
            <w:tcW w:w="1402" w:type="dxa"/>
            <w:tcBorders>
              <w:top w:val="nil"/>
              <w:left w:val="nil"/>
              <w:bottom w:val="nil"/>
              <w:right w:val="nil"/>
            </w:tcBorders>
            <w:shd w:val="clear" w:color="000000" w:fill="BFBFBF" w:themeFill="background1" w:themeFillShade="BF"/>
            <w:vAlign w:val="bottom"/>
          </w:tcPr>
          <w:p w14:paraId="5EA73BD6" w14:textId="77777777" w:rsidR="003B0341" w:rsidRPr="00F70B94" w:rsidRDefault="003B0341" w:rsidP="00CF6572">
            <w:pPr>
              <w:jc w:val="right"/>
              <w:rPr>
                <w:rFonts w:cs="Arial"/>
                <w:color w:val="000000"/>
                <w:sz w:val="22"/>
                <w:szCs w:val="22"/>
                <w:lang w:eastAsia="en-AU"/>
              </w:rPr>
            </w:pPr>
            <w:r>
              <w:rPr>
                <w:rFonts w:cs="Arial"/>
                <w:color w:val="000000"/>
                <w:sz w:val="22"/>
                <w:szCs w:val="22"/>
                <w:lang w:eastAsia="en-AU"/>
              </w:rPr>
              <w:t>1,616</w:t>
            </w:r>
          </w:p>
        </w:tc>
        <w:tc>
          <w:tcPr>
            <w:tcW w:w="1402" w:type="dxa"/>
            <w:tcBorders>
              <w:top w:val="nil"/>
              <w:left w:val="nil"/>
              <w:bottom w:val="nil"/>
              <w:right w:val="nil"/>
            </w:tcBorders>
            <w:shd w:val="clear" w:color="auto" w:fill="auto"/>
            <w:vAlign w:val="bottom"/>
            <w:hideMark/>
          </w:tcPr>
          <w:p w14:paraId="5EA73BD7" w14:textId="77777777" w:rsidR="003B0341" w:rsidRPr="00F70B94" w:rsidRDefault="003B0341" w:rsidP="00CF6572">
            <w:pPr>
              <w:jc w:val="right"/>
              <w:rPr>
                <w:rFonts w:cs="Arial"/>
                <w:color w:val="000000"/>
                <w:sz w:val="22"/>
                <w:szCs w:val="22"/>
                <w:lang w:eastAsia="en-AU"/>
              </w:rPr>
            </w:pPr>
            <w:r>
              <w:rPr>
                <w:rFonts w:cs="Arial"/>
                <w:color w:val="000000"/>
                <w:sz w:val="22"/>
                <w:szCs w:val="22"/>
                <w:lang w:eastAsia="en-AU"/>
              </w:rPr>
              <w:t>-</w:t>
            </w:r>
          </w:p>
        </w:tc>
      </w:tr>
      <w:tr w:rsidR="003B0341" w:rsidRPr="00F70B94" w14:paraId="5EA73BDD" w14:textId="77777777" w:rsidTr="003B0341">
        <w:trPr>
          <w:trHeight w:val="457"/>
        </w:trPr>
        <w:tc>
          <w:tcPr>
            <w:tcW w:w="5904" w:type="dxa"/>
            <w:tcBorders>
              <w:top w:val="nil"/>
              <w:left w:val="nil"/>
              <w:bottom w:val="nil"/>
              <w:right w:val="nil"/>
            </w:tcBorders>
            <w:shd w:val="clear" w:color="auto" w:fill="auto"/>
            <w:vAlign w:val="bottom"/>
            <w:hideMark/>
          </w:tcPr>
          <w:p w14:paraId="5EA73BD9" w14:textId="77777777" w:rsidR="003B0341" w:rsidRPr="00F70B94" w:rsidRDefault="003B0341" w:rsidP="00F70B94">
            <w:pPr>
              <w:rPr>
                <w:rFonts w:cs="Arial"/>
                <w:color w:val="000000"/>
                <w:sz w:val="22"/>
                <w:szCs w:val="22"/>
                <w:lang w:eastAsia="en-AU"/>
              </w:rPr>
            </w:pPr>
            <w:r w:rsidRPr="00F70B94">
              <w:rPr>
                <w:rFonts w:cs="Arial"/>
                <w:color w:val="000000"/>
                <w:sz w:val="22"/>
                <w:szCs w:val="22"/>
                <w:lang w:eastAsia="en-AU"/>
              </w:rPr>
              <w:t>Transfer from assets classified as investment property</w:t>
            </w:r>
          </w:p>
        </w:tc>
        <w:tc>
          <w:tcPr>
            <w:tcW w:w="1402" w:type="dxa"/>
            <w:tcBorders>
              <w:top w:val="nil"/>
              <w:left w:val="nil"/>
              <w:bottom w:val="nil"/>
              <w:right w:val="nil"/>
            </w:tcBorders>
            <w:shd w:val="clear" w:color="000000" w:fill="BFBFBF" w:themeFill="background1" w:themeFillShade="BF"/>
            <w:vAlign w:val="bottom"/>
          </w:tcPr>
          <w:p w14:paraId="5EA73BDB" w14:textId="4EAEC3E7" w:rsidR="003B0341" w:rsidRPr="00F70B94" w:rsidRDefault="003B0341" w:rsidP="009159BE">
            <w:pPr>
              <w:jc w:val="right"/>
              <w:rPr>
                <w:rFonts w:cs="Arial"/>
                <w:color w:val="000000"/>
                <w:sz w:val="22"/>
                <w:szCs w:val="22"/>
                <w:lang w:eastAsia="en-AU"/>
              </w:rPr>
            </w:pPr>
            <w:r>
              <w:rPr>
                <w:rFonts w:cs="Arial"/>
                <w:color w:val="000000"/>
                <w:sz w:val="22"/>
                <w:szCs w:val="22"/>
                <w:lang w:eastAsia="en-AU"/>
              </w:rPr>
              <w:t>-</w:t>
            </w:r>
          </w:p>
        </w:tc>
        <w:tc>
          <w:tcPr>
            <w:tcW w:w="1402" w:type="dxa"/>
            <w:tcBorders>
              <w:top w:val="nil"/>
              <w:left w:val="nil"/>
              <w:bottom w:val="nil"/>
              <w:right w:val="nil"/>
            </w:tcBorders>
            <w:shd w:val="clear" w:color="auto" w:fill="auto"/>
            <w:vAlign w:val="bottom"/>
            <w:hideMark/>
          </w:tcPr>
          <w:p w14:paraId="5EA73BDC"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600</w:t>
            </w:r>
          </w:p>
        </w:tc>
      </w:tr>
      <w:tr w:rsidR="003B0341" w:rsidRPr="00F70B94" w14:paraId="5EA73BE2" w14:textId="77777777" w:rsidTr="003B0341">
        <w:trPr>
          <w:trHeight w:val="571"/>
        </w:trPr>
        <w:tc>
          <w:tcPr>
            <w:tcW w:w="5904" w:type="dxa"/>
            <w:tcBorders>
              <w:top w:val="nil"/>
              <w:left w:val="nil"/>
              <w:bottom w:val="nil"/>
              <w:right w:val="nil"/>
            </w:tcBorders>
            <w:shd w:val="clear" w:color="auto" w:fill="auto"/>
            <w:vAlign w:val="bottom"/>
            <w:hideMark/>
          </w:tcPr>
          <w:p w14:paraId="5EA73BDE" w14:textId="77777777" w:rsidR="003B0341" w:rsidRPr="00F70B94" w:rsidRDefault="003B0341" w:rsidP="00F70B94">
            <w:pPr>
              <w:rPr>
                <w:rFonts w:cs="Arial"/>
                <w:color w:val="000000"/>
                <w:sz w:val="22"/>
                <w:szCs w:val="22"/>
                <w:lang w:eastAsia="en-AU"/>
              </w:rPr>
            </w:pPr>
            <w:r w:rsidRPr="00F70B94">
              <w:rPr>
                <w:rFonts w:cs="Arial"/>
                <w:color w:val="000000"/>
                <w:sz w:val="22"/>
                <w:szCs w:val="22"/>
                <w:lang w:eastAsia="en-AU"/>
              </w:rPr>
              <w:t>Balance at end of financial year</w:t>
            </w:r>
          </w:p>
        </w:tc>
        <w:tc>
          <w:tcPr>
            <w:tcW w:w="1402" w:type="dxa"/>
            <w:tcBorders>
              <w:top w:val="single" w:sz="12" w:space="0" w:color="auto"/>
              <w:left w:val="nil"/>
              <w:bottom w:val="single" w:sz="12" w:space="0" w:color="auto"/>
              <w:right w:val="nil"/>
            </w:tcBorders>
            <w:shd w:val="clear" w:color="000000" w:fill="BFBFBF" w:themeFill="background1" w:themeFillShade="BF"/>
            <w:vAlign w:val="bottom"/>
          </w:tcPr>
          <w:p w14:paraId="5EA73BE0" w14:textId="77777777" w:rsidR="003B0341" w:rsidRPr="00F70B94" w:rsidRDefault="003B0341" w:rsidP="00F70B94">
            <w:pPr>
              <w:jc w:val="right"/>
              <w:rPr>
                <w:rFonts w:cs="Arial"/>
                <w:color w:val="000000"/>
                <w:sz w:val="22"/>
                <w:szCs w:val="22"/>
                <w:lang w:eastAsia="en-AU"/>
              </w:rPr>
            </w:pPr>
            <w:r>
              <w:rPr>
                <w:rFonts w:cs="Arial"/>
                <w:color w:val="000000"/>
                <w:sz w:val="22"/>
                <w:szCs w:val="22"/>
                <w:lang w:eastAsia="en-AU"/>
              </w:rPr>
              <w:t>1,616</w:t>
            </w:r>
          </w:p>
        </w:tc>
        <w:tc>
          <w:tcPr>
            <w:tcW w:w="1402" w:type="dxa"/>
            <w:tcBorders>
              <w:top w:val="single" w:sz="12" w:space="0" w:color="auto"/>
              <w:left w:val="nil"/>
              <w:bottom w:val="single" w:sz="12" w:space="0" w:color="auto"/>
              <w:right w:val="nil"/>
            </w:tcBorders>
            <w:shd w:val="clear" w:color="auto" w:fill="auto"/>
            <w:vAlign w:val="bottom"/>
            <w:hideMark/>
          </w:tcPr>
          <w:p w14:paraId="5EA73BE1"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2,589</w:t>
            </w:r>
          </w:p>
        </w:tc>
      </w:tr>
    </w:tbl>
    <w:p w14:paraId="46F7A262" w14:textId="77777777" w:rsidR="003B0341" w:rsidRDefault="003B0341"/>
    <w:tbl>
      <w:tblPr>
        <w:tblW w:w="8708" w:type="dxa"/>
        <w:tblInd w:w="108" w:type="dxa"/>
        <w:tblLook w:val="04A0" w:firstRow="1" w:lastRow="0" w:firstColumn="1" w:lastColumn="0" w:noHBand="0" w:noVBand="1"/>
      </w:tblPr>
      <w:tblGrid>
        <w:gridCol w:w="5904"/>
        <w:gridCol w:w="1402"/>
        <w:gridCol w:w="1402"/>
      </w:tblGrid>
      <w:tr w:rsidR="003B0341" w:rsidRPr="00F70B94" w14:paraId="5EA73BE7" w14:textId="77777777" w:rsidTr="003B0341">
        <w:trPr>
          <w:trHeight w:val="358"/>
          <w:tblHeader/>
        </w:trPr>
        <w:tc>
          <w:tcPr>
            <w:tcW w:w="5904" w:type="dxa"/>
            <w:tcBorders>
              <w:top w:val="nil"/>
              <w:left w:val="nil"/>
              <w:bottom w:val="nil"/>
              <w:right w:val="nil"/>
            </w:tcBorders>
            <w:shd w:val="clear" w:color="auto" w:fill="auto"/>
            <w:vAlign w:val="bottom"/>
            <w:hideMark/>
          </w:tcPr>
          <w:p w14:paraId="5EA73BE3" w14:textId="77777777" w:rsidR="003B0341" w:rsidRPr="00F70B94" w:rsidRDefault="003B0341" w:rsidP="00F70B94">
            <w:pPr>
              <w:rPr>
                <w:rFonts w:cs="Arial"/>
                <w:b/>
                <w:bCs/>
                <w:color w:val="000000"/>
                <w:sz w:val="22"/>
                <w:szCs w:val="22"/>
                <w:lang w:eastAsia="en-AU"/>
              </w:rPr>
            </w:pPr>
            <w:bookmarkStart w:id="307" w:name="Table_37"/>
            <w:bookmarkEnd w:id="307"/>
            <w:r w:rsidRPr="00F70B94">
              <w:rPr>
                <w:rFonts w:cs="Arial"/>
                <w:b/>
                <w:bCs/>
                <w:color w:val="000000"/>
                <w:sz w:val="22"/>
                <w:szCs w:val="22"/>
                <w:lang w:eastAsia="en-AU"/>
              </w:rPr>
              <w:t>Accumulated depreciation and impairment</w:t>
            </w:r>
          </w:p>
        </w:tc>
        <w:tc>
          <w:tcPr>
            <w:tcW w:w="1402" w:type="dxa"/>
            <w:tcBorders>
              <w:top w:val="nil"/>
              <w:left w:val="nil"/>
              <w:bottom w:val="nil"/>
              <w:right w:val="nil"/>
            </w:tcBorders>
            <w:shd w:val="clear" w:color="000000" w:fill="BFBFBF" w:themeFill="background1" w:themeFillShade="BF"/>
            <w:vAlign w:val="center"/>
          </w:tcPr>
          <w:p w14:paraId="5EA73BE5" w14:textId="110EC16B" w:rsidR="003B0341" w:rsidRPr="003B0341" w:rsidRDefault="003B0341" w:rsidP="00F70B94">
            <w:pPr>
              <w:jc w:val="right"/>
              <w:rPr>
                <w:rFonts w:cs="Arial"/>
                <w:b/>
                <w:color w:val="000000"/>
                <w:sz w:val="22"/>
                <w:szCs w:val="22"/>
                <w:lang w:eastAsia="en-AU"/>
              </w:rPr>
            </w:pPr>
            <w:r w:rsidRPr="003B0341">
              <w:rPr>
                <w:rFonts w:cs="Arial"/>
                <w:b/>
                <w:color w:val="000000"/>
                <w:sz w:val="22"/>
                <w:szCs w:val="22"/>
                <w:lang w:eastAsia="en-AU"/>
              </w:rPr>
              <w:t>2015</w:t>
            </w:r>
          </w:p>
        </w:tc>
        <w:tc>
          <w:tcPr>
            <w:tcW w:w="1402" w:type="dxa"/>
            <w:tcBorders>
              <w:top w:val="nil"/>
              <w:left w:val="nil"/>
              <w:bottom w:val="nil"/>
              <w:right w:val="nil"/>
            </w:tcBorders>
            <w:shd w:val="clear" w:color="auto" w:fill="auto"/>
            <w:vAlign w:val="center"/>
            <w:hideMark/>
          </w:tcPr>
          <w:p w14:paraId="5EA73BE6" w14:textId="00CCD9C6" w:rsidR="003B0341" w:rsidRPr="00F70B94" w:rsidRDefault="003B0341" w:rsidP="00F70B94">
            <w:pPr>
              <w:jc w:val="right"/>
              <w:rPr>
                <w:rFonts w:cs="Arial"/>
                <w:color w:val="000000"/>
                <w:sz w:val="22"/>
                <w:szCs w:val="22"/>
                <w:lang w:eastAsia="en-AU"/>
              </w:rPr>
            </w:pPr>
            <w:r>
              <w:rPr>
                <w:rFonts w:cs="Arial"/>
                <w:color w:val="000000"/>
                <w:sz w:val="22"/>
                <w:szCs w:val="22"/>
                <w:lang w:eastAsia="en-AU"/>
              </w:rPr>
              <w:t>2014</w:t>
            </w:r>
          </w:p>
        </w:tc>
      </w:tr>
      <w:tr w:rsidR="003B0341" w:rsidRPr="00F70B94" w14:paraId="5EA73BEC" w14:textId="77777777" w:rsidTr="003B0341">
        <w:trPr>
          <w:trHeight w:val="457"/>
        </w:trPr>
        <w:tc>
          <w:tcPr>
            <w:tcW w:w="5904" w:type="dxa"/>
            <w:tcBorders>
              <w:top w:val="nil"/>
              <w:left w:val="nil"/>
              <w:bottom w:val="nil"/>
              <w:right w:val="nil"/>
            </w:tcBorders>
            <w:shd w:val="clear" w:color="auto" w:fill="auto"/>
            <w:vAlign w:val="bottom"/>
            <w:hideMark/>
          </w:tcPr>
          <w:p w14:paraId="5EA73BE8" w14:textId="77777777" w:rsidR="003B0341" w:rsidRPr="00F70B94" w:rsidRDefault="003B0341" w:rsidP="00F70B94">
            <w:pPr>
              <w:rPr>
                <w:rFonts w:cs="Arial"/>
                <w:color w:val="000000"/>
                <w:sz w:val="22"/>
                <w:szCs w:val="22"/>
                <w:lang w:eastAsia="en-AU"/>
              </w:rPr>
            </w:pPr>
            <w:r w:rsidRPr="00F70B94">
              <w:rPr>
                <w:rFonts w:cs="Arial"/>
                <w:color w:val="000000"/>
                <w:sz w:val="22"/>
                <w:szCs w:val="22"/>
                <w:lang w:eastAsia="en-AU"/>
              </w:rPr>
              <w:t>Balance at beginning of financial year</w:t>
            </w:r>
          </w:p>
        </w:tc>
        <w:tc>
          <w:tcPr>
            <w:tcW w:w="1402" w:type="dxa"/>
            <w:tcBorders>
              <w:top w:val="nil"/>
              <w:left w:val="nil"/>
              <w:bottom w:val="nil"/>
              <w:right w:val="nil"/>
            </w:tcBorders>
            <w:shd w:val="clear" w:color="000000" w:fill="BFBFBF" w:themeFill="background1" w:themeFillShade="BF"/>
            <w:vAlign w:val="bottom"/>
          </w:tcPr>
          <w:p w14:paraId="5EA73BEA" w14:textId="77777777" w:rsidR="003B0341" w:rsidRPr="00F70B94" w:rsidRDefault="003B0341" w:rsidP="00F70B94">
            <w:pPr>
              <w:jc w:val="right"/>
              <w:rPr>
                <w:rFonts w:cs="Arial"/>
                <w:color w:val="000000"/>
                <w:sz w:val="22"/>
                <w:szCs w:val="22"/>
                <w:lang w:eastAsia="en-AU"/>
              </w:rPr>
            </w:pPr>
            <w:r>
              <w:rPr>
                <w:rFonts w:cs="Arial"/>
                <w:color w:val="000000"/>
                <w:sz w:val="22"/>
                <w:szCs w:val="22"/>
                <w:lang w:eastAsia="en-AU"/>
              </w:rPr>
              <w:t>(357)</w:t>
            </w:r>
          </w:p>
        </w:tc>
        <w:tc>
          <w:tcPr>
            <w:tcW w:w="1402" w:type="dxa"/>
            <w:tcBorders>
              <w:top w:val="nil"/>
              <w:left w:val="nil"/>
              <w:bottom w:val="nil"/>
              <w:right w:val="nil"/>
            </w:tcBorders>
            <w:shd w:val="clear" w:color="auto" w:fill="auto"/>
            <w:vAlign w:val="bottom"/>
            <w:hideMark/>
          </w:tcPr>
          <w:p w14:paraId="5EA73BEB"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(197)</w:t>
            </w:r>
          </w:p>
        </w:tc>
      </w:tr>
      <w:tr w:rsidR="003B0341" w:rsidRPr="00F70B94" w14:paraId="5EA73BF1" w14:textId="77777777" w:rsidTr="003B0341">
        <w:trPr>
          <w:trHeight w:val="457"/>
        </w:trPr>
        <w:tc>
          <w:tcPr>
            <w:tcW w:w="5904" w:type="dxa"/>
            <w:tcBorders>
              <w:top w:val="nil"/>
              <w:left w:val="nil"/>
              <w:bottom w:val="nil"/>
              <w:right w:val="nil"/>
            </w:tcBorders>
            <w:shd w:val="clear" w:color="auto" w:fill="auto"/>
            <w:vAlign w:val="bottom"/>
            <w:hideMark/>
          </w:tcPr>
          <w:p w14:paraId="5EA73BED" w14:textId="77777777" w:rsidR="003B0341" w:rsidRPr="00F70B94" w:rsidRDefault="003B0341" w:rsidP="009159BE">
            <w:pPr>
              <w:rPr>
                <w:rFonts w:cs="Arial"/>
                <w:color w:val="000000"/>
                <w:sz w:val="22"/>
                <w:szCs w:val="22"/>
                <w:lang w:eastAsia="en-AU"/>
              </w:rPr>
            </w:pPr>
            <w:r>
              <w:rPr>
                <w:rFonts w:cs="Arial"/>
                <w:color w:val="000000"/>
                <w:sz w:val="22"/>
                <w:szCs w:val="22"/>
                <w:lang w:eastAsia="en-AU"/>
              </w:rPr>
              <w:t>Disposals</w:t>
            </w:r>
          </w:p>
        </w:tc>
        <w:tc>
          <w:tcPr>
            <w:tcW w:w="1402" w:type="dxa"/>
            <w:tcBorders>
              <w:top w:val="nil"/>
              <w:left w:val="nil"/>
              <w:bottom w:val="nil"/>
              <w:right w:val="nil"/>
            </w:tcBorders>
            <w:shd w:val="clear" w:color="000000" w:fill="BFBFBF" w:themeFill="background1" w:themeFillShade="BF"/>
            <w:vAlign w:val="bottom"/>
          </w:tcPr>
          <w:p w14:paraId="5EA73BEF" w14:textId="77777777" w:rsidR="003B0341" w:rsidRPr="00F70B94" w:rsidRDefault="003B0341" w:rsidP="009159BE">
            <w:pPr>
              <w:jc w:val="right"/>
              <w:rPr>
                <w:rFonts w:cs="Arial"/>
                <w:color w:val="000000"/>
                <w:sz w:val="22"/>
                <w:szCs w:val="22"/>
                <w:lang w:eastAsia="en-AU"/>
              </w:rPr>
            </w:pPr>
            <w:r>
              <w:rPr>
                <w:rFonts w:cs="Arial"/>
                <w:color w:val="000000"/>
                <w:sz w:val="22"/>
                <w:szCs w:val="22"/>
                <w:lang w:eastAsia="en-AU"/>
              </w:rPr>
              <w:t>14</w:t>
            </w:r>
          </w:p>
        </w:tc>
        <w:tc>
          <w:tcPr>
            <w:tcW w:w="1402" w:type="dxa"/>
            <w:tcBorders>
              <w:top w:val="nil"/>
              <w:left w:val="nil"/>
              <w:bottom w:val="nil"/>
              <w:right w:val="nil"/>
            </w:tcBorders>
            <w:shd w:val="clear" w:color="auto" w:fill="auto"/>
            <w:vAlign w:val="bottom"/>
            <w:hideMark/>
          </w:tcPr>
          <w:p w14:paraId="5EA73BF0" w14:textId="77777777" w:rsidR="003B0341" w:rsidRPr="00F70B94" w:rsidRDefault="003B0341" w:rsidP="00560794">
            <w:pPr>
              <w:jc w:val="right"/>
              <w:rPr>
                <w:rFonts w:cs="Arial"/>
                <w:color w:val="000000"/>
                <w:sz w:val="22"/>
                <w:szCs w:val="22"/>
                <w:lang w:eastAsia="en-AU"/>
              </w:rPr>
            </w:pPr>
            <w:r>
              <w:rPr>
                <w:rFonts w:cs="Arial"/>
                <w:color w:val="000000"/>
                <w:sz w:val="22"/>
                <w:szCs w:val="22"/>
                <w:lang w:eastAsia="en-AU"/>
              </w:rPr>
              <w:t>-</w:t>
            </w:r>
          </w:p>
        </w:tc>
      </w:tr>
      <w:tr w:rsidR="003B0341" w:rsidRPr="00F70B94" w14:paraId="5EA73BF6" w14:textId="77777777" w:rsidTr="003B0341">
        <w:trPr>
          <w:trHeight w:val="457"/>
        </w:trPr>
        <w:tc>
          <w:tcPr>
            <w:tcW w:w="5904" w:type="dxa"/>
            <w:tcBorders>
              <w:top w:val="nil"/>
              <w:left w:val="nil"/>
              <w:bottom w:val="nil"/>
              <w:right w:val="nil"/>
            </w:tcBorders>
            <w:shd w:val="clear" w:color="auto" w:fill="auto"/>
            <w:vAlign w:val="bottom"/>
            <w:hideMark/>
          </w:tcPr>
          <w:p w14:paraId="5EA73BF2" w14:textId="77777777" w:rsidR="003B0341" w:rsidRPr="00F70B94" w:rsidRDefault="003B0341" w:rsidP="00560794">
            <w:pPr>
              <w:rPr>
                <w:rFonts w:cs="Arial"/>
                <w:color w:val="000000"/>
                <w:sz w:val="22"/>
                <w:szCs w:val="22"/>
                <w:lang w:eastAsia="en-AU"/>
              </w:rPr>
            </w:pPr>
            <w:r w:rsidRPr="00F70B94">
              <w:rPr>
                <w:rFonts w:cs="Arial"/>
                <w:color w:val="000000"/>
                <w:sz w:val="22"/>
                <w:szCs w:val="22"/>
                <w:lang w:eastAsia="en-AU"/>
              </w:rPr>
              <w:t xml:space="preserve">Net impairment </w:t>
            </w:r>
            <w:r>
              <w:rPr>
                <w:rFonts w:cs="Arial"/>
                <w:color w:val="000000"/>
                <w:sz w:val="22"/>
                <w:szCs w:val="22"/>
                <w:lang w:eastAsia="en-AU"/>
              </w:rPr>
              <w:t>losses charged to surplus</w:t>
            </w:r>
          </w:p>
        </w:tc>
        <w:tc>
          <w:tcPr>
            <w:tcW w:w="1402" w:type="dxa"/>
            <w:tcBorders>
              <w:top w:val="nil"/>
              <w:left w:val="nil"/>
              <w:bottom w:val="nil"/>
              <w:right w:val="nil"/>
            </w:tcBorders>
            <w:shd w:val="clear" w:color="000000" w:fill="BFBFBF" w:themeFill="background1" w:themeFillShade="BF"/>
            <w:vAlign w:val="bottom"/>
          </w:tcPr>
          <w:p w14:paraId="5EA73BF4" w14:textId="77777777" w:rsidR="003B0341" w:rsidRPr="00F70B94" w:rsidRDefault="003B0341" w:rsidP="009159BE">
            <w:pPr>
              <w:jc w:val="right"/>
              <w:rPr>
                <w:rFonts w:cs="Arial"/>
                <w:color w:val="000000"/>
                <w:sz w:val="22"/>
                <w:szCs w:val="22"/>
                <w:lang w:eastAsia="en-AU"/>
              </w:rPr>
            </w:pPr>
            <w:r>
              <w:rPr>
                <w:rFonts w:cs="Arial"/>
                <w:color w:val="000000"/>
                <w:sz w:val="22"/>
                <w:szCs w:val="22"/>
                <w:lang w:eastAsia="en-AU"/>
              </w:rPr>
              <w:t>(422)</w:t>
            </w:r>
          </w:p>
        </w:tc>
        <w:tc>
          <w:tcPr>
            <w:tcW w:w="1402" w:type="dxa"/>
            <w:tcBorders>
              <w:top w:val="nil"/>
              <w:left w:val="nil"/>
              <w:bottom w:val="nil"/>
              <w:right w:val="nil"/>
            </w:tcBorders>
            <w:shd w:val="clear" w:color="auto" w:fill="auto"/>
            <w:vAlign w:val="bottom"/>
            <w:hideMark/>
          </w:tcPr>
          <w:p w14:paraId="5EA73BF5" w14:textId="77777777" w:rsidR="003B0341" w:rsidRPr="00F70B94" w:rsidRDefault="003B0341" w:rsidP="00560794">
            <w:pPr>
              <w:jc w:val="right"/>
              <w:rPr>
                <w:rFonts w:cs="Arial"/>
                <w:color w:val="000000"/>
                <w:sz w:val="22"/>
                <w:szCs w:val="22"/>
                <w:lang w:eastAsia="en-AU"/>
              </w:rPr>
            </w:pPr>
            <w:r w:rsidRPr="00F70B94">
              <w:rPr>
                <w:rFonts w:cs="Arial"/>
                <w:color w:val="000000"/>
                <w:sz w:val="22"/>
                <w:szCs w:val="22"/>
                <w:lang w:eastAsia="en-AU"/>
              </w:rPr>
              <w:t>(56)</w:t>
            </w:r>
          </w:p>
        </w:tc>
      </w:tr>
      <w:tr w:rsidR="003B0341" w:rsidRPr="00F70B94" w14:paraId="5EA73BFB" w14:textId="77777777" w:rsidTr="003B0341">
        <w:trPr>
          <w:trHeight w:val="457"/>
        </w:trPr>
        <w:tc>
          <w:tcPr>
            <w:tcW w:w="5904" w:type="dxa"/>
            <w:tcBorders>
              <w:top w:val="nil"/>
              <w:left w:val="nil"/>
              <w:bottom w:val="nil"/>
              <w:right w:val="nil"/>
            </w:tcBorders>
            <w:shd w:val="clear" w:color="auto" w:fill="auto"/>
            <w:vAlign w:val="bottom"/>
            <w:hideMark/>
          </w:tcPr>
          <w:p w14:paraId="5EA73BF7" w14:textId="77777777" w:rsidR="003B0341" w:rsidRPr="00F70B94" w:rsidRDefault="003B0341" w:rsidP="000A3240">
            <w:pPr>
              <w:rPr>
                <w:rFonts w:cs="Arial"/>
                <w:color w:val="000000"/>
                <w:sz w:val="22"/>
                <w:szCs w:val="22"/>
                <w:lang w:eastAsia="en-AU"/>
              </w:rPr>
            </w:pPr>
            <w:r w:rsidRPr="009159BE">
              <w:rPr>
                <w:rFonts w:cs="Arial"/>
                <w:color w:val="000000"/>
                <w:sz w:val="22"/>
                <w:szCs w:val="22"/>
                <w:lang w:eastAsia="en-AU"/>
              </w:rPr>
              <w:t>Reversal of impairment losses credited to surplus</w:t>
            </w:r>
          </w:p>
        </w:tc>
        <w:tc>
          <w:tcPr>
            <w:tcW w:w="1402" w:type="dxa"/>
            <w:tcBorders>
              <w:top w:val="nil"/>
              <w:left w:val="nil"/>
              <w:bottom w:val="nil"/>
              <w:right w:val="nil"/>
            </w:tcBorders>
            <w:shd w:val="clear" w:color="000000" w:fill="BFBFBF" w:themeFill="background1" w:themeFillShade="BF"/>
            <w:vAlign w:val="bottom"/>
          </w:tcPr>
          <w:p w14:paraId="5EA73BF9" w14:textId="77777777" w:rsidR="003B0341" w:rsidRPr="00F70B94" w:rsidRDefault="003B0341" w:rsidP="00F70B94">
            <w:pPr>
              <w:jc w:val="right"/>
              <w:rPr>
                <w:rFonts w:cs="Arial"/>
                <w:color w:val="000000"/>
                <w:sz w:val="22"/>
                <w:szCs w:val="22"/>
                <w:lang w:eastAsia="en-AU"/>
              </w:rPr>
            </w:pPr>
            <w:r>
              <w:rPr>
                <w:rFonts w:cs="Arial"/>
                <w:color w:val="000000"/>
                <w:sz w:val="22"/>
                <w:szCs w:val="22"/>
                <w:lang w:eastAsia="en-AU"/>
              </w:rPr>
              <w:t>342</w:t>
            </w:r>
          </w:p>
        </w:tc>
        <w:tc>
          <w:tcPr>
            <w:tcW w:w="1402" w:type="dxa"/>
            <w:tcBorders>
              <w:top w:val="nil"/>
              <w:left w:val="nil"/>
              <w:bottom w:val="nil"/>
              <w:right w:val="nil"/>
            </w:tcBorders>
            <w:shd w:val="clear" w:color="auto" w:fill="auto"/>
            <w:vAlign w:val="bottom"/>
            <w:hideMark/>
          </w:tcPr>
          <w:p w14:paraId="5EA73BFA"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(56)</w:t>
            </w:r>
          </w:p>
        </w:tc>
      </w:tr>
      <w:tr w:rsidR="003B0341" w:rsidRPr="00F70B94" w14:paraId="5EA73C01" w14:textId="77777777" w:rsidTr="003B0341">
        <w:trPr>
          <w:trHeight w:val="457"/>
        </w:trPr>
        <w:tc>
          <w:tcPr>
            <w:tcW w:w="5904" w:type="dxa"/>
            <w:tcBorders>
              <w:top w:val="nil"/>
              <w:left w:val="nil"/>
              <w:bottom w:val="nil"/>
              <w:right w:val="nil"/>
            </w:tcBorders>
            <w:shd w:val="clear" w:color="auto" w:fill="auto"/>
            <w:vAlign w:val="bottom"/>
            <w:hideMark/>
          </w:tcPr>
          <w:p w14:paraId="5EA73BFC" w14:textId="77777777" w:rsidR="003B0341" w:rsidRDefault="003B0341" w:rsidP="00CF6572">
            <w:pPr>
              <w:rPr>
                <w:rFonts w:cs="Arial"/>
                <w:color w:val="000000"/>
                <w:sz w:val="22"/>
                <w:szCs w:val="22"/>
                <w:lang w:eastAsia="en-AU"/>
              </w:rPr>
            </w:pPr>
          </w:p>
          <w:p w14:paraId="5EA73BFD" w14:textId="77777777" w:rsidR="003B0341" w:rsidRPr="00F70B94" w:rsidRDefault="003B0341" w:rsidP="00CF6572">
            <w:pPr>
              <w:rPr>
                <w:rFonts w:cs="Arial"/>
                <w:color w:val="000000"/>
                <w:sz w:val="22"/>
                <w:szCs w:val="22"/>
                <w:lang w:eastAsia="en-AU"/>
              </w:rPr>
            </w:pPr>
            <w:r w:rsidRPr="00F70B94">
              <w:rPr>
                <w:rFonts w:cs="Arial"/>
                <w:color w:val="000000"/>
                <w:sz w:val="22"/>
                <w:szCs w:val="22"/>
                <w:lang w:eastAsia="en-AU"/>
              </w:rPr>
              <w:t xml:space="preserve">Transfer from assets classified as </w:t>
            </w:r>
            <w:r>
              <w:rPr>
                <w:rFonts w:cs="Arial"/>
                <w:color w:val="000000"/>
                <w:sz w:val="22"/>
                <w:szCs w:val="22"/>
                <w:lang w:eastAsia="en-AU"/>
              </w:rPr>
              <w:t>property, plant and equipment</w:t>
            </w:r>
          </w:p>
        </w:tc>
        <w:tc>
          <w:tcPr>
            <w:tcW w:w="1402" w:type="dxa"/>
            <w:tcBorders>
              <w:top w:val="nil"/>
              <w:left w:val="nil"/>
              <w:bottom w:val="nil"/>
              <w:right w:val="nil"/>
            </w:tcBorders>
            <w:shd w:val="clear" w:color="000000" w:fill="BFBFBF" w:themeFill="background1" w:themeFillShade="BF"/>
            <w:vAlign w:val="bottom"/>
          </w:tcPr>
          <w:p w14:paraId="5EA73BFF" w14:textId="7006EE01" w:rsidR="003B0341" w:rsidRPr="00F70B94" w:rsidRDefault="003B0341" w:rsidP="00CF6572">
            <w:pPr>
              <w:jc w:val="right"/>
              <w:rPr>
                <w:rFonts w:cs="Arial"/>
                <w:color w:val="000000"/>
                <w:sz w:val="22"/>
                <w:szCs w:val="22"/>
                <w:lang w:eastAsia="en-AU"/>
              </w:rPr>
            </w:pPr>
            <w:r>
              <w:rPr>
                <w:rFonts w:cs="Arial"/>
                <w:color w:val="000000"/>
                <w:sz w:val="22"/>
                <w:szCs w:val="22"/>
                <w:lang w:eastAsia="en-AU"/>
              </w:rPr>
              <w:t>(313)</w:t>
            </w:r>
          </w:p>
        </w:tc>
        <w:tc>
          <w:tcPr>
            <w:tcW w:w="1402" w:type="dxa"/>
            <w:tcBorders>
              <w:top w:val="nil"/>
              <w:left w:val="nil"/>
              <w:bottom w:val="nil"/>
              <w:right w:val="nil"/>
            </w:tcBorders>
            <w:shd w:val="clear" w:color="auto" w:fill="auto"/>
            <w:vAlign w:val="bottom"/>
            <w:hideMark/>
          </w:tcPr>
          <w:p w14:paraId="5EA73C00" w14:textId="32072D7A" w:rsidR="003B0341" w:rsidRPr="00F70B94" w:rsidRDefault="003B0341" w:rsidP="003B0341">
            <w:pPr>
              <w:jc w:val="right"/>
              <w:rPr>
                <w:rFonts w:cs="Arial"/>
                <w:color w:val="000000"/>
                <w:sz w:val="22"/>
                <w:szCs w:val="22"/>
                <w:lang w:eastAsia="en-AU"/>
              </w:rPr>
            </w:pPr>
            <w:r>
              <w:rPr>
                <w:rFonts w:cs="Arial"/>
                <w:color w:val="000000"/>
                <w:sz w:val="22"/>
                <w:szCs w:val="22"/>
                <w:lang w:eastAsia="en-AU"/>
              </w:rPr>
              <w:t>0</w:t>
            </w:r>
          </w:p>
        </w:tc>
      </w:tr>
      <w:tr w:rsidR="003B0341" w:rsidRPr="00F70B94" w14:paraId="5EA73C0B" w14:textId="77777777" w:rsidTr="003B0341">
        <w:trPr>
          <w:trHeight w:val="552"/>
        </w:trPr>
        <w:tc>
          <w:tcPr>
            <w:tcW w:w="5904" w:type="dxa"/>
            <w:tcBorders>
              <w:top w:val="nil"/>
              <w:left w:val="nil"/>
              <w:bottom w:val="nil"/>
              <w:right w:val="nil"/>
            </w:tcBorders>
            <w:shd w:val="clear" w:color="auto" w:fill="auto"/>
            <w:vAlign w:val="bottom"/>
            <w:hideMark/>
          </w:tcPr>
          <w:p w14:paraId="5EA73C07" w14:textId="44920CF0" w:rsidR="003B0341" w:rsidRPr="00F70B94" w:rsidRDefault="003B0341" w:rsidP="00F70B94">
            <w:pPr>
              <w:rPr>
                <w:rFonts w:cs="Arial"/>
                <w:color w:val="000000"/>
                <w:sz w:val="22"/>
                <w:szCs w:val="22"/>
                <w:lang w:eastAsia="en-AU"/>
              </w:rPr>
            </w:pPr>
            <w:r w:rsidRPr="00F70B94">
              <w:rPr>
                <w:rFonts w:cs="Arial"/>
                <w:color w:val="000000"/>
                <w:sz w:val="22"/>
                <w:szCs w:val="22"/>
                <w:lang w:eastAsia="en-AU"/>
              </w:rPr>
              <w:t>Balance at end of financial year</w:t>
            </w:r>
          </w:p>
        </w:tc>
        <w:tc>
          <w:tcPr>
            <w:tcW w:w="1402" w:type="dxa"/>
            <w:tcBorders>
              <w:top w:val="single" w:sz="12" w:space="0" w:color="auto"/>
              <w:left w:val="nil"/>
              <w:bottom w:val="single" w:sz="12" w:space="0" w:color="auto"/>
              <w:right w:val="nil"/>
            </w:tcBorders>
            <w:shd w:val="clear" w:color="000000" w:fill="BFBFBF" w:themeFill="background1" w:themeFillShade="BF"/>
            <w:vAlign w:val="bottom"/>
          </w:tcPr>
          <w:p w14:paraId="5EA73C09" w14:textId="20F49BF3" w:rsidR="003B0341" w:rsidRPr="00F70B94" w:rsidRDefault="003B0341" w:rsidP="0030720B">
            <w:pPr>
              <w:jc w:val="right"/>
              <w:rPr>
                <w:rFonts w:cs="Arial"/>
                <w:color w:val="000000"/>
                <w:sz w:val="22"/>
                <w:szCs w:val="22"/>
                <w:lang w:eastAsia="en-AU"/>
              </w:rPr>
            </w:pPr>
            <w:r>
              <w:rPr>
                <w:rFonts w:cs="Arial"/>
                <w:color w:val="000000"/>
                <w:sz w:val="22"/>
                <w:szCs w:val="22"/>
                <w:lang w:eastAsia="en-AU"/>
              </w:rPr>
              <w:t>(</w:t>
            </w:r>
            <w:r>
              <w:rPr>
                <w:rFonts w:cs="Arial" w:hint="eastAsia"/>
                <w:color w:val="000000"/>
                <w:sz w:val="22"/>
                <w:szCs w:val="22"/>
                <w:lang w:eastAsia="zh-CN"/>
              </w:rPr>
              <w:t>736</w:t>
            </w:r>
            <w:r>
              <w:rPr>
                <w:rFonts w:cs="Arial"/>
                <w:color w:val="000000"/>
                <w:sz w:val="22"/>
                <w:szCs w:val="22"/>
                <w:lang w:eastAsia="en-AU"/>
              </w:rPr>
              <w:t>)</w:t>
            </w:r>
          </w:p>
        </w:tc>
        <w:tc>
          <w:tcPr>
            <w:tcW w:w="1402" w:type="dxa"/>
            <w:tcBorders>
              <w:top w:val="single" w:sz="12" w:space="0" w:color="auto"/>
              <w:left w:val="nil"/>
              <w:bottom w:val="single" w:sz="12" w:space="0" w:color="auto"/>
              <w:right w:val="nil"/>
            </w:tcBorders>
            <w:shd w:val="clear" w:color="auto" w:fill="auto"/>
            <w:vAlign w:val="bottom"/>
            <w:hideMark/>
          </w:tcPr>
          <w:p w14:paraId="5EA73C0A"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(357)</w:t>
            </w:r>
          </w:p>
        </w:tc>
      </w:tr>
      <w:tr w:rsidR="003B0341" w:rsidRPr="00F70B94" w14:paraId="5EA73C10" w14:textId="77777777" w:rsidTr="003B0341">
        <w:trPr>
          <w:trHeight w:val="514"/>
        </w:trPr>
        <w:tc>
          <w:tcPr>
            <w:tcW w:w="5904" w:type="dxa"/>
            <w:tcBorders>
              <w:top w:val="nil"/>
              <w:left w:val="nil"/>
              <w:bottom w:val="nil"/>
              <w:right w:val="nil"/>
            </w:tcBorders>
            <w:shd w:val="clear" w:color="auto" w:fill="auto"/>
            <w:vAlign w:val="bottom"/>
            <w:hideMark/>
          </w:tcPr>
          <w:p w14:paraId="5EA73C0C" w14:textId="77777777" w:rsidR="003B0341" w:rsidRPr="00F70B94" w:rsidRDefault="003B0341" w:rsidP="00F70B94">
            <w:pPr>
              <w:rPr>
                <w:rFonts w:cs="Arial"/>
                <w:b/>
                <w:bCs/>
                <w:color w:val="000000"/>
                <w:sz w:val="22"/>
                <w:szCs w:val="22"/>
                <w:lang w:eastAsia="en-AU"/>
              </w:rPr>
            </w:pPr>
            <w:r w:rsidRPr="00F70B94">
              <w:rPr>
                <w:rFonts w:cs="Arial"/>
                <w:b/>
                <w:bCs/>
                <w:color w:val="000000"/>
                <w:sz w:val="22"/>
                <w:szCs w:val="22"/>
                <w:lang w:eastAsia="en-AU"/>
              </w:rPr>
              <w:t>Net book value</w:t>
            </w:r>
          </w:p>
        </w:tc>
        <w:tc>
          <w:tcPr>
            <w:tcW w:w="1402" w:type="dxa"/>
            <w:tcBorders>
              <w:top w:val="nil"/>
              <w:left w:val="nil"/>
              <w:bottom w:val="single" w:sz="12" w:space="0" w:color="auto"/>
              <w:right w:val="nil"/>
            </w:tcBorders>
            <w:shd w:val="clear" w:color="000000" w:fill="BFBFBF" w:themeFill="background1" w:themeFillShade="BF"/>
            <w:vAlign w:val="bottom"/>
          </w:tcPr>
          <w:p w14:paraId="5EA73C0E" w14:textId="7A786F4F" w:rsidR="003B0341" w:rsidRPr="00F70B94" w:rsidRDefault="003B0341" w:rsidP="00F70B94">
            <w:pPr>
              <w:jc w:val="right"/>
              <w:rPr>
                <w:rFonts w:cs="Arial"/>
                <w:color w:val="000000"/>
                <w:sz w:val="22"/>
                <w:szCs w:val="22"/>
                <w:lang w:eastAsia="zh-CN"/>
              </w:rPr>
            </w:pPr>
            <w:r>
              <w:rPr>
                <w:rFonts w:cs="Arial" w:hint="eastAsia"/>
                <w:color w:val="000000"/>
                <w:sz w:val="22"/>
                <w:szCs w:val="22"/>
                <w:lang w:eastAsia="zh-CN"/>
              </w:rPr>
              <w:t>880</w:t>
            </w:r>
          </w:p>
        </w:tc>
        <w:tc>
          <w:tcPr>
            <w:tcW w:w="1402" w:type="dxa"/>
            <w:tcBorders>
              <w:top w:val="nil"/>
              <w:left w:val="nil"/>
              <w:bottom w:val="single" w:sz="12" w:space="0" w:color="auto"/>
              <w:right w:val="nil"/>
            </w:tcBorders>
            <w:shd w:val="clear" w:color="auto" w:fill="auto"/>
            <w:vAlign w:val="bottom"/>
            <w:hideMark/>
          </w:tcPr>
          <w:p w14:paraId="5EA73C0F" w14:textId="77777777" w:rsidR="003B0341" w:rsidRPr="00F70B94" w:rsidRDefault="003B0341" w:rsidP="00F70B94">
            <w:pPr>
              <w:jc w:val="right"/>
              <w:rPr>
                <w:rFonts w:cs="Arial"/>
                <w:color w:val="000000"/>
                <w:sz w:val="22"/>
                <w:szCs w:val="22"/>
                <w:lang w:eastAsia="en-AU"/>
              </w:rPr>
            </w:pPr>
            <w:r w:rsidRPr="00F70B94">
              <w:rPr>
                <w:rFonts w:cs="Arial"/>
                <w:color w:val="000000"/>
                <w:sz w:val="22"/>
                <w:szCs w:val="22"/>
                <w:lang w:eastAsia="en-AU"/>
              </w:rPr>
              <w:t>2,232</w:t>
            </w:r>
          </w:p>
        </w:tc>
      </w:tr>
    </w:tbl>
    <w:p w14:paraId="5EA73C17" w14:textId="77777777" w:rsidR="006B5FD2" w:rsidRPr="007540D9" w:rsidRDefault="006B5FD2" w:rsidP="006B5FD2">
      <w:pPr>
        <w:rPr>
          <w:rFonts w:cs="Arial"/>
          <w:sz w:val="22"/>
          <w:szCs w:val="22"/>
        </w:rPr>
      </w:pPr>
    </w:p>
    <w:p w14:paraId="5EA73C18" w14:textId="77777777" w:rsidR="006B5FD2" w:rsidRPr="007540D9" w:rsidRDefault="006B5FD2" w:rsidP="006B5FD2">
      <w:pPr>
        <w:rPr>
          <w:rFonts w:cs="Arial"/>
          <w:sz w:val="22"/>
          <w:szCs w:val="22"/>
        </w:rPr>
      </w:pPr>
    </w:p>
    <w:p w14:paraId="47B04C72" w14:textId="77777777" w:rsidR="003B0341" w:rsidRPr="00F70B94" w:rsidRDefault="003B0341" w:rsidP="003B0341">
      <w:pPr>
        <w:rPr>
          <w:rFonts w:cs="Arial"/>
          <w:color w:val="000000"/>
          <w:sz w:val="22"/>
          <w:szCs w:val="22"/>
          <w:lang w:eastAsia="en-AU"/>
        </w:rPr>
      </w:pPr>
      <w:r w:rsidRPr="00723E6D">
        <w:rPr>
          <w:rFonts w:cs="Arial"/>
          <w:color w:val="000000"/>
          <w:sz w:val="22"/>
          <w:szCs w:val="22"/>
          <w:lang w:eastAsia="en-AU"/>
        </w:rPr>
        <w:t xml:space="preserve">The Group disposed of a number of freehold properties that were gifted or previously acquired for operational development purposes and </w:t>
      </w:r>
      <w:r>
        <w:rPr>
          <w:rFonts w:cs="Arial"/>
          <w:color w:val="000000"/>
          <w:sz w:val="22"/>
          <w:szCs w:val="22"/>
          <w:lang w:eastAsia="en-AU"/>
        </w:rPr>
        <w:t>were</w:t>
      </w:r>
      <w:r w:rsidRPr="00723E6D">
        <w:rPr>
          <w:rFonts w:cs="Arial"/>
          <w:color w:val="000000"/>
          <w:sz w:val="22"/>
          <w:szCs w:val="22"/>
          <w:lang w:eastAsia="en-AU"/>
        </w:rPr>
        <w:t xml:space="preserve"> found to be surplus to requirements.</w:t>
      </w:r>
    </w:p>
    <w:p w14:paraId="5EA73C19" w14:textId="77777777" w:rsidR="006B5FD2" w:rsidRPr="007540D9" w:rsidRDefault="006B5FD2" w:rsidP="006B5FD2">
      <w:pPr>
        <w:rPr>
          <w:rFonts w:cs="Arial"/>
          <w:sz w:val="22"/>
          <w:szCs w:val="22"/>
        </w:rPr>
      </w:pPr>
    </w:p>
    <w:p w14:paraId="7A8E6BE1" w14:textId="77777777" w:rsidR="00FA7C6C" w:rsidRDefault="00FA7C6C">
      <w:pPr>
        <w:rPr>
          <w:rFonts w:cs="Arial"/>
          <w:b/>
          <w:bCs/>
          <w:color w:val="000000"/>
          <w:sz w:val="20"/>
          <w:szCs w:val="20"/>
          <w:lang w:eastAsia="en-AU"/>
        </w:rPr>
      </w:pPr>
      <w:r>
        <w:rPr>
          <w:rFonts w:cs="Arial"/>
          <w:b/>
          <w:bCs/>
          <w:color w:val="000000"/>
          <w:sz w:val="20"/>
          <w:szCs w:val="20"/>
          <w:lang w:eastAsia="en-AU"/>
        </w:rPr>
        <w:br w:type="page"/>
      </w:r>
    </w:p>
    <w:p w14:paraId="5EA73C1B" w14:textId="76449C21" w:rsidR="00BF4042" w:rsidRDefault="00FA7C6C" w:rsidP="00BF287B">
      <w:pPr>
        <w:pStyle w:val="Heading1"/>
      </w:pPr>
      <w:bookmarkStart w:id="308" w:name="_Toc430613765"/>
      <w:r w:rsidRPr="00FA7C6C">
        <w:rPr>
          <w:lang w:eastAsia="en-AU"/>
        </w:rPr>
        <w:lastRenderedPageBreak/>
        <w:t>Note 12:  Property, plant and equipment</w:t>
      </w:r>
      <w:bookmarkEnd w:id="308"/>
      <w:r w:rsidRPr="00FA7C6C">
        <w:t xml:space="preserve"> </w:t>
      </w:r>
    </w:p>
    <w:p w14:paraId="3E3E7EBA" w14:textId="77777777" w:rsidR="003B0341" w:rsidRPr="003B0341" w:rsidRDefault="003B0341" w:rsidP="003B0341"/>
    <w:tbl>
      <w:tblPr>
        <w:tblW w:w="9734" w:type="dxa"/>
        <w:tblInd w:w="108" w:type="dxa"/>
        <w:tblLook w:val="04A0" w:firstRow="1" w:lastRow="0" w:firstColumn="1" w:lastColumn="0" w:noHBand="0" w:noVBand="1"/>
      </w:tblPr>
      <w:tblGrid>
        <w:gridCol w:w="2562"/>
        <w:gridCol w:w="894"/>
        <w:gridCol w:w="1028"/>
        <w:gridCol w:w="1150"/>
        <w:gridCol w:w="949"/>
        <w:gridCol w:w="1195"/>
        <w:gridCol w:w="995"/>
        <w:gridCol w:w="961"/>
      </w:tblGrid>
      <w:tr w:rsidR="003B0341" w:rsidRPr="008F6E13" w14:paraId="00C23D54" w14:textId="77777777" w:rsidTr="007E2B09">
        <w:trPr>
          <w:trHeight w:val="262"/>
          <w:tblHeader/>
        </w:trPr>
        <w:tc>
          <w:tcPr>
            <w:tcW w:w="2562" w:type="dxa"/>
            <w:tcBorders>
              <w:top w:val="nil"/>
              <w:left w:val="nil"/>
              <w:bottom w:val="nil"/>
              <w:right w:val="nil"/>
            </w:tcBorders>
            <w:shd w:val="clear" w:color="auto" w:fill="auto"/>
            <w:vAlign w:val="bottom"/>
          </w:tcPr>
          <w:p w14:paraId="32403376" w14:textId="2B215324" w:rsidR="003B0341" w:rsidRPr="008F6E13" w:rsidRDefault="003B0341" w:rsidP="007F66DD">
            <w:pPr>
              <w:rPr>
                <w:rFonts w:cs="Arial"/>
                <w:b/>
                <w:bCs/>
                <w:color w:val="000000"/>
                <w:sz w:val="20"/>
                <w:szCs w:val="20"/>
                <w:lang w:eastAsia="en-AU"/>
              </w:rPr>
            </w:pPr>
            <w:bookmarkStart w:id="309" w:name="Table_38"/>
            <w:bookmarkEnd w:id="309"/>
            <w:r w:rsidRPr="008F6E13">
              <w:rPr>
                <w:rFonts w:cs="Arial"/>
                <w:b/>
                <w:bCs/>
                <w:color w:val="000000"/>
                <w:sz w:val="20"/>
                <w:szCs w:val="20"/>
                <w:lang w:eastAsia="en-AU"/>
              </w:rPr>
              <w:t>Gross carrying amount</w:t>
            </w:r>
          </w:p>
        </w:tc>
        <w:tc>
          <w:tcPr>
            <w:tcW w:w="894" w:type="dxa"/>
            <w:tcBorders>
              <w:top w:val="nil"/>
              <w:left w:val="nil"/>
              <w:bottom w:val="single" w:sz="8" w:space="0" w:color="auto"/>
              <w:right w:val="nil"/>
            </w:tcBorders>
            <w:shd w:val="clear" w:color="auto" w:fill="auto"/>
            <w:vAlign w:val="center"/>
          </w:tcPr>
          <w:p w14:paraId="6402FB2D" w14:textId="1F7E926B"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Land at cost</w:t>
            </w:r>
          </w:p>
        </w:tc>
        <w:tc>
          <w:tcPr>
            <w:tcW w:w="1028" w:type="dxa"/>
            <w:tcBorders>
              <w:top w:val="nil"/>
              <w:left w:val="nil"/>
              <w:bottom w:val="single" w:sz="8" w:space="0" w:color="auto"/>
              <w:right w:val="nil"/>
            </w:tcBorders>
            <w:shd w:val="clear" w:color="auto" w:fill="auto"/>
            <w:vAlign w:val="center"/>
          </w:tcPr>
          <w:p w14:paraId="616AC7DC" w14:textId="55C3D016"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Buildings at cost</w:t>
            </w:r>
          </w:p>
        </w:tc>
        <w:tc>
          <w:tcPr>
            <w:tcW w:w="1150" w:type="dxa"/>
            <w:tcBorders>
              <w:top w:val="nil"/>
              <w:left w:val="nil"/>
              <w:bottom w:val="single" w:sz="8" w:space="0" w:color="auto"/>
              <w:right w:val="nil"/>
            </w:tcBorders>
            <w:shd w:val="clear" w:color="auto" w:fill="auto"/>
            <w:vAlign w:val="center"/>
          </w:tcPr>
          <w:p w14:paraId="58822CF2" w14:textId="5412C531"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Furniture, plant and equipment at cost</w:t>
            </w:r>
          </w:p>
        </w:tc>
        <w:tc>
          <w:tcPr>
            <w:tcW w:w="949" w:type="dxa"/>
            <w:tcBorders>
              <w:top w:val="nil"/>
              <w:left w:val="nil"/>
              <w:bottom w:val="single" w:sz="8" w:space="0" w:color="auto"/>
              <w:right w:val="nil"/>
            </w:tcBorders>
            <w:shd w:val="clear" w:color="auto" w:fill="auto"/>
            <w:vAlign w:val="center"/>
          </w:tcPr>
          <w:p w14:paraId="15031A95" w14:textId="6F23C389"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Motor vehicles at cost</w:t>
            </w:r>
          </w:p>
        </w:tc>
        <w:tc>
          <w:tcPr>
            <w:tcW w:w="1195" w:type="dxa"/>
            <w:tcBorders>
              <w:top w:val="nil"/>
              <w:left w:val="nil"/>
              <w:bottom w:val="single" w:sz="8" w:space="0" w:color="auto"/>
              <w:right w:val="nil"/>
            </w:tcBorders>
            <w:shd w:val="clear" w:color="auto" w:fill="auto"/>
            <w:vAlign w:val="center"/>
          </w:tcPr>
          <w:p w14:paraId="331F715D" w14:textId="4A115DB3" w:rsidR="003B0341" w:rsidRPr="008F6E13" w:rsidRDefault="003B0341" w:rsidP="007F66DD">
            <w:pPr>
              <w:jc w:val="right"/>
              <w:rPr>
                <w:rFonts w:cs="Arial"/>
                <w:color w:val="000000"/>
                <w:sz w:val="20"/>
                <w:szCs w:val="20"/>
                <w:lang w:eastAsia="en-AU"/>
              </w:rPr>
            </w:pPr>
            <w:r w:rsidRPr="008F6E13">
              <w:rPr>
                <w:rFonts w:cs="Arial"/>
                <w:sz w:val="20"/>
                <w:szCs w:val="20"/>
                <w:lang w:eastAsia="en-AU"/>
              </w:rPr>
              <w:t>Computers at cost</w:t>
            </w:r>
          </w:p>
        </w:tc>
        <w:tc>
          <w:tcPr>
            <w:tcW w:w="995" w:type="dxa"/>
            <w:tcBorders>
              <w:top w:val="nil"/>
              <w:left w:val="nil"/>
              <w:bottom w:val="single" w:sz="8" w:space="0" w:color="auto"/>
              <w:right w:val="nil"/>
            </w:tcBorders>
            <w:shd w:val="clear" w:color="auto" w:fill="auto"/>
            <w:vAlign w:val="center"/>
          </w:tcPr>
          <w:p w14:paraId="584CCF35" w14:textId="17446A55" w:rsidR="003B0341" w:rsidRPr="008F6E13" w:rsidRDefault="003B0341" w:rsidP="007F66DD">
            <w:pPr>
              <w:jc w:val="right"/>
              <w:rPr>
                <w:rFonts w:cs="Arial"/>
                <w:color w:val="000000"/>
                <w:sz w:val="20"/>
                <w:szCs w:val="20"/>
                <w:lang w:eastAsia="en-AU"/>
              </w:rPr>
            </w:pPr>
            <w:r w:rsidRPr="008F6E13">
              <w:rPr>
                <w:rFonts w:cs="Arial"/>
                <w:sz w:val="20"/>
                <w:szCs w:val="20"/>
                <w:lang w:eastAsia="en-AU"/>
              </w:rPr>
              <w:t>Capital work in progress</w:t>
            </w:r>
          </w:p>
        </w:tc>
        <w:tc>
          <w:tcPr>
            <w:tcW w:w="961" w:type="dxa"/>
            <w:tcBorders>
              <w:top w:val="nil"/>
              <w:left w:val="nil"/>
              <w:bottom w:val="single" w:sz="8" w:space="0" w:color="auto"/>
              <w:right w:val="nil"/>
            </w:tcBorders>
            <w:shd w:val="clear" w:color="000000" w:fill="BFBFBF" w:themeFill="background1" w:themeFillShade="BF"/>
            <w:vAlign w:val="center"/>
          </w:tcPr>
          <w:p w14:paraId="15B5F69A" w14:textId="36AFEB3D"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Total</w:t>
            </w:r>
          </w:p>
        </w:tc>
      </w:tr>
      <w:tr w:rsidR="003B0341" w:rsidRPr="008F6E13" w14:paraId="5EA73C4A" w14:textId="77777777" w:rsidTr="0016002F">
        <w:trPr>
          <w:trHeight w:val="262"/>
        </w:trPr>
        <w:tc>
          <w:tcPr>
            <w:tcW w:w="2562" w:type="dxa"/>
            <w:tcBorders>
              <w:top w:val="nil"/>
              <w:left w:val="nil"/>
              <w:bottom w:val="nil"/>
              <w:right w:val="nil"/>
            </w:tcBorders>
            <w:shd w:val="clear" w:color="auto" w:fill="auto"/>
            <w:vAlign w:val="bottom"/>
            <w:hideMark/>
          </w:tcPr>
          <w:p w14:paraId="5EA73C42" w14:textId="77777777" w:rsidR="003B0341" w:rsidRPr="008F6E13" w:rsidRDefault="003B0341" w:rsidP="00BC6AED">
            <w:pPr>
              <w:rPr>
                <w:rFonts w:cs="Arial"/>
                <w:color w:val="000000"/>
                <w:sz w:val="20"/>
                <w:szCs w:val="20"/>
                <w:lang w:eastAsia="en-AU"/>
              </w:rPr>
            </w:pPr>
            <w:r w:rsidRPr="008F6E13">
              <w:rPr>
                <w:rFonts w:cs="Arial"/>
                <w:color w:val="000000"/>
                <w:sz w:val="20"/>
                <w:szCs w:val="20"/>
                <w:lang w:eastAsia="en-AU"/>
              </w:rPr>
              <w:t>Balance at 30 June 2013</w:t>
            </w:r>
          </w:p>
        </w:tc>
        <w:tc>
          <w:tcPr>
            <w:tcW w:w="894" w:type="dxa"/>
            <w:tcBorders>
              <w:top w:val="nil"/>
              <w:left w:val="nil"/>
              <w:bottom w:val="nil"/>
              <w:right w:val="nil"/>
            </w:tcBorders>
            <w:shd w:val="clear" w:color="auto" w:fill="auto"/>
            <w:vAlign w:val="bottom"/>
            <w:hideMark/>
          </w:tcPr>
          <w:p w14:paraId="5EA73C43"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41,745</w:t>
            </w:r>
          </w:p>
        </w:tc>
        <w:tc>
          <w:tcPr>
            <w:tcW w:w="1028" w:type="dxa"/>
            <w:tcBorders>
              <w:top w:val="nil"/>
              <w:left w:val="nil"/>
              <w:bottom w:val="nil"/>
              <w:right w:val="nil"/>
            </w:tcBorders>
            <w:shd w:val="clear" w:color="auto" w:fill="auto"/>
            <w:vAlign w:val="bottom"/>
            <w:hideMark/>
          </w:tcPr>
          <w:p w14:paraId="5EA73C44"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52,408</w:t>
            </w:r>
          </w:p>
        </w:tc>
        <w:tc>
          <w:tcPr>
            <w:tcW w:w="1150" w:type="dxa"/>
            <w:tcBorders>
              <w:top w:val="nil"/>
              <w:left w:val="nil"/>
              <w:bottom w:val="nil"/>
              <w:right w:val="nil"/>
            </w:tcBorders>
            <w:shd w:val="clear" w:color="auto" w:fill="auto"/>
            <w:vAlign w:val="bottom"/>
            <w:hideMark/>
          </w:tcPr>
          <w:p w14:paraId="5EA73C45"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13,365</w:t>
            </w:r>
          </w:p>
        </w:tc>
        <w:tc>
          <w:tcPr>
            <w:tcW w:w="949" w:type="dxa"/>
            <w:tcBorders>
              <w:top w:val="nil"/>
              <w:left w:val="nil"/>
              <w:bottom w:val="nil"/>
              <w:right w:val="nil"/>
            </w:tcBorders>
            <w:shd w:val="clear" w:color="auto" w:fill="auto"/>
            <w:vAlign w:val="bottom"/>
            <w:hideMark/>
          </w:tcPr>
          <w:p w14:paraId="5EA73C46"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6,092</w:t>
            </w:r>
          </w:p>
        </w:tc>
        <w:tc>
          <w:tcPr>
            <w:tcW w:w="1195" w:type="dxa"/>
            <w:tcBorders>
              <w:top w:val="nil"/>
              <w:left w:val="nil"/>
              <w:bottom w:val="nil"/>
              <w:right w:val="nil"/>
            </w:tcBorders>
            <w:shd w:val="clear" w:color="auto" w:fill="auto"/>
            <w:vAlign w:val="bottom"/>
            <w:hideMark/>
          </w:tcPr>
          <w:p w14:paraId="5EA73C47"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8,337</w:t>
            </w:r>
          </w:p>
        </w:tc>
        <w:tc>
          <w:tcPr>
            <w:tcW w:w="995" w:type="dxa"/>
            <w:tcBorders>
              <w:top w:val="nil"/>
              <w:left w:val="nil"/>
              <w:bottom w:val="nil"/>
              <w:right w:val="nil"/>
            </w:tcBorders>
            <w:shd w:val="clear" w:color="auto" w:fill="auto"/>
            <w:vAlign w:val="bottom"/>
            <w:hideMark/>
          </w:tcPr>
          <w:p w14:paraId="5EA73C48"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2,858</w:t>
            </w:r>
          </w:p>
        </w:tc>
        <w:tc>
          <w:tcPr>
            <w:tcW w:w="961" w:type="dxa"/>
            <w:tcBorders>
              <w:top w:val="nil"/>
              <w:left w:val="nil"/>
              <w:bottom w:val="nil"/>
              <w:right w:val="nil"/>
            </w:tcBorders>
            <w:shd w:val="clear" w:color="000000" w:fill="BFBFBF" w:themeFill="background1" w:themeFillShade="BF"/>
            <w:vAlign w:val="bottom"/>
            <w:hideMark/>
          </w:tcPr>
          <w:p w14:paraId="5EA73C49"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124,805</w:t>
            </w:r>
          </w:p>
        </w:tc>
      </w:tr>
      <w:tr w:rsidR="003B0341" w:rsidRPr="008F6E13" w14:paraId="5EA73C53" w14:textId="77777777" w:rsidTr="0016002F">
        <w:trPr>
          <w:trHeight w:val="262"/>
        </w:trPr>
        <w:tc>
          <w:tcPr>
            <w:tcW w:w="2562" w:type="dxa"/>
            <w:tcBorders>
              <w:top w:val="nil"/>
              <w:left w:val="nil"/>
              <w:bottom w:val="nil"/>
              <w:right w:val="nil"/>
            </w:tcBorders>
            <w:shd w:val="clear" w:color="auto" w:fill="auto"/>
            <w:vAlign w:val="bottom"/>
          </w:tcPr>
          <w:p w14:paraId="5EA73C4B"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Additions</w:t>
            </w:r>
          </w:p>
        </w:tc>
        <w:tc>
          <w:tcPr>
            <w:tcW w:w="894" w:type="dxa"/>
            <w:tcBorders>
              <w:top w:val="nil"/>
              <w:left w:val="nil"/>
              <w:bottom w:val="nil"/>
              <w:right w:val="nil"/>
            </w:tcBorders>
            <w:shd w:val="clear" w:color="auto" w:fill="auto"/>
            <w:vAlign w:val="bottom"/>
          </w:tcPr>
          <w:p w14:paraId="5EA73C4C"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 xml:space="preserve">               4 </w:t>
            </w:r>
          </w:p>
        </w:tc>
        <w:tc>
          <w:tcPr>
            <w:tcW w:w="1028" w:type="dxa"/>
            <w:tcBorders>
              <w:top w:val="nil"/>
              <w:left w:val="nil"/>
              <w:bottom w:val="nil"/>
              <w:right w:val="nil"/>
            </w:tcBorders>
            <w:shd w:val="clear" w:color="auto" w:fill="auto"/>
            <w:vAlign w:val="bottom"/>
          </w:tcPr>
          <w:p w14:paraId="5EA73C4D"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454</w:t>
            </w:r>
          </w:p>
        </w:tc>
        <w:tc>
          <w:tcPr>
            <w:tcW w:w="1150" w:type="dxa"/>
            <w:tcBorders>
              <w:top w:val="nil"/>
              <w:left w:val="nil"/>
              <w:bottom w:val="nil"/>
              <w:right w:val="nil"/>
            </w:tcBorders>
            <w:shd w:val="clear" w:color="auto" w:fill="auto"/>
            <w:vAlign w:val="bottom"/>
          </w:tcPr>
          <w:p w14:paraId="5EA73C4E"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344</w:t>
            </w:r>
          </w:p>
        </w:tc>
        <w:tc>
          <w:tcPr>
            <w:tcW w:w="949" w:type="dxa"/>
            <w:tcBorders>
              <w:top w:val="nil"/>
              <w:left w:val="nil"/>
              <w:bottom w:val="nil"/>
              <w:right w:val="nil"/>
            </w:tcBorders>
            <w:shd w:val="clear" w:color="auto" w:fill="auto"/>
            <w:vAlign w:val="bottom"/>
          </w:tcPr>
          <w:p w14:paraId="5EA73C4F"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420</w:t>
            </w:r>
          </w:p>
        </w:tc>
        <w:tc>
          <w:tcPr>
            <w:tcW w:w="1195" w:type="dxa"/>
            <w:tcBorders>
              <w:top w:val="nil"/>
              <w:left w:val="nil"/>
              <w:bottom w:val="nil"/>
              <w:right w:val="nil"/>
            </w:tcBorders>
            <w:shd w:val="clear" w:color="auto" w:fill="auto"/>
            <w:vAlign w:val="bottom"/>
          </w:tcPr>
          <w:p w14:paraId="5EA73C50"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121</w:t>
            </w:r>
          </w:p>
        </w:tc>
        <w:tc>
          <w:tcPr>
            <w:tcW w:w="995" w:type="dxa"/>
            <w:tcBorders>
              <w:top w:val="nil"/>
              <w:left w:val="nil"/>
              <w:bottom w:val="nil"/>
              <w:right w:val="nil"/>
            </w:tcBorders>
            <w:shd w:val="clear" w:color="auto" w:fill="auto"/>
            <w:vAlign w:val="bottom"/>
          </w:tcPr>
          <w:p w14:paraId="5EA73C51"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4,707</w:t>
            </w:r>
          </w:p>
        </w:tc>
        <w:tc>
          <w:tcPr>
            <w:tcW w:w="961" w:type="dxa"/>
            <w:tcBorders>
              <w:top w:val="nil"/>
              <w:left w:val="nil"/>
              <w:bottom w:val="nil"/>
              <w:right w:val="nil"/>
            </w:tcBorders>
            <w:shd w:val="clear" w:color="000000" w:fill="BFBFBF" w:themeFill="background1" w:themeFillShade="BF"/>
            <w:vAlign w:val="bottom"/>
          </w:tcPr>
          <w:p w14:paraId="5EA73C52"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6,050</w:t>
            </w:r>
          </w:p>
        </w:tc>
      </w:tr>
      <w:tr w:rsidR="003B0341" w:rsidRPr="008F6E13" w14:paraId="5EA73C5C" w14:textId="77777777" w:rsidTr="0016002F">
        <w:trPr>
          <w:trHeight w:val="262"/>
        </w:trPr>
        <w:tc>
          <w:tcPr>
            <w:tcW w:w="2562" w:type="dxa"/>
            <w:tcBorders>
              <w:top w:val="nil"/>
              <w:left w:val="nil"/>
              <w:bottom w:val="nil"/>
              <w:right w:val="nil"/>
            </w:tcBorders>
            <w:shd w:val="clear" w:color="auto" w:fill="auto"/>
            <w:vAlign w:val="bottom"/>
            <w:hideMark/>
          </w:tcPr>
          <w:p w14:paraId="5EA73C54"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Transfer</w:t>
            </w:r>
          </w:p>
        </w:tc>
        <w:tc>
          <w:tcPr>
            <w:tcW w:w="894" w:type="dxa"/>
            <w:tcBorders>
              <w:top w:val="nil"/>
              <w:left w:val="nil"/>
              <w:bottom w:val="nil"/>
              <w:right w:val="nil"/>
            </w:tcBorders>
            <w:shd w:val="clear" w:color="auto" w:fill="auto"/>
            <w:vAlign w:val="bottom"/>
            <w:hideMark/>
          </w:tcPr>
          <w:p w14:paraId="5EA73C55"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 xml:space="preserve">            700 </w:t>
            </w:r>
          </w:p>
        </w:tc>
        <w:tc>
          <w:tcPr>
            <w:tcW w:w="1028" w:type="dxa"/>
            <w:tcBorders>
              <w:top w:val="nil"/>
              <w:left w:val="nil"/>
              <w:bottom w:val="nil"/>
              <w:right w:val="nil"/>
            </w:tcBorders>
            <w:shd w:val="clear" w:color="auto" w:fill="auto"/>
            <w:vAlign w:val="bottom"/>
            <w:hideMark/>
          </w:tcPr>
          <w:p w14:paraId="5EA73C56"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6,719</w:t>
            </w:r>
          </w:p>
        </w:tc>
        <w:tc>
          <w:tcPr>
            <w:tcW w:w="1150" w:type="dxa"/>
            <w:tcBorders>
              <w:top w:val="nil"/>
              <w:left w:val="nil"/>
              <w:bottom w:val="nil"/>
              <w:right w:val="nil"/>
            </w:tcBorders>
            <w:shd w:val="clear" w:color="auto" w:fill="auto"/>
            <w:vAlign w:val="bottom"/>
            <w:hideMark/>
          </w:tcPr>
          <w:p w14:paraId="5EA73C57"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(9)</w:t>
            </w:r>
          </w:p>
        </w:tc>
        <w:tc>
          <w:tcPr>
            <w:tcW w:w="949" w:type="dxa"/>
            <w:tcBorders>
              <w:top w:val="nil"/>
              <w:left w:val="nil"/>
              <w:bottom w:val="nil"/>
              <w:right w:val="nil"/>
            </w:tcBorders>
            <w:shd w:val="clear" w:color="auto" w:fill="auto"/>
            <w:vAlign w:val="bottom"/>
            <w:hideMark/>
          </w:tcPr>
          <w:p w14:paraId="5EA73C58" w14:textId="1B43CA68"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1195" w:type="dxa"/>
            <w:tcBorders>
              <w:top w:val="nil"/>
              <w:left w:val="nil"/>
              <w:bottom w:val="nil"/>
              <w:right w:val="nil"/>
            </w:tcBorders>
            <w:shd w:val="clear" w:color="auto" w:fill="auto"/>
            <w:vAlign w:val="bottom"/>
            <w:hideMark/>
          </w:tcPr>
          <w:p w14:paraId="5EA73C59" w14:textId="10022901"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r w:rsidRPr="008F6E13">
              <w:rPr>
                <w:rFonts w:cs="Arial"/>
                <w:color w:val="000000"/>
                <w:sz w:val="20"/>
                <w:szCs w:val="20"/>
                <w:lang w:eastAsia="en-AU"/>
              </w:rPr>
              <w:t xml:space="preserve">  </w:t>
            </w:r>
          </w:p>
        </w:tc>
        <w:tc>
          <w:tcPr>
            <w:tcW w:w="995" w:type="dxa"/>
            <w:tcBorders>
              <w:top w:val="nil"/>
              <w:left w:val="nil"/>
              <w:bottom w:val="nil"/>
              <w:right w:val="nil"/>
            </w:tcBorders>
            <w:shd w:val="clear" w:color="auto" w:fill="auto"/>
            <w:vAlign w:val="bottom"/>
            <w:hideMark/>
          </w:tcPr>
          <w:p w14:paraId="5EA73C5A"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(7,410)</w:t>
            </w:r>
          </w:p>
        </w:tc>
        <w:tc>
          <w:tcPr>
            <w:tcW w:w="961" w:type="dxa"/>
            <w:tcBorders>
              <w:top w:val="nil"/>
              <w:left w:val="nil"/>
              <w:bottom w:val="nil"/>
              <w:right w:val="nil"/>
            </w:tcBorders>
            <w:shd w:val="clear" w:color="000000" w:fill="BFBFBF" w:themeFill="background1" w:themeFillShade="BF"/>
            <w:vAlign w:val="bottom"/>
            <w:hideMark/>
          </w:tcPr>
          <w:p w14:paraId="5EA73C5B" w14:textId="513B7866"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r>
      <w:tr w:rsidR="003B0341" w:rsidRPr="008F6E13" w14:paraId="5EA73C65" w14:textId="77777777" w:rsidTr="0016002F">
        <w:trPr>
          <w:trHeight w:val="262"/>
        </w:trPr>
        <w:tc>
          <w:tcPr>
            <w:tcW w:w="2562" w:type="dxa"/>
            <w:tcBorders>
              <w:top w:val="nil"/>
              <w:left w:val="nil"/>
              <w:bottom w:val="nil"/>
              <w:right w:val="nil"/>
            </w:tcBorders>
            <w:shd w:val="clear" w:color="auto" w:fill="auto"/>
            <w:vAlign w:val="bottom"/>
            <w:hideMark/>
          </w:tcPr>
          <w:p w14:paraId="5EA73C5D"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Disposals</w:t>
            </w:r>
          </w:p>
        </w:tc>
        <w:tc>
          <w:tcPr>
            <w:tcW w:w="894" w:type="dxa"/>
            <w:tcBorders>
              <w:top w:val="nil"/>
              <w:left w:val="nil"/>
              <w:bottom w:val="single" w:sz="8" w:space="0" w:color="auto"/>
              <w:right w:val="nil"/>
            </w:tcBorders>
            <w:shd w:val="clear" w:color="auto" w:fill="auto"/>
            <w:vAlign w:val="bottom"/>
            <w:hideMark/>
          </w:tcPr>
          <w:p w14:paraId="5EA73C5E" w14:textId="1365A431"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r w:rsidRPr="008F6E13">
              <w:rPr>
                <w:rFonts w:cs="Arial"/>
                <w:color w:val="000000"/>
                <w:sz w:val="20"/>
                <w:szCs w:val="20"/>
                <w:lang w:eastAsia="en-AU"/>
              </w:rPr>
              <w:t xml:space="preserve">  </w:t>
            </w:r>
          </w:p>
        </w:tc>
        <w:tc>
          <w:tcPr>
            <w:tcW w:w="1028" w:type="dxa"/>
            <w:tcBorders>
              <w:top w:val="nil"/>
              <w:left w:val="nil"/>
              <w:bottom w:val="single" w:sz="8" w:space="0" w:color="auto"/>
              <w:right w:val="nil"/>
            </w:tcBorders>
            <w:shd w:val="clear" w:color="auto" w:fill="auto"/>
            <w:vAlign w:val="bottom"/>
            <w:hideMark/>
          </w:tcPr>
          <w:p w14:paraId="5EA73C5F"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(24)</w:t>
            </w:r>
          </w:p>
        </w:tc>
        <w:tc>
          <w:tcPr>
            <w:tcW w:w="1150" w:type="dxa"/>
            <w:tcBorders>
              <w:top w:val="nil"/>
              <w:left w:val="nil"/>
              <w:bottom w:val="single" w:sz="8" w:space="0" w:color="auto"/>
              <w:right w:val="nil"/>
            </w:tcBorders>
            <w:shd w:val="clear" w:color="auto" w:fill="auto"/>
            <w:vAlign w:val="bottom"/>
            <w:hideMark/>
          </w:tcPr>
          <w:p w14:paraId="5EA73C60"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(195)</w:t>
            </w:r>
          </w:p>
        </w:tc>
        <w:tc>
          <w:tcPr>
            <w:tcW w:w="949" w:type="dxa"/>
            <w:tcBorders>
              <w:top w:val="nil"/>
              <w:left w:val="nil"/>
              <w:bottom w:val="single" w:sz="8" w:space="0" w:color="auto"/>
              <w:right w:val="nil"/>
            </w:tcBorders>
            <w:shd w:val="clear" w:color="auto" w:fill="auto"/>
            <w:vAlign w:val="bottom"/>
            <w:hideMark/>
          </w:tcPr>
          <w:p w14:paraId="5EA73C61"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(1,492)</w:t>
            </w:r>
          </w:p>
        </w:tc>
        <w:tc>
          <w:tcPr>
            <w:tcW w:w="1195" w:type="dxa"/>
            <w:tcBorders>
              <w:top w:val="nil"/>
              <w:left w:val="nil"/>
              <w:bottom w:val="single" w:sz="8" w:space="0" w:color="auto"/>
              <w:right w:val="nil"/>
            </w:tcBorders>
            <w:shd w:val="clear" w:color="auto" w:fill="auto"/>
            <w:vAlign w:val="bottom"/>
            <w:hideMark/>
          </w:tcPr>
          <w:p w14:paraId="5EA73C62"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(1,623)</w:t>
            </w:r>
          </w:p>
        </w:tc>
        <w:tc>
          <w:tcPr>
            <w:tcW w:w="995" w:type="dxa"/>
            <w:tcBorders>
              <w:top w:val="nil"/>
              <w:left w:val="nil"/>
              <w:bottom w:val="single" w:sz="8" w:space="0" w:color="auto"/>
              <w:right w:val="nil"/>
            </w:tcBorders>
            <w:shd w:val="clear" w:color="auto" w:fill="auto"/>
            <w:vAlign w:val="bottom"/>
            <w:hideMark/>
          </w:tcPr>
          <w:p w14:paraId="5EA73C63" w14:textId="59550E02"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top w:val="nil"/>
              <w:left w:val="nil"/>
              <w:bottom w:val="single" w:sz="8" w:space="0" w:color="auto"/>
              <w:right w:val="nil"/>
            </w:tcBorders>
            <w:shd w:val="clear" w:color="000000" w:fill="BFBFBF" w:themeFill="background1" w:themeFillShade="BF"/>
            <w:vAlign w:val="bottom"/>
            <w:hideMark/>
          </w:tcPr>
          <w:p w14:paraId="5EA73C64"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(3,334)</w:t>
            </w:r>
          </w:p>
        </w:tc>
      </w:tr>
      <w:tr w:rsidR="003B0341" w:rsidRPr="008F6E13" w14:paraId="5EA73C6E" w14:textId="77777777" w:rsidTr="0016002F">
        <w:trPr>
          <w:trHeight w:val="262"/>
        </w:trPr>
        <w:tc>
          <w:tcPr>
            <w:tcW w:w="2562" w:type="dxa"/>
            <w:tcBorders>
              <w:top w:val="nil"/>
              <w:left w:val="nil"/>
              <w:bottom w:val="nil"/>
              <w:right w:val="nil"/>
            </w:tcBorders>
            <w:shd w:val="clear" w:color="auto" w:fill="auto"/>
            <w:vAlign w:val="bottom"/>
            <w:hideMark/>
          </w:tcPr>
          <w:p w14:paraId="5EA73C66" w14:textId="77777777" w:rsidR="003B0341" w:rsidRPr="008F6E13" w:rsidRDefault="003B0341" w:rsidP="00BC6AED">
            <w:pPr>
              <w:rPr>
                <w:rFonts w:cs="Arial"/>
                <w:color w:val="000000"/>
                <w:sz w:val="20"/>
                <w:szCs w:val="20"/>
                <w:lang w:eastAsia="en-AU"/>
              </w:rPr>
            </w:pPr>
            <w:r w:rsidRPr="008F6E13">
              <w:rPr>
                <w:rFonts w:cs="Arial"/>
                <w:color w:val="000000"/>
                <w:sz w:val="20"/>
                <w:szCs w:val="20"/>
                <w:lang w:eastAsia="en-AU"/>
              </w:rPr>
              <w:t>Balance at 30 June 2014</w:t>
            </w:r>
          </w:p>
        </w:tc>
        <w:tc>
          <w:tcPr>
            <w:tcW w:w="894" w:type="dxa"/>
            <w:tcBorders>
              <w:top w:val="nil"/>
              <w:left w:val="nil"/>
              <w:bottom w:val="nil"/>
              <w:right w:val="nil"/>
            </w:tcBorders>
            <w:shd w:val="clear" w:color="auto" w:fill="auto"/>
            <w:vAlign w:val="bottom"/>
            <w:hideMark/>
          </w:tcPr>
          <w:p w14:paraId="5EA73C67"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42,449</w:t>
            </w:r>
          </w:p>
        </w:tc>
        <w:tc>
          <w:tcPr>
            <w:tcW w:w="1028" w:type="dxa"/>
            <w:tcBorders>
              <w:top w:val="nil"/>
              <w:left w:val="nil"/>
              <w:bottom w:val="nil"/>
              <w:right w:val="nil"/>
            </w:tcBorders>
            <w:shd w:val="clear" w:color="auto" w:fill="auto"/>
            <w:vAlign w:val="bottom"/>
            <w:hideMark/>
          </w:tcPr>
          <w:p w14:paraId="5EA73C68"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59,557</w:t>
            </w:r>
          </w:p>
        </w:tc>
        <w:tc>
          <w:tcPr>
            <w:tcW w:w="1150" w:type="dxa"/>
            <w:tcBorders>
              <w:top w:val="nil"/>
              <w:left w:val="nil"/>
              <w:bottom w:val="nil"/>
              <w:right w:val="nil"/>
            </w:tcBorders>
            <w:shd w:val="clear" w:color="auto" w:fill="auto"/>
            <w:vAlign w:val="bottom"/>
            <w:hideMark/>
          </w:tcPr>
          <w:p w14:paraId="5EA73C69"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13,505</w:t>
            </w:r>
          </w:p>
        </w:tc>
        <w:tc>
          <w:tcPr>
            <w:tcW w:w="949" w:type="dxa"/>
            <w:tcBorders>
              <w:top w:val="nil"/>
              <w:left w:val="nil"/>
              <w:bottom w:val="nil"/>
              <w:right w:val="nil"/>
            </w:tcBorders>
            <w:shd w:val="clear" w:color="auto" w:fill="auto"/>
            <w:vAlign w:val="bottom"/>
            <w:hideMark/>
          </w:tcPr>
          <w:p w14:paraId="5EA73C6A"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5,020</w:t>
            </w:r>
          </w:p>
        </w:tc>
        <w:tc>
          <w:tcPr>
            <w:tcW w:w="1195" w:type="dxa"/>
            <w:tcBorders>
              <w:top w:val="nil"/>
              <w:left w:val="nil"/>
              <w:bottom w:val="nil"/>
              <w:right w:val="nil"/>
            </w:tcBorders>
            <w:shd w:val="clear" w:color="auto" w:fill="auto"/>
            <w:vAlign w:val="bottom"/>
            <w:hideMark/>
          </w:tcPr>
          <w:p w14:paraId="5EA73C6B"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6,835</w:t>
            </w:r>
          </w:p>
        </w:tc>
        <w:tc>
          <w:tcPr>
            <w:tcW w:w="995" w:type="dxa"/>
            <w:tcBorders>
              <w:top w:val="nil"/>
              <w:left w:val="nil"/>
              <w:bottom w:val="nil"/>
              <w:right w:val="nil"/>
            </w:tcBorders>
            <w:shd w:val="clear" w:color="auto" w:fill="auto"/>
            <w:vAlign w:val="bottom"/>
            <w:hideMark/>
          </w:tcPr>
          <w:p w14:paraId="5EA73C6C"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155</w:t>
            </w:r>
          </w:p>
        </w:tc>
        <w:tc>
          <w:tcPr>
            <w:tcW w:w="961" w:type="dxa"/>
            <w:tcBorders>
              <w:top w:val="nil"/>
              <w:left w:val="nil"/>
              <w:bottom w:val="nil"/>
              <w:right w:val="nil"/>
            </w:tcBorders>
            <w:shd w:val="clear" w:color="000000" w:fill="BFBFBF" w:themeFill="background1" w:themeFillShade="BF"/>
            <w:vAlign w:val="bottom"/>
            <w:hideMark/>
          </w:tcPr>
          <w:p w14:paraId="5EA73C6D"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127,521</w:t>
            </w:r>
          </w:p>
        </w:tc>
      </w:tr>
      <w:tr w:rsidR="003B0341" w:rsidRPr="008F6E13" w14:paraId="5EA73C77" w14:textId="77777777" w:rsidTr="0016002F">
        <w:trPr>
          <w:trHeight w:val="262"/>
        </w:trPr>
        <w:tc>
          <w:tcPr>
            <w:tcW w:w="2562" w:type="dxa"/>
            <w:tcBorders>
              <w:top w:val="nil"/>
              <w:left w:val="nil"/>
              <w:bottom w:val="nil"/>
              <w:right w:val="nil"/>
            </w:tcBorders>
            <w:shd w:val="clear" w:color="auto" w:fill="auto"/>
            <w:vAlign w:val="bottom"/>
            <w:hideMark/>
          </w:tcPr>
          <w:p w14:paraId="5EA73C6F"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Additions</w:t>
            </w:r>
          </w:p>
        </w:tc>
        <w:tc>
          <w:tcPr>
            <w:tcW w:w="894" w:type="dxa"/>
            <w:tcBorders>
              <w:top w:val="nil"/>
              <w:left w:val="nil"/>
              <w:bottom w:val="nil"/>
              <w:right w:val="nil"/>
            </w:tcBorders>
            <w:shd w:val="clear" w:color="auto" w:fill="auto"/>
            <w:vAlign w:val="bottom"/>
          </w:tcPr>
          <w:p w14:paraId="5EA73C70" w14:textId="77777777" w:rsidR="003B0341" w:rsidRPr="008F6E13" w:rsidRDefault="003B0341" w:rsidP="007F66DD">
            <w:pPr>
              <w:jc w:val="right"/>
              <w:rPr>
                <w:rFonts w:cs="Arial"/>
                <w:color w:val="000000"/>
                <w:sz w:val="20"/>
                <w:szCs w:val="20"/>
                <w:lang w:eastAsia="en-AU"/>
              </w:rPr>
            </w:pPr>
          </w:p>
        </w:tc>
        <w:tc>
          <w:tcPr>
            <w:tcW w:w="1028" w:type="dxa"/>
            <w:tcBorders>
              <w:top w:val="nil"/>
              <w:left w:val="nil"/>
              <w:bottom w:val="nil"/>
              <w:right w:val="nil"/>
            </w:tcBorders>
            <w:shd w:val="clear" w:color="auto" w:fill="auto"/>
            <w:vAlign w:val="bottom"/>
          </w:tcPr>
          <w:p w14:paraId="5EA73C71"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416</w:t>
            </w:r>
          </w:p>
        </w:tc>
        <w:tc>
          <w:tcPr>
            <w:tcW w:w="1150" w:type="dxa"/>
            <w:tcBorders>
              <w:top w:val="nil"/>
              <w:left w:val="nil"/>
              <w:bottom w:val="nil"/>
              <w:right w:val="nil"/>
            </w:tcBorders>
            <w:shd w:val="clear" w:color="auto" w:fill="auto"/>
            <w:vAlign w:val="bottom"/>
          </w:tcPr>
          <w:p w14:paraId="5EA73C72"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281</w:t>
            </w:r>
          </w:p>
        </w:tc>
        <w:tc>
          <w:tcPr>
            <w:tcW w:w="949" w:type="dxa"/>
            <w:tcBorders>
              <w:top w:val="nil"/>
              <w:left w:val="nil"/>
              <w:bottom w:val="nil"/>
              <w:right w:val="nil"/>
            </w:tcBorders>
            <w:shd w:val="clear" w:color="auto" w:fill="auto"/>
            <w:vAlign w:val="bottom"/>
          </w:tcPr>
          <w:p w14:paraId="5EA73C73"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24</w:t>
            </w:r>
          </w:p>
        </w:tc>
        <w:tc>
          <w:tcPr>
            <w:tcW w:w="1195" w:type="dxa"/>
            <w:tcBorders>
              <w:top w:val="nil"/>
              <w:left w:val="nil"/>
              <w:bottom w:val="nil"/>
              <w:right w:val="nil"/>
            </w:tcBorders>
            <w:shd w:val="clear" w:color="auto" w:fill="auto"/>
            <w:vAlign w:val="bottom"/>
          </w:tcPr>
          <w:p w14:paraId="5EA73C74"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327</w:t>
            </w:r>
          </w:p>
        </w:tc>
        <w:tc>
          <w:tcPr>
            <w:tcW w:w="995" w:type="dxa"/>
            <w:tcBorders>
              <w:top w:val="nil"/>
              <w:left w:val="nil"/>
              <w:bottom w:val="nil"/>
              <w:right w:val="nil"/>
            </w:tcBorders>
            <w:shd w:val="clear" w:color="auto" w:fill="auto"/>
            <w:vAlign w:val="bottom"/>
          </w:tcPr>
          <w:p w14:paraId="5EA73C75"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2,589</w:t>
            </w:r>
          </w:p>
        </w:tc>
        <w:tc>
          <w:tcPr>
            <w:tcW w:w="961" w:type="dxa"/>
            <w:tcBorders>
              <w:top w:val="nil"/>
              <w:left w:val="nil"/>
              <w:bottom w:val="nil"/>
              <w:right w:val="nil"/>
            </w:tcBorders>
            <w:shd w:val="clear" w:color="000000" w:fill="BFBFBF" w:themeFill="background1" w:themeFillShade="BF"/>
            <w:vAlign w:val="bottom"/>
          </w:tcPr>
          <w:p w14:paraId="5EA73C76"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3,637</w:t>
            </w:r>
          </w:p>
        </w:tc>
      </w:tr>
      <w:tr w:rsidR="003B0341" w:rsidRPr="008F6E13" w14:paraId="5EA73C80" w14:textId="77777777" w:rsidTr="0016002F">
        <w:trPr>
          <w:trHeight w:val="262"/>
        </w:trPr>
        <w:tc>
          <w:tcPr>
            <w:tcW w:w="2562" w:type="dxa"/>
            <w:tcBorders>
              <w:top w:val="nil"/>
              <w:left w:val="nil"/>
              <w:bottom w:val="nil"/>
              <w:right w:val="nil"/>
            </w:tcBorders>
            <w:shd w:val="clear" w:color="auto" w:fill="auto"/>
            <w:vAlign w:val="bottom"/>
            <w:hideMark/>
          </w:tcPr>
          <w:p w14:paraId="5EA73C78"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Transfer</w:t>
            </w:r>
          </w:p>
        </w:tc>
        <w:tc>
          <w:tcPr>
            <w:tcW w:w="894" w:type="dxa"/>
            <w:tcBorders>
              <w:top w:val="nil"/>
              <w:left w:val="nil"/>
              <w:bottom w:val="nil"/>
              <w:right w:val="nil"/>
            </w:tcBorders>
            <w:shd w:val="clear" w:color="auto" w:fill="auto"/>
            <w:vAlign w:val="bottom"/>
          </w:tcPr>
          <w:p w14:paraId="5EA73C79"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(1,057)</w:t>
            </w:r>
          </w:p>
        </w:tc>
        <w:tc>
          <w:tcPr>
            <w:tcW w:w="1028" w:type="dxa"/>
            <w:tcBorders>
              <w:top w:val="nil"/>
              <w:left w:val="nil"/>
              <w:bottom w:val="nil"/>
              <w:right w:val="nil"/>
            </w:tcBorders>
            <w:shd w:val="clear" w:color="auto" w:fill="auto"/>
            <w:vAlign w:val="bottom"/>
          </w:tcPr>
          <w:p w14:paraId="5EA73C7A"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(559)</w:t>
            </w:r>
          </w:p>
        </w:tc>
        <w:tc>
          <w:tcPr>
            <w:tcW w:w="1150" w:type="dxa"/>
            <w:tcBorders>
              <w:top w:val="nil"/>
              <w:left w:val="nil"/>
              <w:bottom w:val="nil"/>
              <w:right w:val="nil"/>
            </w:tcBorders>
            <w:shd w:val="clear" w:color="auto" w:fill="auto"/>
            <w:vAlign w:val="bottom"/>
          </w:tcPr>
          <w:p w14:paraId="5EA73C7B" w14:textId="2FCF3D06"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49" w:type="dxa"/>
            <w:tcBorders>
              <w:top w:val="nil"/>
              <w:left w:val="nil"/>
              <w:bottom w:val="nil"/>
              <w:right w:val="nil"/>
            </w:tcBorders>
            <w:shd w:val="clear" w:color="auto" w:fill="auto"/>
            <w:vAlign w:val="bottom"/>
          </w:tcPr>
          <w:p w14:paraId="5EA73C7C" w14:textId="15755141"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1195" w:type="dxa"/>
            <w:tcBorders>
              <w:top w:val="nil"/>
              <w:left w:val="nil"/>
              <w:bottom w:val="nil"/>
              <w:right w:val="nil"/>
            </w:tcBorders>
            <w:shd w:val="clear" w:color="auto" w:fill="auto"/>
            <w:vAlign w:val="bottom"/>
          </w:tcPr>
          <w:p w14:paraId="5EA73C7D"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76</w:t>
            </w:r>
          </w:p>
        </w:tc>
        <w:tc>
          <w:tcPr>
            <w:tcW w:w="995" w:type="dxa"/>
            <w:tcBorders>
              <w:top w:val="nil"/>
              <w:left w:val="nil"/>
              <w:bottom w:val="nil"/>
              <w:right w:val="nil"/>
            </w:tcBorders>
            <w:shd w:val="clear" w:color="auto" w:fill="auto"/>
            <w:vAlign w:val="bottom"/>
          </w:tcPr>
          <w:p w14:paraId="5EA73C7E"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(1,994)</w:t>
            </w:r>
          </w:p>
        </w:tc>
        <w:tc>
          <w:tcPr>
            <w:tcW w:w="961" w:type="dxa"/>
            <w:tcBorders>
              <w:top w:val="nil"/>
              <w:left w:val="nil"/>
              <w:bottom w:val="nil"/>
              <w:right w:val="nil"/>
            </w:tcBorders>
            <w:shd w:val="clear" w:color="000000" w:fill="BFBFBF" w:themeFill="background1" w:themeFillShade="BF"/>
            <w:vAlign w:val="bottom"/>
          </w:tcPr>
          <w:p w14:paraId="5EA73C7F"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(3,534)</w:t>
            </w:r>
          </w:p>
        </w:tc>
      </w:tr>
      <w:tr w:rsidR="003B0341" w:rsidRPr="008F6E13" w14:paraId="5EA73C89" w14:textId="77777777" w:rsidTr="0016002F">
        <w:trPr>
          <w:trHeight w:val="262"/>
        </w:trPr>
        <w:tc>
          <w:tcPr>
            <w:tcW w:w="2562" w:type="dxa"/>
            <w:tcBorders>
              <w:top w:val="nil"/>
              <w:left w:val="nil"/>
              <w:bottom w:val="nil"/>
              <w:right w:val="nil"/>
            </w:tcBorders>
            <w:shd w:val="clear" w:color="auto" w:fill="auto"/>
            <w:vAlign w:val="bottom"/>
            <w:hideMark/>
          </w:tcPr>
          <w:p w14:paraId="5EA73C81"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Disposals</w:t>
            </w:r>
          </w:p>
        </w:tc>
        <w:tc>
          <w:tcPr>
            <w:tcW w:w="894" w:type="dxa"/>
            <w:tcBorders>
              <w:top w:val="nil"/>
              <w:left w:val="nil"/>
              <w:bottom w:val="single" w:sz="8" w:space="0" w:color="auto"/>
              <w:right w:val="nil"/>
            </w:tcBorders>
            <w:shd w:val="clear" w:color="auto" w:fill="auto"/>
            <w:vAlign w:val="bottom"/>
          </w:tcPr>
          <w:p w14:paraId="5EA73C82"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w:t>
            </w:r>
          </w:p>
        </w:tc>
        <w:tc>
          <w:tcPr>
            <w:tcW w:w="1028" w:type="dxa"/>
            <w:tcBorders>
              <w:top w:val="nil"/>
              <w:left w:val="nil"/>
              <w:bottom w:val="single" w:sz="8" w:space="0" w:color="auto"/>
              <w:right w:val="nil"/>
            </w:tcBorders>
            <w:shd w:val="clear" w:color="auto" w:fill="auto"/>
            <w:vAlign w:val="bottom"/>
          </w:tcPr>
          <w:p w14:paraId="5EA73C83"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(56)</w:t>
            </w:r>
          </w:p>
        </w:tc>
        <w:tc>
          <w:tcPr>
            <w:tcW w:w="1150" w:type="dxa"/>
            <w:tcBorders>
              <w:top w:val="nil"/>
              <w:left w:val="nil"/>
              <w:bottom w:val="single" w:sz="8" w:space="0" w:color="auto"/>
              <w:right w:val="nil"/>
            </w:tcBorders>
            <w:shd w:val="clear" w:color="auto" w:fill="auto"/>
            <w:vAlign w:val="bottom"/>
          </w:tcPr>
          <w:p w14:paraId="5EA73C84"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(655)</w:t>
            </w:r>
          </w:p>
        </w:tc>
        <w:tc>
          <w:tcPr>
            <w:tcW w:w="949" w:type="dxa"/>
            <w:tcBorders>
              <w:top w:val="nil"/>
              <w:left w:val="nil"/>
              <w:bottom w:val="single" w:sz="8" w:space="0" w:color="auto"/>
              <w:right w:val="nil"/>
            </w:tcBorders>
            <w:shd w:val="clear" w:color="auto" w:fill="auto"/>
            <w:vAlign w:val="bottom"/>
          </w:tcPr>
          <w:p w14:paraId="5EA73C85"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(3,492)</w:t>
            </w:r>
          </w:p>
        </w:tc>
        <w:tc>
          <w:tcPr>
            <w:tcW w:w="1195" w:type="dxa"/>
            <w:tcBorders>
              <w:top w:val="nil"/>
              <w:left w:val="nil"/>
              <w:bottom w:val="single" w:sz="8" w:space="0" w:color="auto"/>
              <w:right w:val="nil"/>
            </w:tcBorders>
            <w:shd w:val="clear" w:color="auto" w:fill="auto"/>
            <w:vAlign w:val="bottom"/>
          </w:tcPr>
          <w:p w14:paraId="5EA73C86" w14:textId="77777777" w:rsidR="003B0341" w:rsidRPr="008F6E13" w:rsidRDefault="003B0341" w:rsidP="003709F3">
            <w:pPr>
              <w:jc w:val="right"/>
              <w:rPr>
                <w:rFonts w:cs="Arial"/>
                <w:color w:val="000000"/>
                <w:sz w:val="20"/>
                <w:szCs w:val="20"/>
                <w:lang w:eastAsia="en-AU"/>
              </w:rPr>
            </w:pPr>
            <w:r w:rsidRPr="008F6E13">
              <w:rPr>
                <w:rFonts w:cs="Arial"/>
                <w:color w:val="000000"/>
                <w:sz w:val="20"/>
                <w:szCs w:val="20"/>
                <w:lang w:eastAsia="en-AU"/>
              </w:rPr>
              <w:t>(1,083)</w:t>
            </w:r>
          </w:p>
        </w:tc>
        <w:tc>
          <w:tcPr>
            <w:tcW w:w="995" w:type="dxa"/>
            <w:tcBorders>
              <w:top w:val="nil"/>
              <w:left w:val="nil"/>
              <w:bottom w:val="single" w:sz="8" w:space="0" w:color="auto"/>
              <w:right w:val="nil"/>
            </w:tcBorders>
            <w:shd w:val="clear" w:color="auto" w:fill="auto"/>
            <w:vAlign w:val="bottom"/>
          </w:tcPr>
          <w:p w14:paraId="5EA73C87" w14:textId="456044B1"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top w:val="nil"/>
              <w:left w:val="nil"/>
              <w:bottom w:val="single" w:sz="8" w:space="0" w:color="auto"/>
              <w:right w:val="nil"/>
            </w:tcBorders>
            <w:shd w:val="clear" w:color="000000" w:fill="BFBFBF" w:themeFill="background1" w:themeFillShade="BF"/>
            <w:vAlign w:val="bottom"/>
          </w:tcPr>
          <w:p w14:paraId="5EA73C88"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(5,286)</w:t>
            </w:r>
          </w:p>
        </w:tc>
      </w:tr>
      <w:tr w:rsidR="003B0341" w:rsidRPr="008F6E13" w14:paraId="5EA73C92" w14:textId="77777777" w:rsidTr="0016002F">
        <w:trPr>
          <w:trHeight w:val="262"/>
        </w:trPr>
        <w:tc>
          <w:tcPr>
            <w:tcW w:w="2562" w:type="dxa"/>
            <w:tcBorders>
              <w:top w:val="nil"/>
              <w:left w:val="nil"/>
              <w:bottom w:val="nil"/>
              <w:right w:val="nil"/>
            </w:tcBorders>
            <w:shd w:val="clear" w:color="auto" w:fill="auto"/>
            <w:vAlign w:val="bottom"/>
            <w:hideMark/>
          </w:tcPr>
          <w:p w14:paraId="5EA73C8A" w14:textId="2121CB7B" w:rsidR="003B0341" w:rsidRPr="008F6E13" w:rsidRDefault="003B0341" w:rsidP="00941E72">
            <w:pPr>
              <w:rPr>
                <w:rFonts w:cs="Arial"/>
                <w:color w:val="000000"/>
                <w:sz w:val="20"/>
                <w:szCs w:val="20"/>
                <w:lang w:eastAsia="en-AU"/>
              </w:rPr>
            </w:pPr>
            <w:r w:rsidRPr="008F6E13">
              <w:rPr>
                <w:rFonts w:cs="Arial"/>
                <w:color w:val="000000"/>
                <w:sz w:val="20"/>
                <w:szCs w:val="20"/>
                <w:lang w:eastAsia="en-AU"/>
              </w:rPr>
              <w:t>Balance at 30 June 201</w:t>
            </w:r>
            <w:r>
              <w:rPr>
                <w:rFonts w:cs="Arial"/>
                <w:color w:val="000000"/>
                <w:sz w:val="20"/>
                <w:szCs w:val="20"/>
                <w:lang w:eastAsia="en-AU"/>
              </w:rPr>
              <w:t>5</w:t>
            </w:r>
          </w:p>
        </w:tc>
        <w:tc>
          <w:tcPr>
            <w:tcW w:w="894" w:type="dxa"/>
            <w:tcBorders>
              <w:top w:val="nil"/>
              <w:left w:val="nil"/>
              <w:bottom w:val="single" w:sz="8" w:space="0" w:color="auto"/>
              <w:right w:val="nil"/>
            </w:tcBorders>
            <w:shd w:val="clear" w:color="auto" w:fill="auto"/>
            <w:vAlign w:val="bottom"/>
          </w:tcPr>
          <w:p w14:paraId="5EA73C8B"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41,392</w:t>
            </w:r>
          </w:p>
        </w:tc>
        <w:tc>
          <w:tcPr>
            <w:tcW w:w="1028" w:type="dxa"/>
            <w:tcBorders>
              <w:top w:val="nil"/>
              <w:left w:val="nil"/>
              <w:bottom w:val="single" w:sz="8" w:space="0" w:color="auto"/>
              <w:right w:val="nil"/>
            </w:tcBorders>
            <w:shd w:val="clear" w:color="auto" w:fill="auto"/>
            <w:vAlign w:val="bottom"/>
          </w:tcPr>
          <w:p w14:paraId="5EA73C8C"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59,358</w:t>
            </w:r>
          </w:p>
        </w:tc>
        <w:tc>
          <w:tcPr>
            <w:tcW w:w="1150" w:type="dxa"/>
            <w:tcBorders>
              <w:top w:val="nil"/>
              <w:left w:val="nil"/>
              <w:bottom w:val="single" w:sz="8" w:space="0" w:color="auto"/>
              <w:right w:val="nil"/>
            </w:tcBorders>
            <w:shd w:val="clear" w:color="auto" w:fill="auto"/>
            <w:vAlign w:val="bottom"/>
          </w:tcPr>
          <w:p w14:paraId="5EA73C8D"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13,131</w:t>
            </w:r>
          </w:p>
        </w:tc>
        <w:tc>
          <w:tcPr>
            <w:tcW w:w="949" w:type="dxa"/>
            <w:tcBorders>
              <w:top w:val="nil"/>
              <w:left w:val="nil"/>
              <w:bottom w:val="single" w:sz="8" w:space="0" w:color="auto"/>
              <w:right w:val="nil"/>
            </w:tcBorders>
            <w:shd w:val="clear" w:color="auto" w:fill="auto"/>
            <w:vAlign w:val="bottom"/>
          </w:tcPr>
          <w:p w14:paraId="5EA73C8E"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1,552</w:t>
            </w:r>
          </w:p>
        </w:tc>
        <w:tc>
          <w:tcPr>
            <w:tcW w:w="1195" w:type="dxa"/>
            <w:tcBorders>
              <w:top w:val="nil"/>
              <w:left w:val="nil"/>
              <w:bottom w:val="single" w:sz="8" w:space="0" w:color="auto"/>
              <w:right w:val="nil"/>
            </w:tcBorders>
            <w:shd w:val="clear" w:color="auto" w:fill="auto"/>
            <w:vAlign w:val="bottom"/>
          </w:tcPr>
          <w:p w14:paraId="5EA73C8F"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6,155</w:t>
            </w:r>
          </w:p>
        </w:tc>
        <w:tc>
          <w:tcPr>
            <w:tcW w:w="995" w:type="dxa"/>
            <w:tcBorders>
              <w:top w:val="nil"/>
              <w:left w:val="nil"/>
              <w:bottom w:val="single" w:sz="8" w:space="0" w:color="auto"/>
              <w:right w:val="nil"/>
            </w:tcBorders>
            <w:shd w:val="clear" w:color="auto" w:fill="auto"/>
            <w:vAlign w:val="bottom"/>
          </w:tcPr>
          <w:p w14:paraId="5EA73C90"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750</w:t>
            </w:r>
          </w:p>
        </w:tc>
        <w:tc>
          <w:tcPr>
            <w:tcW w:w="961" w:type="dxa"/>
            <w:tcBorders>
              <w:top w:val="nil"/>
              <w:left w:val="nil"/>
              <w:bottom w:val="single" w:sz="8" w:space="0" w:color="auto"/>
              <w:right w:val="nil"/>
            </w:tcBorders>
            <w:shd w:val="clear" w:color="000000" w:fill="BFBFBF" w:themeFill="background1" w:themeFillShade="BF"/>
            <w:vAlign w:val="bottom"/>
          </w:tcPr>
          <w:p w14:paraId="5EA73C91" w14:textId="275D5872" w:rsidR="003B0341" w:rsidRPr="008F6E13" w:rsidRDefault="003B0341">
            <w:pPr>
              <w:jc w:val="right"/>
              <w:rPr>
                <w:rFonts w:cs="Arial"/>
                <w:color w:val="000000"/>
                <w:sz w:val="20"/>
                <w:szCs w:val="20"/>
                <w:lang w:eastAsia="en-AU"/>
              </w:rPr>
            </w:pPr>
            <w:r w:rsidRPr="008F6E13">
              <w:rPr>
                <w:rFonts w:cs="Arial"/>
                <w:color w:val="000000"/>
                <w:sz w:val="20"/>
                <w:szCs w:val="20"/>
                <w:lang w:eastAsia="en-AU"/>
              </w:rPr>
              <w:t>122,338</w:t>
            </w:r>
          </w:p>
        </w:tc>
      </w:tr>
    </w:tbl>
    <w:p w14:paraId="2F95E2F2" w14:textId="77777777" w:rsidR="003B0341" w:rsidRDefault="003B0341"/>
    <w:tbl>
      <w:tblPr>
        <w:tblW w:w="9734" w:type="dxa"/>
        <w:tblInd w:w="108" w:type="dxa"/>
        <w:tblLook w:val="04A0" w:firstRow="1" w:lastRow="0" w:firstColumn="1" w:lastColumn="0" w:noHBand="0" w:noVBand="1"/>
      </w:tblPr>
      <w:tblGrid>
        <w:gridCol w:w="2562"/>
        <w:gridCol w:w="894"/>
        <w:gridCol w:w="1028"/>
        <w:gridCol w:w="1150"/>
        <w:gridCol w:w="949"/>
        <w:gridCol w:w="1195"/>
        <w:gridCol w:w="995"/>
        <w:gridCol w:w="961"/>
      </w:tblGrid>
      <w:tr w:rsidR="003B0341" w:rsidRPr="008F6E13" w14:paraId="1FABA764" w14:textId="77777777" w:rsidTr="007E2B09">
        <w:trPr>
          <w:trHeight w:val="262"/>
          <w:tblHeader/>
        </w:trPr>
        <w:tc>
          <w:tcPr>
            <w:tcW w:w="2562" w:type="dxa"/>
            <w:tcBorders>
              <w:top w:val="nil"/>
              <w:left w:val="nil"/>
              <w:bottom w:val="nil"/>
              <w:right w:val="nil"/>
            </w:tcBorders>
            <w:shd w:val="clear" w:color="auto" w:fill="auto"/>
            <w:vAlign w:val="bottom"/>
          </w:tcPr>
          <w:p w14:paraId="4FEF2991" w14:textId="7AB63ADD" w:rsidR="003B0341" w:rsidRPr="008F6E13" w:rsidRDefault="003B0341" w:rsidP="005D0705">
            <w:pPr>
              <w:rPr>
                <w:rFonts w:cs="Arial"/>
                <w:color w:val="000000"/>
                <w:sz w:val="20"/>
                <w:szCs w:val="20"/>
                <w:lang w:eastAsia="en-AU"/>
              </w:rPr>
            </w:pPr>
            <w:bookmarkStart w:id="310" w:name="Table_39"/>
            <w:bookmarkEnd w:id="310"/>
            <w:r>
              <w:rPr>
                <w:rFonts w:cs="Arial"/>
                <w:b/>
                <w:bCs/>
                <w:color w:val="000000"/>
                <w:sz w:val="20"/>
                <w:szCs w:val="20"/>
                <w:lang w:eastAsia="en-AU"/>
              </w:rPr>
              <w:t>Accumulated depreciation and impairment</w:t>
            </w:r>
          </w:p>
        </w:tc>
        <w:tc>
          <w:tcPr>
            <w:tcW w:w="894" w:type="dxa"/>
            <w:tcBorders>
              <w:top w:val="nil"/>
              <w:left w:val="nil"/>
              <w:bottom w:val="nil"/>
              <w:right w:val="nil"/>
            </w:tcBorders>
            <w:shd w:val="clear" w:color="auto" w:fill="auto"/>
            <w:vAlign w:val="center"/>
          </w:tcPr>
          <w:p w14:paraId="251A7D43" w14:textId="03E24743"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Land at cost</w:t>
            </w:r>
          </w:p>
        </w:tc>
        <w:tc>
          <w:tcPr>
            <w:tcW w:w="1028" w:type="dxa"/>
            <w:tcBorders>
              <w:top w:val="nil"/>
              <w:left w:val="nil"/>
              <w:bottom w:val="nil"/>
              <w:right w:val="nil"/>
            </w:tcBorders>
            <w:shd w:val="clear" w:color="auto" w:fill="auto"/>
            <w:vAlign w:val="center"/>
          </w:tcPr>
          <w:p w14:paraId="0444482A" w14:textId="1AD48B71"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Buildings at cost</w:t>
            </w:r>
          </w:p>
        </w:tc>
        <w:tc>
          <w:tcPr>
            <w:tcW w:w="1150" w:type="dxa"/>
            <w:tcBorders>
              <w:top w:val="nil"/>
              <w:left w:val="nil"/>
              <w:bottom w:val="nil"/>
              <w:right w:val="nil"/>
            </w:tcBorders>
            <w:shd w:val="clear" w:color="auto" w:fill="auto"/>
            <w:vAlign w:val="center"/>
          </w:tcPr>
          <w:p w14:paraId="4A91180C" w14:textId="66F62712"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Furniture, plant and equipment at cost</w:t>
            </w:r>
          </w:p>
        </w:tc>
        <w:tc>
          <w:tcPr>
            <w:tcW w:w="949" w:type="dxa"/>
            <w:tcBorders>
              <w:top w:val="nil"/>
              <w:left w:val="nil"/>
              <w:bottom w:val="nil"/>
              <w:right w:val="nil"/>
            </w:tcBorders>
            <w:shd w:val="clear" w:color="auto" w:fill="auto"/>
            <w:vAlign w:val="center"/>
          </w:tcPr>
          <w:p w14:paraId="3B546551" w14:textId="0C45C026"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Motor vehicles at cost</w:t>
            </w:r>
          </w:p>
        </w:tc>
        <w:tc>
          <w:tcPr>
            <w:tcW w:w="1195" w:type="dxa"/>
            <w:tcBorders>
              <w:top w:val="nil"/>
              <w:left w:val="nil"/>
              <w:bottom w:val="nil"/>
              <w:right w:val="nil"/>
            </w:tcBorders>
            <w:shd w:val="clear" w:color="auto" w:fill="auto"/>
            <w:vAlign w:val="center"/>
          </w:tcPr>
          <w:p w14:paraId="2FBFAFEA" w14:textId="6AE926C7" w:rsidR="003B0341" w:rsidRPr="008F6E13" w:rsidRDefault="003B0341" w:rsidP="007F66DD">
            <w:pPr>
              <w:jc w:val="right"/>
              <w:rPr>
                <w:rFonts w:cs="Arial"/>
                <w:color w:val="000000"/>
                <w:sz w:val="20"/>
                <w:szCs w:val="20"/>
                <w:lang w:eastAsia="en-AU"/>
              </w:rPr>
            </w:pPr>
            <w:r w:rsidRPr="008F6E13">
              <w:rPr>
                <w:rFonts w:cs="Arial"/>
                <w:sz w:val="20"/>
                <w:szCs w:val="20"/>
                <w:lang w:eastAsia="en-AU"/>
              </w:rPr>
              <w:t>Computers at cost</w:t>
            </w:r>
          </w:p>
        </w:tc>
        <w:tc>
          <w:tcPr>
            <w:tcW w:w="995" w:type="dxa"/>
            <w:tcBorders>
              <w:top w:val="nil"/>
              <w:left w:val="nil"/>
              <w:bottom w:val="nil"/>
              <w:right w:val="nil"/>
            </w:tcBorders>
            <w:shd w:val="clear" w:color="auto" w:fill="auto"/>
            <w:vAlign w:val="center"/>
          </w:tcPr>
          <w:p w14:paraId="67CC7587" w14:textId="0D818A3F" w:rsidR="003B0341" w:rsidRPr="008F6E13" w:rsidRDefault="003B0341" w:rsidP="007F66DD">
            <w:pPr>
              <w:jc w:val="right"/>
              <w:rPr>
                <w:rFonts w:cs="Arial"/>
                <w:color w:val="000000"/>
                <w:sz w:val="20"/>
                <w:szCs w:val="20"/>
                <w:lang w:eastAsia="en-AU"/>
              </w:rPr>
            </w:pPr>
            <w:r w:rsidRPr="008F6E13">
              <w:rPr>
                <w:rFonts w:cs="Arial"/>
                <w:sz w:val="20"/>
                <w:szCs w:val="20"/>
                <w:lang w:eastAsia="en-AU"/>
              </w:rPr>
              <w:t>Capital work in progress</w:t>
            </w:r>
          </w:p>
        </w:tc>
        <w:tc>
          <w:tcPr>
            <w:tcW w:w="961" w:type="dxa"/>
            <w:tcBorders>
              <w:top w:val="nil"/>
              <w:left w:val="nil"/>
              <w:bottom w:val="nil"/>
              <w:right w:val="nil"/>
            </w:tcBorders>
            <w:shd w:val="clear" w:color="000000" w:fill="BFBFBF" w:themeFill="background1" w:themeFillShade="BF"/>
            <w:vAlign w:val="center"/>
          </w:tcPr>
          <w:p w14:paraId="29C5ADDC" w14:textId="3DA14038"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Total</w:t>
            </w:r>
          </w:p>
        </w:tc>
      </w:tr>
      <w:tr w:rsidR="003B0341" w:rsidRPr="008F6E13" w14:paraId="5EA73CAB" w14:textId="77777777" w:rsidTr="003B0341">
        <w:trPr>
          <w:trHeight w:val="262"/>
        </w:trPr>
        <w:tc>
          <w:tcPr>
            <w:tcW w:w="2562" w:type="dxa"/>
            <w:tcBorders>
              <w:top w:val="nil"/>
              <w:left w:val="nil"/>
              <w:bottom w:val="nil"/>
              <w:right w:val="nil"/>
            </w:tcBorders>
            <w:shd w:val="clear" w:color="auto" w:fill="auto"/>
            <w:vAlign w:val="bottom"/>
            <w:hideMark/>
          </w:tcPr>
          <w:p w14:paraId="5EA73CA3" w14:textId="77777777" w:rsidR="003B0341" w:rsidRPr="008F6E13" w:rsidRDefault="003B0341" w:rsidP="005D0705">
            <w:pPr>
              <w:rPr>
                <w:rFonts w:cs="Arial"/>
                <w:color w:val="000000"/>
                <w:sz w:val="20"/>
                <w:szCs w:val="20"/>
                <w:lang w:eastAsia="en-AU"/>
              </w:rPr>
            </w:pPr>
            <w:r w:rsidRPr="008F6E13">
              <w:rPr>
                <w:rFonts w:cs="Arial"/>
                <w:color w:val="000000"/>
                <w:sz w:val="20"/>
                <w:szCs w:val="20"/>
                <w:lang w:eastAsia="en-AU"/>
              </w:rPr>
              <w:t>Balance at 30 June 2013</w:t>
            </w:r>
          </w:p>
        </w:tc>
        <w:tc>
          <w:tcPr>
            <w:tcW w:w="894" w:type="dxa"/>
            <w:tcBorders>
              <w:top w:val="nil"/>
              <w:left w:val="nil"/>
              <w:bottom w:val="nil"/>
              <w:right w:val="nil"/>
            </w:tcBorders>
            <w:shd w:val="clear" w:color="auto" w:fill="auto"/>
            <w:vAlign w:val="bottom"/>
            <w:hideMark/>
          </w:tcPr>
          <w:p w14:paraId="5EA73CA4"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(753)</w:t>
            </w:r>
          </w:p>
        </w:tc>
        <w:tc>
          <w:tcPr>
            <w:tcW w:w="1028" w:type="dxa"/>
            <w:tcBorders>
              <w:top w:val="nil"/>
              <w:left w:val="nil"/>
              <w:bottom w:val="nil"/>
              <w:right w:val="nil"/>
            </w:tcBorders>
            <w:shd w:val="clear" w:color="auto" w:fill="auto"/>
            <w:vAlign w:val="bottom"/>
            <w:hideMark/>
          </w:tcPr>
          <w:p w14:paraId="5EA73CA5"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(8,268)</w:t>
            </w:r>
          </w:p>
        </w:tc>
        <w:tc>
          <w:tcPr>
            <w:tcW w:w="1150" w:type="dxa"/>
            <w:tcBorders>
              <w:top w:val="nil"/>
              <w:left w:val="nil"/>
              <w:bottom w:val="nil"/>
              <w:right w:val="nil"/>
            </w:tcBorders>
            <w:shd w:val="clear" w:color="auto" w:fill="auto"/>
            <w:vAlign w:val="bottom"/>
            <w:hideMark/>
          </w:tcPr>
          <w:p w14:paraId="5EA73CA6"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(10,231)</w:t>
            </w:r>
          </w:p>
        </w:tc>
        <w:tc>
          <w:tcPr>
            <w:tcW w:w="949" w:type="dxa"/>
            <w:tcBorders>
              <w:top w:val="nil"/>
              <w:left w:val="nil"/>
              <w:bottom w:val="nil"/>
              <w:right w:val="nil"/>
            </w:tcBorders>
            <w:shd w:val="clear" w:color="auto" w:fill="auto"/>
            <w:vAlign w:val="bottom"/>
            <w:hideMark/>
          </w:tcPr>
          <w:p w14:paraId="5EA73CA7"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(3,020)</w:t>
            </w:r>
          </w:p>
        </w:tc>
        <w:tc>
          <w:tcPr>
            <w:tcW w:w="1195" w:type="dxa"/>
            <w:tcBorders>
              <w:top w:val="nil"/>
              <w:left w:val="nil"/>
              <w:bottom w:val="nil"/>
              <w:right w:val="nil"/>
            </w:tcBorders>
            <w:shd w:val="clear" w:color="auto" w:fill="auto"/>
            <w:vAlign w:val="bottom"/>
            <w:hideMark/>
          </w:tcPr>
          <w:p w14:paraId="5EA73CA8"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(7,753)</w:t>
            </w:r>
          </w:p>
        </w:tc>
        <w:tc>
          <w:tcPr>
            <w:tcW w:w="995" w:type="dxa"/>
            <w:tcBorders>
              <w:top w:val="nil"/>
              <w:left w:val="nil"/>
              <w:bottom w:val="nil"/>
              <w:right w:val="nil"/>
            </w:tcBorders>
            <w:shd w:val="clear" w:color="auto" w:fill="auto"/>
            <w:vAlign w:val="bottom"/>
          </w:tcPr>
          <w:p w14:paraId="5EA73CA9" w14:textId="505D756B" w:rsidR="003B0341" w:rsidRPr="008F6E13" w:rsidRDefault="003B0341" w:rsidP="003B0341">
            <w:pPr>
              <w:jc w:val="right"/>
              <w:rPr>
                <w:rFonts w:cs="Arial"/>
                <w:color w:val="000000"/>
                <w:sz w:val="20"/>
                <w:szCs w:val="20"/>
                <w:lang w:eastAsia="en-AU"/>
              </w:rPr>
            </w:pPr>
            <w:r>
              <w:rPr>
                <w:rFonts w:cs="Arial"/>
                <w:color w:val="000000"/>
                <w:sz w:val="20"/>
                <w:szCs w:val="20"/>
                <w:lang w:eastAsia="en-AU"/>
              </w:rPr>
              <w:t>0</w:t>
            </w:r>
          </w:p>
        </w:tc>
        <w:tc>
          <w:tcPr>
            <w:tcW w:w="961" w:type="dxa"/>
            <w:tcBorders>
              <w:top w:val="nil"/>
              <w:left w:val="nil"/>
              <w:bottom w:val="nil"/>
              <w:right w:val="nil"/>
            </w:tcBorders>
            <w:shd w:val="clear" w:color="000000" w:fill="BFBFBF" w:themeFill="background1" w:themeFillShade="BF"/>
            <w:vAlign w:val="bottom"/>
            <w:hideMark/>
          </w:tcPr>
          <w:p w14:paraId="5EA73CAA"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(30,025)</w:t>
            </w:r>
          </w:p>
        </w:tc>
      </w:tr>
      <w:tr w:rsidR="003B0341" w:rsidRPr="008F6E13" w14:paraId="5EA73CB4" w14:textId="77777777" w:rsidTr="003B0341">
        <w:trPr>
          <w:trHeight w:val="262"/>
        </w:trPr>
        <w:tc>
          <w:tcPr>
            <w:tcW w:w="2562" w:type="dxa"/>
            <w:tcBorders>
              <w:top w:val="nil"/>
              <w:left w:val="nil"/>
              <w:bottom w:val="nil"/>
              <w:right w:val="nil"/>
            </w:tcBorders>
            <w:shd w:val="clear" w:color="auto" w:fill="auto"/>
            <w:vAlign w:val="bottom"/>
            <w:hideMark/>
          </w:tcPr>
          <w:p w14:paraId="5EA73CAC" w14:textId="4E1D2D3E"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Disposals</w:t>
            </w:r>
          </w:p>
        </w:tc>
        <w:tc>
          <w:tcPr>
            <w:tcW w:w="894" w:type="dxa"/>
            <w:tcBorders>
              <w:top w:val="nil"/>
              <w:left w:val="nil"/>
              <w:right w:val="nil"/>
            </w:tcBorders>
            <w:shd w:val="clear" w:color="auto" w:fill="auto"/>
            <w:vAlign w:val="bottom"/>
          </w:tcPr>
          <w:p w14:paraId="5EA73CAD" w14:textId="0F9B0AA0"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1028" w:type="dxa"/>
            <w:tcBorders>
              <w:top w:val="nil"/>
              <w:left w:val="nil"/>
              <w:right w:val="nil"/>
            </w:tcBorders>
            <w:shd w:val="clear" w:color="auto" w:fill="auto"/>
            <w:vAlign w:val="bottom"/>
            <w:hideMark/>
          </w:tcPr>
          <w:p w14:paraId="5EA73CAE"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23</w:t>
            </w:r>
          </w:p>
        </w:tc>
        <w:tc>
          <w:tcPr>
            <w:tcW w:w="1150" w:type="dxa"/>
            <w:tcBorders>
              <w:top w:val="nil"/>
              <w:left w:val="nil"/>
              <w:right w:val="nil"/>
            </w:tcBorders>
            <w:shd w:val="clear" w:color="auto" w:fill="auto"/>
            <w:vAlign w:val="bottom"/>
            <w:hideMark/>
          </w:tcPr>
          <w:p w14:paraId="5EA73CAF"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204</w:t>
            </w:r>
          </w:p>
        </w:tc>
        <w:tc>
          <w:tcPr>
            <w:tcW w:w="949" w:type="dxa"/>
            <w:tcBorders>
              <w:top w:val="nil"/>
              <w:left w:val="nil"/>
              <w:right w:val="nil"/>
            </w:tcBorders>
            <w:shd w:val="clear" w:color="auto" w:fill="auto"/>
            <w:vAlign w:val="bottom"/>
            <w:hideMark/>
          </w:tcPr>
          <w:p w14:paraId="5EA73CB0"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903</w:t>
            </w:r>
          </w:p>
        </w:tc>
        <w:tc>
          <w:tcPr>
            <w:tcW w:w="1195" w:type="dxa"/>
            <w:tcBorders>
              <w:top w:val="nil"/>
              <w:left w:val="nil"/>
              <w:right w:val="nil"/>
            </w:tcBorders>
            <w:shd w:val="clear" w:color="auto" w:fill="auto"/>
            <w:vAlign w:val="bottom"/>
            <w:hideMark/>
          </w:tcPr>
          <w:p w14:paraId="5EA73CB1"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1,608</w:t>
            </w:r>
          </w:p>
        </w:tc>
        <w:tc>
          <w:tcPr>
            <w:tcW w:w="995" w:type="dxa"/>
            <w:tcBorders>
              <w:top w:val="nil"/>
              <w:left w:val="nil"/>
              <w:right w:val="nil"/>
            </w:tcBorders>
            <w:shd w:val="clear" w:color="auto" w:fill="auto"/>
            <w:vAlign w:val="bottom"/>
          </w:tcPr>
          <w:p w14:paraId="5EA73CB2" w14:textId="2C6E782B"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top w:val="nil"/>
              <w:left w:val="nil"/>
              <w:right w:val="nil"/>
            </w:tcBorders>
            <w:shd w:val="clear" w:color="000000" w:fill="BFBFBF" w:themeFill="background1" w:themeFillShade="BF"/>
            <w:vAlign w:val="bottom"/>
            <w:hideMark/>
          </w:tcPr>
          <w:p w14:paraId="5EA73CB3"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2,738</w:t>
            </w:r>
          </w:p>
        </w:tc>
      </w:tr>
      <w:tr w:rsidR="003B0341" w:rsidRPr="008F6E13" w14:paraId="5EA73CBD" w14:textId="77777777" w:rsidTr="0016002F">
        <w:trPr>
          <w:trHeight w:val="262"/>
        </w:trPr>
        <w:tc>
          <w:tcPr>
            <w:tcW w:w="2562" w:type="dxa"/>
            <w:tcBorders>
              <w:top w:val="nil"/>
              <w:left w:val="nil"/>
              <w:bottom w:val="nil"/>
              <w:right w:val="nil"/>
            </w:tcBorders>
            <w:shd w:val="clear" w:color="auto" w:fill="auto"/>
            <w:vAlign w:val="bottom"/>
          </w:tcPr>
          <w:p w14:paraId="5EA73CB5"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Reversal of impairment losses credited to surplus</w:t>
            </w:r>
            <w:r w:rsidRPr="008F6E13">
              <w:rPr>
                <w:rFonts w:cs="Arial"/>
                <w:color w:val="000000"/>
                <w:sz w:val="20"/>
                <w:szCs w:val="20"/>
                <w:vertAlign w:val="superscript"/>
                <w:lang w:eastAsia="en-AU"/>
              </w:rPr>
              <w:t>(</w:t>
            </w:r>
            <w:proofErr w:type="spellStart"/>
            <w:r w:rsidRPr="008F6E13">
              <w:rPr>
                <w:rFonts w:cs="Arial"/>
                <w:color w:val="000000"/>
                <w:sz w:val="20"/>
                <w:szCs w:val="20"/>
                <w:vertAlign w:val="superscript"/>
                <w:lang w:eastAsia="en-AU"/>
              </w:rPr>
              <w:t>i</w:t>
            </w:r>
            <w:proofErr w:type="spellEnd"/>
            <w:r w:rsidRPr="008F6E13">
              <w:rPr>
                <w:rFonts w:cs="Arial"/>
                <w:color w:val="000000"/>
                <w:sz w:val="20"/>
                <w:szCs w:val="20"/>
                <w:vertAlign w:val="superscript"/>
                <w:lang w:eastAsia="en-AU"/>
              </w:rPr>
              <w:t>)</w:t>
            </w:r>
          </w:p>
        </w:tc>
        <w:tc>
          <w:tcPr>
            <w:tcW w:w="894" w:type="dxa"/>
            <w:tcBorders>
              <w:top w:val="nil"/>
              <w:left w:val="nil"/>
              <w:right w:val="nil"/>
            </w:tcBorders>
            <w:shd w:val="clear" w:color="auto" w:fill="auto"/>
            <w:vAlign w:val="bottom"/>
          </w:tcPr>
          <w:p w14:paraId="5EA73CB6"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174</w:t>
            </w:r>
          </w:p>
        </w:tc>
        <w:tc>
          <w:tcPr>
            <w:tcW w:w="1028" w:type="dxa"/>
            <w:tcBorders>
              <w:top w:val="nil"/>
              <w:left w:val="nil"/>
              <w:right w:val="nil"/>
            </w:tcBorders>
            <w:shd w:val="clear" w:color="auto" w:fill="auto"/>
            <w:vAlign w:val="bottom"/>
          </w:tcPr>
          <w:p w14:paraId="5EA73CB7"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233</w:t>
            </w:r>
          </w:p>
        </w:tc>
        <w:tc>
          <w:tcPr>
            <w:tcW w:w="1150" w:type="dxa"/>
            <w:tcBorders>
              <w:top w:val="nil"/>
              <w:left w:val="nil"/>
              <w:right w:val="nil"/>
            </w:tcBorders>
            <w:shd w:val="clear" w:color="auto" w:fill="auto"/>
            <w:vAlign w:val="bottom"/>
          </w:tcPr>
          <w:p w14:paraId="5EA73CB8" w14:textId="4F8FB2C5"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49" w:type="dxa"/>
            <w:tcBorders>
              <w:top w:val="nil"/>
              <w:left w:val="nil"/>
              <w:right w:val="nil"/>
            </w:tcBorders>
            <w:shd w:val="clear" w:color="auto" w:fill="auto"/>
            <w:vAlign w:val="bottom"/>
          </w:tcPr>
          <w:p w14:paraId="5EA73CB9" w14:textId="56CA0954"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1195" w:type="dxa"/>
            <w:tcBorders>
              <w:top w:val="nil"/>
              <w:left w:val="nil"/>
              <w:right w:val="nil"/>
            </w:tcBorders>
            <w:shd w:val="clear" w:color="auto" w:fill="auto"/>
            <w:vAlign w:val="bottom"/>
          </w:tcPr>
          <w:p w14:paraId="5EA73CBA" w14:textId="1FD4CC96"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95" w:type="dxa"/>
            <w:tcBorders>
              <w:top w:val="nil"/>
              <w:left w:val="nil"/>
              <w:right w:val="nil"/>
            </w:tcBorders>
            <w:shd w:val="clear" w:color="auto" w:fill="auto"/>
            <w:vAlign w:val="bottom"/>
          </w:tcPr>
          <w:p w14:paraId="5EA73CBB" w14:textId="2504CB7C"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top w:val="nil"/>
              <w:left w:val="nil"/>
              <w:right w:val="nil"/>
            </w:tcBorders>
            <w:shd w:val="clear" w:color="000000" w:fill="BFBFBF" w:themeFill="background1" w:themeFillShade="BF"/>
            <w:vAlign w:val="bottom"/>
          </w:tcPr>
          <w:p w14:paraId="5EA73CBC"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407</w:t>
            </w:r>
          </w:p>
        </w:tc>
      </w:tr>
      <w:tr w:rsidR="003B0341" w:rsidRPr="008F6E13" w14:paraId="5EA73CC6" w14:textId="77777777" w:rsidTr="0016002F">
        <w:trPr>
          <w:trHeight w:val="262"/>
        </w:trPr>
        <w:tc>
          <w:tcPr>
            <w:tcW w:w="2562" w:type="dxa"/>
            <w:tcBorders>
              <w:top w:val="nil"/>
              <w:left w:val="nil"/>
              <w:bottom w:val="nil"/>
              <w:right w:val="nil"/>
            </w:tcBorders>
            <w:shd w:val="clear" w:color="auto" w:fill="auto"/>
            <w:vAlign w:val="bottom"/>
          </w:tcPr>
          <w:p w14:paraId="5EA73CBE"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 xml:space="preserve">Impairment losses charged to surplus </w:t>
            </w:r>
            <w:r w:rsidRPr="008F6E13">
              <w:rPr>
                <w:rFonts w:cs="Arial"/>
                <w:color w:val="000000"/>
                <w:sz w:val="20"/>
                <w:szCs w:val="20"/>
                <w:vertAlign w:val="superscript"/>
                <w:lang w:eastAsia="en-AU"/>
              </w:rPr>
              <w:t>(</w:t>
            </w:r>
            <w:proofErr w:type="spellStart"/>
            <w:r w:rsidRPr="008F6E13">
              <w:rPr>
                <w:rFonts w:cs="Arial"/>
                <w:color w:val="000000"/>
                <w:sz w:val="20"/>
                <w:szCs w:val="20"/>
                <w:vertAlign w:val="superscript"/>
                <w:lang w:eastAsia="en-AU"/>
              </w:rPr>
              <w:t>i</w:t>
            </w:r>
            <w:proofErr w:type="spellEnd"/>
            <w:r w:rsidRPr="008F6E13">
              <w:rPr>
                <w:rFonts w:cs="Arial"/>
                <w:color w:val="000000"/>
                <w:sz w:val="20"/>
                <w:szCs w:val="20"/>
                <w:vertAlign w:val="superscript"/>
                <w:lang w:eastAsia="en-AU"/>
              </w:rPr>
              <w:t>)</w:t>
            </w:r>
          </w:p>
        </w:tc>
        <w:tc>
          <w:tcPr>
            <w:tcW w:w="894" w:type="dxa"/>
            <w:tcBorders>
              <w:top w:val="nil"/>
              <w:left w:val="nil"/>
              <w:right w:val="nil"/>
            </w:tcBorders>
            <w:shd w:val="clear" w:color="auto" w:fill="auto"/>
            <w:vAlign w:val="bottom"/>
          </w:tcPr>
          <w:p w14:paraId="5EA73CBF"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(87)</w:t>
            </w:r>
          </w:p>
        </w:tc>
        <w:tc>
          <w:tcPr>
            <w:tcW w:w="1028" w:type="dxa"/>
            <w:tcBorders>
              <w:top w:val="nil"/>
              <w:left w:val="nil"/>
              <w:right w:val="nil"/>
            </w:tcBorders>
            <w:shd w:val="clear" w:color="auto" w:fill="auto"/>
            <w:vAlign w:val="bottom"/>
          </w:tcPr>
          <w:p w14:paraId="5EA73CC0"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(38)</w:t>
            </w:r>
          </w:p>
        </w:tc>
        <w:tc>
          <w:tcPr>
            <w:tcW w:w="1150" w:type="dxa"/>
            <w:tcBorders>
              <w:top w:val="nil"/>
              <w:left w:val="nil"/>
              <w:right w:val="nil"/>
            </w:tcBorders>
            <w:shd w:val="clear" w:color="auto" w:fill="auto"/>
            <w:vAlign w:val="bottom"/>
          </w:tcPr>
          <w:p w14:paraId="5EA73CC1" w14:textId="1998C762"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49" w:type="dxa"/>
            <w:tcBorders>
              <w:top w:val="nil"/>
              <w:left w:val="nil"/>
              <w:right w:val="nil"/>
            </w:tcBorders>
            <w:shd w:val="clear" w:color="auto" w:fill="auto"/>
            <w:vAlign w:val="bottom"/>
          </w:tcPr>
          <w:p w14:paraId="5EA73CC2" w14:textId="1525B340"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1195" w:type="dxa"/>
            <w:tcBorders>
              <w:top w:val="nil"/>
              <w:left w:val="nil"/>
              <w:right w:val="nil"/>
            </w:tcBorders>
            <w:shd w:val="clear" w:color="auto" w:fill="auto"/>
            <w:vAlign w:val="bottom"/>
          </w:tcPr>
          <w:p w14:paraId="5EA73CC3" w14:textId="625A5E03"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95" w:type="dxa"/>
            <w:tcBorders>
              <w:top w:val="nil"/>
              <w:left w:val="nil"/>
              <w:right w:val="nil"/>
            </w:tcBorders>
            <w:shd w:val="clear" w:color="auto" w:fill="auto"/>
            <w:vAlign w:val="bottom"/>
          </w:tcPr>
          <w:p w14:paraId="5EA73CC4" w14:textId="43FF20EC"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top w:val="nil"/>
              <w:left w:val="nil"/>
              <w:right w:val="nil"/>
            </w:tcBorders>
            <w:shd w:val="clear" w:color="000000" w:fill="BFBFBF" w:themeFill="background1" w:themeFillShade="BF"/>
            <w:vAlign w:val="bottom"/>
          </w:tcPr>
          <w:p w14:paraId="5EA73CC5"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(125)</w:t>
            </w:r>
          </w:p>
        </w:tc>
      </w:tr>
      <w:tr w:rsidR="003B0341" w:rsidRPr="008F6E13" w14:paraId="5EA73CCF" w14:textId="77777777" w:rsidTr="003B0341">
        <w:trPr>
          <w:trHeight w:val="262"/>
        </w:trPr>
        <w:tc>
          <w:tcPr>
            <w:tcW w:w="2562" w:type="dxa"/>
            <w:tcBorders>
              <w:top w:val="nil"/>
              <w:left w:val="nil"/>
              <w:bottom w:val="nil"/>
              <w:right w:val="nil"/>
            </w:tcBorders>
            <w:shd w:val="clear" w:color="auto" w:fill="auto"/>
            <w:vAlign w:val="bottom"/>
            <w:hideMark/>
          </w:tcPr>
          <w:p w14:paraId="5EA73CC7"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Depreciation expense</w:t>
            </w:r>
          </w:p>
        </w:tc>
        <w:tc>
          <w:tcPr>
            <w:tcW w:w="894" w:type="dxa"/>
            <w:tcBorders>
              <w:left w:val="nil"/>
              <w:bottom w:val="single" w:sz="8" w:space="0" w:color="auto"/>
              <w:right w:val="nil"/>
            </w:tcBorders>
            <w:shd w:val="clear" w:color="auto" w:fill="auto"/>
            <w:vAlign w:val="bottom"/>
            <w:hideMark/>
          </w:tcPr>
          <w:p w14:paraId="5EA73CC8" w14:textId="245B56A0" w:rsidR="003B0341" w:rsidRPr="008F6E13" w:rsidRDefault="003B0341" w:rsidP="003B0341">
            <w:pPr>
              <w:jc w:val="right"/>
              <w:rPr>
                <w:rFonts w:cs="Arial"/>
                <w:color w:val="000000"/>
                <w:sz w:val="20"/>
                <w:szCs w:val="20"/>
                <w:lang w:eastAsia="en-AU"/>
              </w:rPr>
            </w:pPr>
            <w:r>
              <w:rPr>
                <w:rFonts w:cs="Arial"/>
                <w:color w:val="000000"/>
                <w:sz w:val="20"/>
                <w:szCs w:val="20"/>
                <w:lang w:eastAsia="en-AU"/>
              </w:rPr>
              <w:t>0</w:t>
            </w:r>
          </w:p>
        </w:tc>
        <w:tc>
          <w:tcPr>
            <w:tcW w:w="1028" w:type="dxa"/>
            <w:tcBorders>
              <w:left w:val="nil"/>
              <w:bottom w:val="single" w:sz="8" w:space="0" w:color="auto"/>
              <w:right w:val="nil"/>
            </w:tcBorders>
            <w:shd w:val="clear" w:color="auto" w:fill="auto"/>
            <w:vAlign w:val="bottom"/>
            <w:hideMark/>
          </w:tcPr>
          <w:p w14:paraId="5EA73CC9"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(1,345)</w:t>
            </w:r>
          </w:p>
        </w:tc>
        <w:tc>
          <w:tcPr>
            <w:tcW w:w="1150" w:type="dxa"/>
            <w:tcBorders>
              <w:left w:val="nil"/>
              <w:bottom w:val="single" w:sz="8" w:space="0" w:color="auto"/>
              <w:right w:val="nil"/>
            </w:tcBorders>
            <w:shd w:val="clear" w:color="auto" w:fill="auto"/>
            <w:vAlign w:val="bottom"/>
            <w:hideMark/>
          </w:tcPr>
          <w:p w14:paraId="5EA73CCA"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(1,241)</w:t>
            </w:r>
          </w:p>
        </w:tc>
        <w:tc>
          <w:tcPr>
            <w:tcW w:w="949" w:type="dxa"/>
            <w:tcBorders>
              <w:left w:val="nil"/>
              <w:bottom w:val="single" w:sz="8" w:space="0" w:color="auto"/>
              <w:right w:val="nil"/>
            </w:tcBorders>
            <w:shd w:val="clear" w:color="auto" w:fill="auto"/>
            <w:vAlign w:val="bottom"/>
            <w:hideMark/>
          </w:tcPr>
          <w:p w14:paraId="5EA73CCB"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(791)</w:t>
            </w:r>
          </w:p>
        </w:tc>
        <w:tc>
          <w:tcPr>
            <w:tcW w:w="1195" w:type="dxa"/>
            <w:tcBorders>
              <w:left w:val="nil"/>
              <w:bottom w:val="single" w:sz="8" w:space="0" w:color="auto"/>
              <w:right w:val="nil"/>
            </w:tcBorders>
            <w:shd w:val="clear" w:color="auto" w:fill="auto"/>
            <w:vAlign w:val="bottom"/>
            <w:hideMark/>
          </w:tcPr>
          <w:p w14:paraId="5EA73CCC"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(395)</w:t>
            </w:r>
          </w:p>
        </w:tc>
        <w:tc>
          <w:tcPr>
            <w:tcW w:w="995" w:type="dxa"/>
            <w:tcBorders>
              <w:left w:val="nil"/>
              <w:bottom w:val="single" w:sz="8" w:space="0" w:color="auto"/>
              <w:right w:val="nil"/>
            </w:tcBorders>
            <w:shd w:val="clear" w:color="auto" w:fill="auto"/>
            <w:vAlign w:val="bottom"/>
          </w:tcPr>
          <w:p w14:paraId="5EA73CCD" w14:textId="2D9EE583"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left w:val="nil"/>
              <w:bottom w:val="single" w:sz="8" w:space="0" w:color="auto"/>
              <w:right w:val="nil"/>
            </w:tcBorders>
            <w:shd w:val="clear" w:color="000000" w:fill="BFBFBF" w:themeFill="background1" w:themeFillShade="BF"/>
            <w:vAlign w:val="bottom"/>
            <w:hideMark/>
          </w:tcPr>
          <w:p w14:paraId="5EA73CCE"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(3,772)</w:t>
            </w:r>
          </w:p>
        </w:tc>
      </w:tr>
      <w:tr w:rsidR="003B0341" w:rsidRPr="008F6E13" w14:paraId="5EA73CD8" w14:textId="77777777" w:rsidTr="003B0341">
        <w:trPr>
          <w:trHeight w:val="262"/>
        </w:trPr>
        <w:tc>
          <w:tcPr>
            <w:tcW w:w="2562" w:type="dxa"/>
            <w:tcBorders>
              <w:top w:val="nil"/>
              <w:left w:val="nil"/>
              <w:bottom w:val="nil"/>
              <w:right w:val="nil"/>
            </w:tcBorders>
            <w:shd w:val="clear" w:color="auto" w:fill="auto"/>
            <w:vAlign w:val="bottom"/>
            <w:hideMark/>
          </w:tcPr>
          <w:p w14:paraId="5EA73CD0" w14:textId="77777777" w:rsidR="003B0341" w:rsidRPr="008F6E13" w:rsidRDefault="003B0341" w:rsidP="005D0705">
            <w:pPr>
              <w:rPr>
                <w:rFonts w:cs="Arial"/>
                <w:color w:val="000000"/>
                <w:sz w:val="20"/>
                <w:szCs w:val="20"/>
                <w:lang w:eastAsia="en-AU"/>
              </w:rPr>
            </w:pPr>
            <w:r w:rsidRPr="008F6E13">
              <w:rPr>
                <w:rFonts w:cs="Arial"/>
                <w:color w:val="000000"/>
                <w:sz w:val="20"/>
                <w:szCs w:val="20"/>
                <w:lang w:eastAsia="en-AU"/>
              </w:rPr>
              <w:t>Balance at 30 June 2014</w:t>
            </w:r>
          </w:p>
        </w:tc>
        <w:tc>
          <w:tcPr>
            <w:tcW w:w="894" w:type="dxa"/>
            <w:tcBorders>
              <w:top w:val="nil"/>
              <w:left w:val="nil"/>
              <w:bottom w:val="nil"/>
              <w:right w:val="nil"/>
            </w:tcBorders>
            <w:shd w:val="clear" w:color="auto" w:fill="auto"/>
            <w:vAlign w:val="bottom"/>
            <w:hideMark/>
          </w:tcPr>
          <w:p w14:paraId="5EA73CD1"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(666)</w:t>
            </w:r>
          </w:p>
        </w:tc>
        <w:tc>
          <w:tcPr>
            <w:tcW w:w="1028" w:type="dxa"/>
            <w:tcBorders>
              <w:top w:val="nil"/>
              <w:left w:val="nil"/>
              <w:bottom w:val="nil"/>
              <w:right w:val="nil"/>
            </w:tcBorders>
            <w:shd w:val="clear" w:color="auto" w:fill="auto"/>
            <w:vAlign w:val="bottom"/>
            <w:hideMark/>
          </w:tcPr>
          <w:p w14:paraId="5EA73CD2"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(9,395)</w:t>
            </w:r>
          </w:p>
        </w:tc>
        <w:tc>
          <w:tcPr>
            <w:tcW w:w="1150" w:type="dxa"/>
            <w:tcBorders>
              <w:top w:val="nil"/>
              <w:left w:val="nil"/>
              <w:bottom w:val="nil"/>
              <w:right w:val="nil"/>
            </w:tcBorders>
            <w:shd w:val="clear" w:color="auto" w:fill="auto"/>
            <w:vAlign w:val="bottom"/>
            <w:hideMark/>
          </w:tcPr>
          <w:p w14:paraId="5EA73CD3"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(11,268)</w:t>
            </w:r>
          </w:p>
        </w:tc>
        <w:tc>
          <w:tcPr>
            <w:tcW w:w="949" w:type="dxa"/>
            <w:tcBorders>
              <w:top w:val="nil"/>
              <w:left w:val="nil"/>
              <w:bottom w:val="nil"/>
              <w:right w:val="nil"/>
            </w:tcBorders>
            <w:shd w:val="clear" w:color="auto" w:fill="auto"/>
            <w:vAlign w:val="bottom"/>
            <w:hideMark/>
          </w:tcPr>
          <w:p w14:paraId="5EA73CD4"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(2,908)</w:t>
            </w:r>
          </w:p>
        </w:tc>
        <w:tc>
          <w:tcPr>
            <w:tcW w:w="1195" w:type="dxa"/>
            <w:tcBorders>
              <w:top w:val="nil"/>
              <w:left w:val="nil"/>
              <w:bottom w:val="nil"/>
              <w:right w:val="nil"/>
            </w:tcBorders>
            <w:shd w:val="clear" w:color="auto" w:fill="auto"/>
            <w:vAlign w:val="bottom"/>
            <w:hideMark/>
          </w:tcPr>
          <w:p w14:paraId="5EA73CD5"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(6,540)</w:t>
            </w:r>
          </w:p>
        </w:tc>
        <w:tc>
          <w:tcPr>
            <w:tcW w:w="995" w:type="dxa"/>
            <w:tcBorders>
              <w:top w:val="nil"/>
              <w:left w:val="nil"/>
              <w:bottom w:val="nil"/>
              <w:right w:val="nil"/>
            </w:tcBorders>
            <w:shd w:val="clear" w:color="auto" w:fill="auto"/>
            <w:vAlign w:val="bottom"/>
          </w:tcPr>
          <w:p w14:paraId="5EA73CD6" w14:textId="3FF02255"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top w:val="nil"/>
              <w:left w:val="nil"/>
              <w:bottom w:val="nil"/>
              <w:right w:val="nil"/>
            </w:tcBorders>
            <w:shd w:val="clear" w:color="000000" w:fill="BFBFBF" w:themeFill="background1" w:themeFillShade="BF"/>
            <w:vAlign w:val="bottom"/>
            <w:hideMark/>
          </w:tcPr>
          <w:p w14:paraId="5EA73CD7"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(30,777)</w:t>
            </w:r>
          </w:p>
        </w:tc>
      </w:tr>
      <w:tr w:rsidR="003B0341" w:rsidRPr="008F6E13" w14:paraId="5EA73CE1" w14:textId="77777777" w:rsidTr="0016002F">
        <w:trPr>
          <w:trHeight w:val="262"/>
        </w:trPr>
        <w:tc>
          <w:tcPr>
            <w:tcW w:w="2562" w:type="dxa"/>
            <w:tcBorders>
              <w:top w:val="nil"/>
              <w:left w:val="nil"/>
              <w:bottom w:val="nil"/>
              <w:right w:val="nil"/>
            </w:tcBorders>
            <w:shd w:val="clear" w:color="auto" w:fill="auto"/>
            <w:vAlign w:val="bottom"/>
            <w:hideMark/>
          </w:tcPr>
          <w:p w14:paraId="5EA73CD9"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Disposals</w:t>
            </w:r>
          </w:p>
        </w:tc>
        <w:tc>
          <w:tcPr>
            <w:tcW w:w="894" w:type="dxa"/>
            <w:tcBorders>
              <w:top w:val="nil"/>
              <w:left w:val="nil"/>
              <w:bottom w:val="nil"/>
              <w:right w:val="nil"/>
            </w:tcBorders>
            <w:shd w:val="clear" w:color="auto" w:fill="auto"/>
            <w:vAlign w:val="bottom"/>
          </w:tcPr>
          <w:p w14:paraId="5EA73CDA" w14:textId="39A151E5"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1028" w:type="dxa"/>
            <w:tcBorders>
              <w:top w:val="nil"/>
              <w:left w:val="nil"/>
              <w:bottom w:val="nil"/>
              <w:right w:val="nil"/>
            </w:tcBorders>
            <w:shd w:val="clear" w:color="auto" w:fill="auto"/>
            <w:vAlign w:val="bottom"/>
          </w:tcPr>
          <w:p w14:paraId="5EA73CDB"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56</w:t>
            </w:r>
          </w:p>
        </w:tc>
        <w:tc>
          <w:tcPr>
            <w:tcW w:w="1150" w:type="dxa"/>
            <w:tcBorders>
              <w:top w:val="nil"/>
              <w:left w:val="nil"/>
              <w:bottom w:val="nil"/>
              <w:right w:val="nil"/>
            </w:tcBorders>
            <w:shd w:val="clear" w:color="auto" w:fill="auto"/>
            <w:vAlign w:val="bottom"/>
          </w:tcPr>
          <w:p w14:paraId="5EA73CDC"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656</w:t>
            </w:r>
          </w:p>
        </w:tc>
        <w:tc>
          <w:tcPr>
            <w:tcW w:w="949" w:type="dxa"/>
            <w:tcBorders>
              <w:top w:val="nil"/>
              <w:left w:val="nil"/>
              <w:bottom w:val="nil"/>
              <w:right w:val="nil"/>
            </w:tcBorders>
            <w:shd w:val="clear" w:color="auto" w:fill="auto"/>
            <w:vAlign w:val="bottom"/>
          </w:tcPr>
          <w:p w14:paraId="5EA73CDD"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2,493</w:t>
            </w:r>
          </w:p>
        </w:tc>
        <w:tc>
          <w:tcPr>
            <w:tcW w:w="1195" w:type="dxa"/>
            <w:tcBorders>
              <w:top w:val="nil"/>
              <w:left w:val="nil"/>
              <w:bottom w:val="nil"/>
              <w:right w:val="nil"/>
            </w:tcBorders>
            <w:shd w:val="clear" w:color="auto" w:fill="auto"/>
            <w:vAlign w:val="bottom"/>
          </w:tcPr>
          <w:p w14:paraId="5EA73CDE" w14:textId="1AC20F24" w:rsidR="003B0341" w:rsidRPr="008F6E13" w:rsidRDefault="003B0341">
            <w:pPr>
              <w:jc w:val="right"/>
              <w:rPr>
                <w:rFonts w:cs="Arial"/>
                <w:color w:val="000000"/>
                <w:sz w:val="20"/>
                <w:szCs w:val="20"/>
                <w:lang w:eastAsia="en-AU"/>
              </w:rPr>
            </w:pPr>
            <w:r w:rsidRPr="008F6E13">
              <w:rPr>
                <w:rFonts w:cs="Arial"/>
                <w:color w:val="000000"/>
                <w:sz w:val="20"/>
                <w:szCs w:val="20"/>
                <w:lang w:eastAsia="en-AU"/>
              </w:rPr>
              <w:t>1,085</w:t>
            </w:r>
          </w:p>
        </w:tc>
        <w:tc>
          <w:tcPr>
            <w:tcW w:w="995" w:type="dxa"/>
            <w:tcBorders>
              <w:top w:val="nil"/>
              <w:left w:val="nil"/>
              <w:bottom w:val="nil"/>
              <w:right w:val="nil"/>
            </w:tcBorders>
            <w:shd w:val="clear" w:color="auto" w:fill="auto"/>
            <w:vAlign w:val="bottom"/>
          </w:tcPr>
          <w:p w14:paraId="5EA73CDF" w14:textId="7A61DD29"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top w:val="nil"/>
              <w:left w:val="nil"/>
              <w:bottom w:val="nil"/>
              <w:right w:val="nil"/>
            </w:tcBorders>
            <w:shd w:val="clear" w:color="000000" w:fill="BFBFBF" w:themeFill="background1" w:themeFillShade="BF"/>
            <w:vAlign w:val="bottom"/>
          </w:tcPr>
          <w:p w14:paraId="5EA73CE0" w14:textId="423C2880" w:rsidR="003B0341" w:rsidRPr="008F6E13" w:rsidRDefault="003B0341">
            <w:pPr>
              <w:jc w:val="right"/>
              <w:rPr>
                <w:rFonts w:cs="Arial"/>
                <w:color w:val="000000"/>
                <w:sz w:val="20"/>
                <w:szCs w:val="20"/>
                <w:lang w:eastAsia="en-AU"/>
              </w:rPr>
            </w:pPr>
            <w:r w:rsidRPr="008F6E13">
              <w:rPr>
                <w:rFonts w:cs="Arial"/>
                <w:color w:val="000000"/>
                <w:sz w:val="20"/>
                <w:szCs w:val="20"/>
                <w:lang w:eastAsia="en-AU"/>
              </w:rPr>
              <w:t>4,290</w:t>
            </w:r>
          </w:p>
        </w:tc>
      </w:tr>
      <w:tr w:rsidR="003B0341" w:rsidRPr="008F6E13" w14:paraId="5EA73CEA" w14:textId="77777777" w:rsidTr="0016002F">
        <w:trPr>
          <w:trHeight w:val="549"/>
        </w:trPr>
        <w:tc>
          <w:tcPr>
            <w:tcW w:w="2562" w:type="dxa"/>
            <w:tcBorders>
              <w:top w:val="nil"/>
              <w:left w:val="nil"/>
              <w:bottom w:val="nil"/>
              <w:right w:val="nil"/>
            </w:tcBorders>
            <w:shd w:val="clear" w:color="auto" w:fill="auto"/>
            <w:vAlign w:val="bottom"/>
            <w:hideMark/>
          </w:tcPr>
          <w:p w14:paraId="5EA73CE2"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Reversal of impairment losses credited to surplus</w:t>
            </w:r>
            <w:r w:rsidRPr="008F6E13">
              <w:rPr>
                <w:rFonts w:cs="Arial"/>
                <w:color w:val="000000"/>
                <w:sz w:val="20"/>
                <w:szCs w:val="20"/>
                <w:vertAlign w:val="superscript"/>
                <w:lang w:eastAsia="en-AU"/>
              </w:rPr>
              <w:t>(</w:t>
            </w:r>
            <w:proofErr w:type="spellStart"/>
            <w:r w:rsidRPr="008F6E13">
              <w:rPr>
                <w:rFonts w:cs="Arial"/>
                <w:color w:val="000000"/>
                <w:sz w:val="20"/>
                <w:szCs w:val="20"/>
                <w:vertAlign w:val="superscript"/>
                <w:lang w:eastAsia="en-AU"/>
              </w:rPr>
              <w:t>i</w:t>
            </w:r>
            <w:proofErr w:type="spellEnd"/>
            <w:r w:rsidRPr="008F6E13">
              <w:rPr>
                <w:rFonts w:cs="Arial"/>
                <w:color w:val="000000"/>
                <w:sz w:val="20"/>
                <w:szCs w:val="20"/>
                <w:vertAlign w:val="superscript"/>
                <w:lang w:eastAsia="en-AU"/>
              </w:rPr>
              <w:t>)</w:t>
            </w:r>
          </w:p>
        </w:tc>
        <w:tc>
          <w:tcPr>
            <w:tcW w:w="894" w:type="dxa"/>
            <w:tcBorders>
              <w:top w:val="nil"/>
              <w:left w:val="nil"/>
              <w:bottom w:val="nil"/>
              <w:right w:val="nil"/>
            </w:tcBorders>
            <w:shd w:val="clear" w:color="auto" w:fill="auto"/>
            <w:vAlign w:val="bottom"/>
          </w:tcPr>
          <w:p w14:paraId="5EA73CE3" w14:textId="25D66E10"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1028" w:type="dxa"/>
            <w:tcBorders>
              <w:top w:val="nil"/>
              <w:left w:val="nil"/>
              <w:bottom w:val="nil"/>
              <w:right w:val="nil"/>
            </w:tcBorders>
            <w:shd w:val="clear" w:color="auto" w:fill="auto"/>
            <w:vAlign w:val="bottom"/>
          </w:tcPr>
          <w:p w14:paraId="5EA73CE4"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(373)</w:t>
            </w:r>
          </w:p>
        </w:tc>
        <w:tc>
          <w:tcPr>
            <w:tcW w:w="1150" w:type="dxa"/>
            <w:tcBorders>
              <w:top w:val="nil"/>
              <w:left w:val="nil"/>
              <w:bottom w:val="nil"/>
              <w:right w:val="nil"/>
            </w:tcBorders>
            <w:shd w:val="clear" w:color="auto" w:fill="auto"/>
            <w:vAlign w:val="bottom"/>
          </w:tcPr>
          <w:p w14:paraId="5EA73CE5" w14:textId="4252BD85"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49" w:type="dxa"/>
            <w:tcBorders>
              <w:top w:val="nil"/>
              <w:left w:val="nil"/>
              <w:bottom w:val="nil"/>
              <w:right w:val="nil"/>
            </w:tcBorders>
            <w:shd w:val="clear" w:color="auto" w:fill="auto"/>
            <w:vAlign w:val="bottom"/>
          </w:tcPr>
          <w:p w14:paraId="5EA73CE6" w14:textId="63CCCF0E"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1195" w:type="dxa"/>
            <w:tcBorders>
              <w:top w:val="nil"/>
              <w:left w:val="nil"/>
              <w:bottom w:val="nil"/>
              <w:right w:val="nil"/>
            </w:tcBorders>
            <w:shd w:val="clear" w:color="auto" w:fill="auto"/>
            <w:vAlign w:val="bottom"/>
          </w:tcPr>
          <w:p w14:paraId="5EA73CE7" w14:textId="433037E8"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95" w:type="dxa"/>
            <w:tcBorders>
              <w:top w:val="nil"/>
              <w:left w:val="nil"/>
              <w:bottom w:val="nil"/>
              <w:right w:val="nil"/>
            </w:tcBorders>
            <w:shd w:val="clear" w:color="auto" w:fill="auto"/>
            <w:vAlign w:val="bottom"/>
          </w:tcPr>
          <w:p w14:paraId="5EA73CE8" w14:textId="176E5646"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top w:val="nil"/>
              <w:left w:val="nil"/>
              <w:bottom w:val="nil"/>
              <w:right w:val="nil"/>
            </w:tcBorders>
            <w:shd w:val="clear" w:color="000000" w:fill="BFBFBF" w:themeFill="background1" w:themeFillShade="BF"/>
            <w:vAlign w:val="bottom"/>
          </w:tcPr>
          <w:p w14:paraId="5EA73CE9"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(373)</w:t>
            </w:r>
          </w:p>
        </w:tc>
      </w:tr>
      <w:tr w:rsidR="003B0341" w:rsidRPr="008F6E13" w14:paraId="5EA73CF3" w14:textId="77777777" w:rsidTr="0030720B">
        <w:trPr>
          <w:trHeight w:val="327"/>
        </w:trPr>
        <w:tc>
          <w:tcPr>
            <w:tcW w:w="2562" w:type="dxa"/>
            <w:tcBorders>
              <w:top w:val="nil"/>
              <w:left w:val="nil"/>
              <w:bottom w:val="nil"/>
              <w:right w:val="nil"/>
            </w:tcBorders>
            <w:shd w:val="clear" w:color="auto" w:fill="auto"/>
            <w:vAlign w:val="bottom"/>
            <w:hideMark/>
          </w:tcPr>
          <w:p w14:paraId="5EA73CEB" w14:textId="795318E4" w:rsidR="003B0341" w:rsidRPr="008F6E13" w:rsidRDefault="003B0341" w:rsidP="0030720B">
            <w:pPr>
              <w:rPr>
                <w:rFonts w:cs="Arial"/>
                <w:color w:val="000000"/>
                <w:sz w:val="20"/>
                <w:szCs w:val="20"/>
                <w:lang w:eastAsia="zh-CN"/>
              </w:rPr>
            </w:pPr>
            <w:r w:rsidRPr="008F6E13">
              <w:rPr>
                <w:rFonts w:cs="Arial"/>
                <w:color w:val="000000"/>
                <w:sz w:val="20"/>
                <w:szCs w:val="20"/>
                <w:lang w:eastAsia="en-AU"/>
              </w:rPr>
              <w:t>Transfer</w:t>
            </w:r>
          </w:p>
        </w:tc>
        <w:tc>
          <w:tcPr>
            <w:tcW w:w="894" w:type="dxa"/>
            <w:tcBorders>
              <w:top w:val="nil"/>
              <w:left w:val="nil"/>
              <w:right w:val="nil"/>
            </w:tcBorders>
            <w:shd w:val="clear" w:color="auto" w:fill="auto"/>
            <w:vAlign w:val="bottom"/>
          </w:tcPr>
          <w:p w14:paraId="5EA73CEC" w14:textId="3A47AE28"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176</w:t>
            </w:r>
          </w:p>
        </w:tc>
        <w:tc>
          <w:tcPr>
            <w:tcW w:w="1028" w:type="dxa"/>
            <w:tcBorders>
              <w:top w:val="nil"/>
              <w:left w:val="nil"/>
              <w:right w:val="nil"/>
            </w:tcBorders>
            <w:shd w:val="clear" w:color="auto" w:fill="auto"/>
            <w:vAlign w:val="bottom"/>
          </w:tcPr>
          <w:p w14:paraId="5EA73CED" w14:textId="2EE2B032"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137</w:t>
            </w:r>
          </w:p>
        </w:tc>
        <w:tc>
          <w:tcPr>
            <w:tcW w:w="1150" w:type="dxa"/>
            <w:tcBorders>
              <w:top w:val="nil"/>
              <w:left w:val="nil"/>
              <w:right w:val="nil"/>
            </w:tcBorders>
            <w:shd w:val="clear" w:color="auto" w:fill="auto"/>
            <w:vAlign w:val="bottom"/>
          </w:tcPr>
          <w:p w14:paraId="5EA73CEE" w14:textId="7B3D67B6"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49" w:type="dxa"/>
            <w:tcBorders>
              <w:top w:val="nil"/>
              <w:left w:val="nil"/>
              <w:right w:val="nil"/>
            </w:tcBorders>
            <w:shd w:val="clear" w:color="auto" w:fill="auto"/>
            <w:vAlign w:val="bottom"/>
          </w:tcPr>
          <w:p w14:paraId="5EA73CEF" w14:textId="7DC0AD7F"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1195" w:type="dxa"/>
            <w:tcBorders>
              <w:top w:val="nil"/>
              <w:left w:val="nil"/>
              <w:right w:val="nil"/>
            </w:tcBorders>
            <w:shd w:val="clear" w:color="auto" w:fill="auto"/>
            <w:vAlign w:val="bottom"/>
          </w:tcPr>
          <w:p w14:paraId="5EA73CF0" w14:textId="2BDDA7BC"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95" w:type="dxa"/>
            <w:tcBorders>
              <w:top w:val="nil"/>
              <w:left w:val="nil"/>
              <w:right w:val="nil"/>
            </w:tcBorders>
            <w:shd w:val="clear" w:color="auto" w:fill="auto"/>
            <w:vAlign w:val="bottom"/>
          </w:tcPr>
          <w:p w14:paraId="5EA73CF1" w14:textId="7EF06FF3"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top w:val="nil"/>
              <w:left w:val="nil"/>
              <w:right w:val="nil"/>
            </w:tcBorders>
            <w:shd w:val="clear" w:color="000000" w:fill="BFBFBF" w:themeFill="background1" w:themeFillShade="BF"/>
            <w:vAlign w:val="bottom"/>
          </w:tcPr>
          <w:p w14:paraId="5EA73CF2" w14:textId="4D588DC3" w:rsidR="003B0341" w:rsidRPr="008F6E13" w:rsidRDefault="003B0341" w:rsidP="007B6CE7">
            <w:pPr>
              <w:jc w:val="right"/>
              <w:rPr>
                <w:rFonts w:cs="Arial"/>
                <w:color w:val="000000"/>
                <w:sz w:val="20"/>
                <w:szCs w:val="20"/>
                <w:lang w:eastAsia="en-AU"/>
              </w:rPr>
            </w:pPr>
            <w:r w:rsidRPr="008F6E13">
              <w:rPr>
                <w:rFonts w:cs="Arial"/>
                <w:color w:val="000000"/>
                <w:sz w:val="20"/>
                <w:szCs w:val="20"/>
                <w:lang w:eastAsia="en-AU"/>
              </w:rPr>
              <w:t>313</w:t>
            </w:r>
          </w:p>
        </w:tc>
      </w:tr>
      <w:tr w:rsidR="003B0341" w:rsidRPr="008F6E13" w14:paraId="5EA73CFC" w14:textId="77777777" w:rsidTr="0030720B">
        <w:trPr>
          <w:trHeight w:val="262"/>
        </w:trPr>
        <w:tc>
          <w:tcPr>
            <w:tcW w:w="2562" w:type="dxa"/>
            <w:tcBorders>
              <w:top w:val="nil"/>
              <w:left w:val="nil"/>
              <w:bottom w:val="nil"/>
              <w:right w:val="nil"/>
            </w:tcBorders>
            <w:shd w:val="clear" w:color="auto" w:fill="auto"/>
            <w:vAlign w:val="bottom"/>
            <w:hideMark/>
          </w:tcPr>
          <w:p w14:paraId="5EA73CF4" w14:textId="77777777" w:rsidR="003B0341" w:rsidRPr="008F6E13" w:rsidRDefault="003B0341" w:rsidP="007F66DD">
            <w:pPr>
              <w:rPr>
                <w:rFonts w:cs="Arial"/>
                <w:color w:val="000000"/>
                <w:sz w:val="20"/>
                <w:szCs w:val="20"/>
                <w:lang w:eastAsia="en-AU"/>
              </w:rPr>
            </w:pPr>
            <w:r w:rsidRPr="008F6E13">
              <w:rPr>
                <w:rFonts w:cs="Arial"/>
                <w:color w:val="000000"/>
                <w:sz w:val="20"/>
                <w:szCs w:val="20"/>
                <w:lang w:eastAsia="en-AU"/>
              </w:rPr>
              <w:t>Depreciation expense</w:t>
            </w:r>
          </w:p>
        </w:tc>
        <w:tc>
          <w:tcPr>
            <w:tcW w:w="894" w:type="dxa"/>
            <w:tcBorders>
              <w:left w:val="nil"/>
              <w:bottom w:val="single" w:sz="8" w:space="0" w:color="auto"/>
              <w:right w:val="nil"/>
            </w:tcBorders>
            <w:shd w:val="clear" w:color="auto" w:fill="auto"/>
            <w:vAlign w:val="bottom"/>
          </w:tcPr>
          <w:p w14:paraId="5EA73CF5" w14:textId="490C5FCE"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1028" w:type="dxa"/>
            <w:tcBorders>
              <w:left w:val="nil"/>
              <w:bottom w:val="single" w:sz="8" w:space="0" w:color="auto"/>
              <w:right w:val="nil"/>
            </w:tcBorders>
            <w:shd w:val="clear" w:color="auto" w:fill="auto"/>
            <w:vAlign w:val="bottom"/>
          </w:tcPr>
          <w:p w14:paraId="5EA73CF6"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(1,389)</w:t>
            </w:r>
          </w:p>
        </w:tc>
        <w:tc>
          <w:tcPr>
            <w:tcW w:w="1150" w:type="dxa"/>
            <w:tcBorders>
              <w:left w:val="nil"/>
              <w:bottom w:val="single" w:sz="8" w:space="0" w:color="auto"/>
              <w:right w:val="nil"/>
            </w:tcBorders>
            <w:shd w:val="clear" w:color="auto" w:fill="auto"/>
            <w:vAlign w:val="bottom"/>
          </w:tcPr>
          <w:p w14:paraId="5EA73CF7"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(925)</w:t>
            </w:r>
          </w:p>
        </w:tc>
        <w:tc>
          <w:tcPr>
            <w:tcW w:w="949" w:type="dxa"/>
            <w:tcBorders>
              <w:left w:val="nil"/>
              <w:bottom w:val="single" w:sz="8" w:space="0" w:color="auto"/>
              <w:right w:val="nil"/>
            </w:tcBorders>
            <w:shd w:val="clear" w:color="auto" w:fill="auto"/>
            <w:vAlign w:val="bottom"/>
          </w:tcPr>
          <w:p w14:paraId="5EA73CF8"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(406)</w:t>
            </w:r>
          </w:p>
        </w:tc>
        <w:tc>
          <w:tcPr>
            <w:tcW w:w="1195" w:type="dxa"/>
            <w:tcBorders>
              <w:left w:val="nil"/>
              <w:bottom w:val="single" w:sz="8" w:space="0" w:color="auto"/>
              <w:right w:val="nil"/>
            </w:tcBorders>
            <w:shd w:val="clear" w:color="auto" w:fill="auto"/>
            <w:vAlign w:val="bottom"/>
          </w:tcPr>
          <w:p w14:paraId="5EA73CF9" w14:textId="5CDDC5C1"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(192)</w:t>
            </w:r>
          </w:p>
        </w:tc>
        <w:tc>
          <w:tcPr>
            <w:tcW w:w="995" w:type="dxa"/>
            <w:tcBorders>
              <w:left w:val="nil"/>
              <w:bottom w:val="single" w:sz="8" w:space="0" w:color="auto"/>
              <w:right w:val="nil"/>
            </w:tcBorders>
            <w:shd w:val="clear" w:color="auto" w:fill="auto"/>
            <w:vAlign w:val="bottom"/>
          </w:tcPr>
          <w:p w14:paraId="5EA73CFA" w14:textId="6903CA24"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left w:val="nil"/>
              <w:bottom w:val="single" w:sz="8" w:space="0" w:color="auto"/>
              <w:right w:val="nil"/>
            </w:tcBorders>
            <w:shd w:val="clear" w:color="000000" w:fill="BFBFBF" w:themeFill="background1" w:themeFillShade="BF"/>
            <w:vAlign w:val="bottom"/>
          </w:tcPr>
          <w:p w14:paraId="5EA73CFB" w14:textId="39DB1BB3"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(2,912)</w:t>
            </w:r>
          </w:p>
        </w:tc>
      </w:tr>
      <w:tr w:rsidR="003B0341" w:rsidRPr="008F6E13" w14:paraId="5EA73D05" w14:textId="77777777" w:rsidTr="0016002F">
        <w:trPr>
          <w:trHeight w:val="262"/>
        </w:trPr>
        <w:tc>
          <w:tcPr>
            <w:tcW w:w="2562" w:type="dxa"/>
            <w:tcBorders>
              <w:top w:val="nil"/>
              <w:left w:val="nil"/>
              <w:bottom w:val="nil"/>
              <w:right w:val="nil"/>
            </w:tcBorders>
            <w:shd w:val="clear" w:color="auto" w:fill="auto"/>
            <w:vAlign w:val="bottom"/>
            <w:hideMark/>
          </w:tcPr>
          <w:p w14:paraId="5EA73CFD" w14:textId="77777777" w:rsidR="003B0341" w:rsidRPr="008F6E13" w:rsidRDefault="003B0341" w:rsidP="005D0705">
            <w:pPr>
              <w:rPr>
                <w:rFonts w:cs="Arial"/>
                <w:color w:val="000000"/>
                <w:sz w:val="20"/>
                <w:szCs w:val="20"/>
                <w:lang w:eastAsia="en-AU"/>
              </w:rPr>
            </w:pPr>
            <w:r w:rsidRPr="008F6E13">
              <w:rPr>
                <w:rFonts w:cs="Arial"/>
                <w:color w:val="000000"/>
                <w:sz w:val="20"/>
                <w:szCs w:val="20"/>
                <w:lang w:eastAsia="en-AU"/>
              </w:rPr>
              <w:t>Balance at 30 June 2015</w:t>
            </w:r>
          </w:p>
        </w:tc>
        <w:tc>
          <w:tcPr>
            <w:tcW w:w="894" w:type="dxa"/>
            <w:tcBorders>
              <w:top w:val="nil"/>
              <w:left w:val="nil"/>
              <w:bottom w:val="single" w:sz="8" w:space="0" w:color="auto"/>
              <w:right w:val="nil"/>
            </w:tcBorders>
            <w:shd w:val="clear" w:color="auto" w:fill="auto"/>
            <w:vAlign w:val="bottom"/>
          </w:tcPr>
          <w:p w14:paraId="5EA73CFE" w14:textId="566585BA" w:rsidR="003B0341" w:rsidRPr="008F6E13" w:rsidRDefault="003B0341" w:rsidP="0030720B">
            <w:pPr>
              <w:jc w:val="right"/>
              <w:rPr>
                <w:rFonts w:cs="Arial"/>
                <w:color w:val="000000"/>
                <w:sz w:val="20"/>
                <w:szCs w:val="20"/>
                <w:lang w:eastAsia="en-AU"/>
              </w:rPr>
            </w:pPr>
            <w:r w:rsidRPr="008F6E13">
              <w:rPr>
                <w:rFonts w:cs="Arial"/>
                <w:color w:val="000000"/>
                <w:sz w:val="20"/>
                <w:szCs w:val="20"/>
                <w:lang w:eastAsia="en-AU"/>
              </w:rPr>
              <w:t>(</w:t>
            </w:r>
            <w:r w:rsidRPr="008F6E13">
              <w:rPr>
                <w:rFonts w:cs="Arial"/>
                <w:color w:val="000000"/>
                <w:sz w:val="20"/>
                <w:szCs w:val="20"/>
                <w:lang w:eastAsia="zh-CN"/>
              </w:rPr>
              <w:t>490</w:t>
            </w:r>
            <w:r w:rsidRPr="008F6E13">
              <w:rPr>
                <w:rFonts w:cs="Arial"/>
                <w:color w:val="000000"/>
                <w:sz w:val="20"/>
                <w:szCs w:val="20"/>
                <w:lang w:eastAsia="en-AU"/>
              </w:rPr>
              <w:t>)</w:t>
            </w:r>
          </w:p>
        </w:tc>
        <w:tc>
          <w:tcPr>
            <w:tcW w:w="1028" w:type="dxa"/>
            <w:tcBorders>
              <w:top w:val="nil"/>
              <w:left w:val="nil"/>
              <w:bottom w:val="single" w:sz="8" w:space="0" w:color="auto"/>
              <w:right w:val="nil"/>
            </w:tcBorders>
            <w:shd w:val="clear" w:color="auto" w:fill="auto"/>
            <w:vAlign w:val="bottom"/>
          </w:tcPr>
          <w:p w14:paraId="5EA73CFF" w14:textId="5D53522B" w:rsidR="003B0341" w:rsidRPr="008F6E13" w:rsidRDefault="003B0341" w:rsidP="0030720B">
            <w:pPr>
              <w:jc w:val="right"/>
              <w:rPr>
                <w:rFonts w:cs="Arial"/>
                <w:color w:val="000000"/>
                <w:sz w:val="20"/>
                <w:szCs w:val="20"/>
                <w:lang w:eastAsia="en-AU"/>
              </w:rPr>
            </w:pPr>
            <w:r w:rsidRPr="008F6E13">
              <w:rPr>
                <w:rFonts w:cs="Arial"/>
                <w:color w:val="000000"/>
                <w:sz w:val="20"/>
                <w:szCs w:val="20"/>
                <w:lang w:eastAsia="en-AU"/>
              </w:rPr>
              <w:t>(10,9</w:t>
            </w:r>
            <w:r w:rsidRPr="008F6E13">
              <w:rPr>
                <w:rFonts w:cs="Arial"/>
                <w:color w:val="000000"/>
                <w:sz w:val="20"/>
                <w:szCs w:val="20"/>
                <w:lang w:eastAsia="zh-CN"/>
              </w:rPr>
              <w:t>64</w:t>
            </w:r>
            <w:r w:rsidRPr="008F6E13">
              <w:rPr>
                <w:rFonts w:cs="Arial"/>
                <w:color w:val="000000"/>
                <w:sz w:val="20"/>
                <w:szCs w:val="20"/>
                <w:lang w:eastAsia="en-AU"/>
              </w:rPr>
              <w:t>)</w:t>
            </w:r>
          </w:p>
        </w:tc>
        <w:tc>
          <w:tcPr>
            <w:tcW w:w="1150" w:type="dxa"/>
            <w:tcBorders>
              <w:top w:val="nil"/>
              <w:left w:val="nil"/>
              <w:bottom w:val="single" w:sz="8" w:space="0" w:color="auto"/>
              <w:right w:val="nil"/>
            </w:tcBorders>
            <w:shd w:val="clear" w:color="auto" w:fill="auto"/>
            <w:vAlign w:val="bottom"/>
          </w:tcPr>
          <w:p w14:paraId="5EA73D00"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(11,537)</w:t>
            </w:r>
          </w:p>
        </w:tc>
        <w:tc>
          <w:tcPr>
            <w:tcW w:w="949" w:type="dxa"/>
            <w:tcBorders>
              <w:top w:val="nil"/>
              <w:left w:val="nil"/>
              <w:bottom w:val="single" w:sz="8" w:space="0" w:color="auto"/>
              <w:right w:val="nil"/>
            </w:tcBorders>
            <w:shd w:val="clear" w:color="auto" w:fill="auto"/>
            <w:vAlign w:val="bottom"/>
          </w:tcPr>
          <w:p w14:paraId="5EA73D01"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(821)</w:t>
            </w:r>
          </w:p>
        </w:tc>
        <w:tc>
          <w:tcPr>
            <w:tcW w:w="1195" w:type="dxa"/>
            <w:tcBorders>
              <w:top w:val="nil"/>
              <w:left w:val="nil"/>
              <w:bottom w:val="single" w:sz="8" w:space="0" w:color="auto"/>
              <w:right w:val="nil"/>
            </w:tcBorders>
            <w:shd w:val="clear" w:color="auto" w:fill="auto"/>
            <w:vAlign w:val="bottom"/>
          </w:tcPr>
          <w:p w14:paraId="5EA73D02" w14:textId="25C284A3" w:rsidR="003B0341" w:rsidRPr="008F6E13" w:rsidRDefault="003B0341">
            <w:pPr>
              <w:jc w:val="right"/>
              <w:rPr>
                <w:rFonts w:cs="Arial"/>
                <w:color w:val="000000"/>
                <w:sz w:val="20"/>
                <w:szCs w:val="20"/>
                <w:lang w:eastAsia="en-AU"/>
              </w:rPr>
            </w:pPr>
            <w:r w:rsidRPr="008F6E13">
              <w:rPr>
                <w:rFonts w:cs="Arial"/>
                <w:color w:val="000000"/>
                <w:sz w:val="20"/>
                <w:szCs w:val="20"/>
                <w:lang w:eastAsia="en-AU"/>
              </w:rPr>
              <w:t>(5,647)</w:t>
            </w:r>
          </w:p>
        </w:tc>
        <w:tc>
          <w:tcPr>
            <w:tcW w:w="995" w:type="dxa"/>
            <w:tcBorders>
              <w:top w:val="nil"/>
              <w:left w:val="nil"/>
              <w:bottom w:val="single" w:sz="8" w:space="0" w:color="auto"/>
              <w:right w:val="nil"/>
            </w:tcBorders>
            <w:shd w:val="clear" w:color="auto" w:fill="auto"/>
            <w:vAlign w:val="bottom"/>
          </w:tcPr>
          <w:p w14:paraId="5EA73D03" w14:textId="4AF58566" w:rsidR="003B0341" w:rsidRPr="008F6E13" w:rsidRDefault="003B0341" w:rsidP="007F66DD">
            <w:pPr>
              <w:jc w:val="right"/>
              <w:rPr>
                <w:rFonts w:cs="Arial"/>
                <w:color w:val="000000"/>
                <w:sz w:val="20"/>
                <w:szCs w:val="20"/>
                <w:lang w:eastAsia="en-AU"/>
              </w:rPr>
            </w:pPr>
            <w:r>
              <w:rPr>
                <w:rFonts w:cs="Arial"/>
                <w:color w:val="000000"/>
                <w:sz w:val="20"/>
                <w:szCs w:val="20"/>
                <w:lang w:eastAsia="en-AU"/>
              </w:rPr>
              <w:t>0</w:t>
            </w:r>
          </w:p>
        </w:tc>
        <w:tc>
          <w:tcPr>
            <w:tcW w:w="961" w:type="dxa"/>
            <w:tcBorders>
              <w:top w:val="nil"/>
              <w:left w:val="nil"/>
              <w:bottom w:val="single" w:sz="8" w:space="0" w:color="auto"/>
              <w:right w:val="nil"/>
            </w:tcBorders>
            <w:shd w:val="clear" w:color="000000" w:fill="BFBFBF" w:themeFill="background1" w:themeFillShade="BF"/>
            <w:vAlign w:val="bottom"/>
          </w:tcPr>
          <w:p w14:paraId="5EA73D04" w14:textId="4B003D95" w:rsidR="003B0341" w:rsidRPr="008F6E13" w:rsidRDefault="003B0341" w:rsidP="007B6CE7">
            <w:pPr>
              <w:jc w:val="right"/>
              <w:rPr>
                <w:rFonts w:cs="Arial"/>
                <w:color w:val="000000"/>
                <w:sz w:val="20"/>
                <w:szCs w:val="20"/>
                <w:lang w:eastAsia="en-AU"/>
              </w:rPr>
            </w:pPr>
            <w:r w:rsidRPr="008F6E13">
              <w:rPr>
                <w:rFonts w:cs="Arial"/>
                <w:color w:val="000000"/>
                <w:sz w:val="20"/>
                <w:szCs w:val="20"/>
                <w:lang w:eastAsia="en-AU"/>
              </w:rPr>
              <w:t>(29,</w:t>
            </w:r>
            <w:r w:rsidRPr="008F6E13">
              <w:rPr>
                <w:rFonts w:cs="Arial"/>
                <w:color w:val="000000"/>
                <w:sz w:val="20"/>
                <w:szCs w:val="20"/>
                <w:lang w:eastAsia="zh-CN"/>
              </w:rPr>
              <w:t>459</w:t>
            </w:r>
            <w:r w:rsidRPr="008F6E13">
              <w:rPr>
                <w:rFonts w:cs="Arial"/>
                <w:color w:val="000000"/>
                <w:sz w:val="20"/>
                <w:szCs w:val="20"/>
                <w:lang w:eastAsia="en-AU"/>
              </w:rPr>
              <w:t>)</w:t>
            </w:r>
          </w:p>
        </w:tc>
      </w:tr>
    </w:tbl>
    <w:p w14:paraId="243037E8" w14:textId="77777777" w:rsidR="003B0341" w:rsidRDefault="003B0341"/>
    <w:tbl>
      <w:tblPr>
        <w:tblW w:w="9734" w:type="dxa"/>
        <w:tblInd w:w="108" w:type="dxa"/>
        <w:tblLook w:val="04A0" w:firstRow="1" w:lastRow="0" w:firstColumn="1" w:lastColumn="0" w:noHBand="0" w:noVBand="1"/>
      </w:tblPr>
      <w:tblGrid>
        <w:gridCol w:w="2562"/>
        <w:gridCol w:w="894"/>
        <w:gridCol w:w="1028"/>
        <w:gridCol w:w="1150"/>
        <w:gridCol w:w="949"/>
        <w:gridCol w:w="1195"/>
        <w:gridCol w:w="995"/>
        <w:gridCol w:w="961"/>
      </w:tblGrid>
      <w:tr w:rsidR="003B0341" w:rsidRPr="008F6E13" w14:paraId="5EA73D17" w14:textId="77777777" w:rsidTr="007E2B09">
        <w:trPr>
          <w:trHeight w:val="262"/>
          <w:tblHeader/>
        </w:trPr>
        <w:tc>
          <w:tcPr>
            <w:tcW w:w="2562" w:type="dxa"/>
            <w:tcBorders>
              <w:top w:val="nil"/>
              <w:left w:val="nil"/>
              <w:bottom w:val="nil"/>
              <w:right w:val="nil"/>
            </w:tcBorders>
            <w:shd w:val="clear" w:color="auto" w:fill="auto"/>
            <w:vAlign w:val="bottom"/>
            <w:hideMark/>
          </w:tcPr>
          <w:p w14:paraId="5EA73D0F" w14:textId="77777777" w:rsidR="003B0341" w:rsidRPr="008F6E13" w:rsidRDefault="003B0341" w:rsidP="007F66DD">
            <w:pPr>
              <w:rPr>
                <w:rFonts w:cs="Arial"/>
                <w:b/>
                <w:bCs/>
                <w:color w:val="000000"/>
                <w:sz w:val="20"/>
                <w:szCs w:val="20"/>
                <w:lang w:eastAsia="en-AU"/>
              </w:rPr>
            </w:pPr>
            <w:bookmarkStart w:id="311" w:name="Table_40"/>
            <w:bookmarkEnd w:id="311"/>
            <w:r w:rsidRPr="008F6E13">
              <w:rPr>
                <w:rFonts w:cs="Arial"/>
                <w:b/>
                <w:bCs/>
                <w:color w:val="000000"/>
                <w:sz w:val="20"/>
                <w:szCs w:val="20"/>
                <w:lang w:eastAsia="en-AU"/>
              </w:rPr>
              <w:t>Net book value</w:t>
            </w:r>
          </w:p>
        </w:tc>
        <w:tc>
          <w:tcPr>
            <w:tcW w:w="894" w:type="dxa"/>
            <w:tcBorders>
              <w:top w:val="nil"/>
              <w:left w:val="nil"/>
              <w:bottom w:val="nil"/>
              <w:right w:val="nil"/>
            </w:tcBorders>
            <w:shd w:val="clear" w:color="auto" w:fill="auto"/>
            <w:vAlign w:val="center"/>
            <w:hideMark/>
          </w:tcPr>
          <w:p w14:paraId="5EA73D10" w14:textId="6C522C06"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Land at cost</w:t>
            </w:r>
          </w:p>
        </w:tc>
        <w:tc>
          <w:tcPr>
            <w:tcW w:w="1028" w:type="dxa"/>
            <w:tcBorders>
              <w:top w:val="nil"/>
              <w:left w:val="nil"/>
              <w:bottom w:val="nil"/>
              <w:right w:val="nil"/>
            </w:tcBorders>
            <w:shd w:val="clear" w:color="auto" w:fill="auto"/>
            <w:vAlign w:val="center"/>
            <w:hideMark/>
          </w:tcPr>
          <w:p w14:paraId="5EA73D11" w14:textId="276FD126"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Buildings at cost</w:t>
            </w:r>
          </w:p>
        </w:tc>
        <w:tc>
          <w:tcPr>
            <w:tcW w:w="1150" w:type="dxa"/>
            <w:tcBorders>
              <w:top w:val="nil"/>
              <w:left w:val="nil"/>
              <w:bottom w:val="nil"/>
              <w:right w:val="nil"/>
            </w:tcBorders>
            <w:shd w:val="clear" w:color="auto" w:fill="auto"/>
            <w:vAlign w:val="center"/>
            <w:hideMark/>
          </w:tcPr>
          <w:p w14:paraId="5EA73D12" w14:textId="07B77919"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Furniture, plant and equipment at cost</w:t>
            </w:r>
          </w:p>
        </w:tc>
        <w:tc>
          <w:tcPr>
            <w:tcW w:w="949" w:type="dxa"/>
            <w:tcBorders>
              <w:top w:val="nil"/>
              <w:left w:val="nil"/>
              <w:bottom w:val="nil"/>
              <w:right w:val="nil"/>
            </w:tcBorders>
            <w:shd w:val="clear" w:color="auto" w:fill="auto"/>
            <w:vAlign w:val="center"/>
            <w:hideMark/>
          </w:tcPr>
          <w:p w14:paraId="5EA73D13" w14:textId="24AD62D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Motor vehicles at cost</w:t>
            </w:r>
          </w:p>
        </w:tc>
        <w:tc>
          <w:tcPr>
            <w:tcW w:w="1195" w:type="dxa"/>
            <w:tcBorders>
              <w:top w:val="nil"/>
              <w:left w:val="nil"/>
              <w:bottom w:val="nil"/>
              <w:right w:val="nil"/>
            </w:tcBorders>
            <w:shd w:val="clear" w:color="auto" w:fill="auto"/>
            <w:vAlign w:val="center"/>
            <w:hideMark/>
          </w:tcPr>
          <w:p w14:paraId="5EA73D14" w14:textId="2AB592C5" w:rsidR="003B0341" w:rsidRPr="008F6E13" w:rsidRDefault="003B0341" w:rsidP="007F66DD">
            <w:pPr>
              <w:jc w:val="right"/>
              <w:rPr>
                <w:rFonts w:cs="Arial"/>
                <w:color w:val="000000"/>
                <w:sz w:val="20"/>
                <w:szCs w:val="20"/>
                <w:lang w:eastAsia="en-AU"/>
              </w:rPr>
            </w:pPr>
            <w:r w:rsidRPr="008F6E13">
              <w:rPr>
                <w:rFonts w:cs="Arial"/>
                <w:sz w:val="20"/>
                <w:szCs w:val="20"/>
                <w:lang w:eastAsia="en-AU"/>
              </w:rPr>
              <w:t>Computers at cost</w:t>
            </w:r>
          </w:p>
        </w:tc>
        <w:tc>
          <w:tcPr>
            <w:tcW w:w="995" w:type="dxa"/>
            <w:tcBorders>
              <w:top w:val="nil"/>
              <w:left w:val="nil"/>
              <w:bottom w:val="nil"/>
              <w:right w:val="nil"/>
            </w:tcBorders>
            <w:shd w:val="clear" w:color="auto" w:fill="auto"/>
            <w:vAlign w:val="center"/>
            <w:hideMark/>
          </w:tcPr>
          <w:p w14:paraId="5EA73D15" w14:textId="12CC600B" w:rsidR="003B0341" w:rsidRPr="008F6E13" w:rsidRDefault="003B0341" w:rsidP="007F66DD">
            <w:pPr>
              <w:jc w:val="right"/>
              <w:rPr>
                <w:rFonts w:cs="Arial"/>
                <w:color w:val="000000"/>
                <w:sz w:val="20"/>
                <w:szCs w:val="20"/>
                <w:lang w:eastAsia="en-AU"/>
              </w:rPr>
            </w:pPr>
            <w:r w:rsidRPr="008F6E13">
              <w:rPr>
                <w:rFonts w:cs="Arial"/>
                <w:sz w:val="20"/>
                <w:szCs w:val="20"/>
                <w:lang w:eastAsia="en-AU"/>
              </w:rPr>
              <w:t>Capital work in progress</w:t>
            </w:r>
          </w:p>
        </w:tc>
        <w:tc>
          <w:tcPr>
            <w:tcW w:w="961" w:type="dxa"/>
            <w:tcBorders>
              <w:top w:val="nil"/>
              <w:left w:val="nil"/>
              <w:bottom w:val="nil"/>
              <w:right w:val="nil"/>
            </w:tcBorders>
            <w:shd w:val="clear" w:color="000000" w:fill="BFBFBF" w:themeFill="background1" w:themeFillShade="BF"/>
            <w:vAlign w:val="center"/>
            <w:hideMark/>
          </w:tcPr>
          <w:p w14:paraId="5EA73D16" w14:textId="565B6332"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Total</w:t>
            </w:r>
          </w:p>
        </w:tc>
      </w:tr>
      <w:tr w:rsidR="003B0341" w:rsidRPr="008F6E13" w14:paraId="5EA73D20" w14:textId="77777777" w:rsidTr="0016002F">
        <w:trPr>
          <w:trHeight w:val="262"/>
        </w:trPr>
        <w:tc>
          <w:tcPr>
            <w:tcW w:w="2562" w:type="dxa"/>
            <w:tcBorders>
              <w:top w:val="nil"/>
              <w:left w:val="nil"/>
              <w:bottom w:val="nil"/>
              <w:right w:val="nil"/>
            </w:tcBorders>
            <w:shd w:val="clear" w:color="auto" w:fill="auto"/>
            <w:vAlign w:val="bottom"/>
            <w:hideMark/>
          </w:tcPr>
          <w:p w14:paraId="5EA73D18" w14:textId="77777777" w:rsidR="003B0341" w:rsidRPr="008F6E13" w:rsidRDefault="003B0341" w:rsidP="005D0705">
            <w:pPr>
              <w:rPr>
                <w:rFonts w:cs="Arial"/>
                <w:color w:val="000000"/>
                <w:sz w:val="20"/>
                <w:szCs w:val="20"/>
                <w:lang w:eastAsia="en-AU"/>
              </w:rPr>
            </w:pPr>
            <w:r w:rsidRPr="008F6E13">
              <w:rPr>
                <w:rFonts w:cs="Arial"/>
                <w:color w:val="000000"/>
                <w:sz w:val="20"/>
                <w:szCs w:val="20"/>
                <w:lang w:eastAsia="en-AU"/>
              </w:rPr>
              <w:t>As at 30 June 2014</w:t>
            </w:r>
          </w:p>
        </w:tc>
        <w:tc>
          <w:tcPr>
            <w:tcW w:w="894" w:type="dxa"/>
            <w:tcBorders>
              <w:top w:val="nil"/>
              <w:left w:val="nil"/>
              <w:bottom w:val="single" w:sz="8" w:space="0" w:color="auto"/>
              <w:right w:val="nil"/>
            </w:tcBorders>
            <w:shd w:val="clear" w:color="auto" w:fill="auto"/>
            <w:vAlign w:val="bottom"/>
            <w:hideMark/>
          </w:tcPr>
          <w:p w14:paraId="5EA73D19"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41,783</w:t>
            </w:r>
          </w:p>
        </w:tc>
        <w:tc>
          <w:tcPr>
            <w:tcW w:w="1028" w:type="dxa"/>
            <w:tcBorders>
              <w:top w:val="nil"/>
              <w:left w:val="nil"/>
              <w:bottom w:val="single" w:sz="8" w:space="0" w:color="auto"/>
              <w:right w:val="nil"/>
            </w:tcBorders>
            <w:shd w:val="clear" w:color="auto" w:fill="auto"/>
            <w:vAlign w:val="bottom"/>
            <w:hideMark/>
          </w:tcPr>
          <w:p w14:paraId="5EA73D1A"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50,162</w:t>
            </w:r>
          </w:p>
        </w:tc>
        <w:tc>
          <w:tcPr>
            <w:tcW w:w="1150" w:type="dxa"/>
            <w:tcBorders>
              <w:top w:val="nil"/>
              <w:left w:val="nil"/>
              <w:bottom w:val="single" w:sz="8" w:space="0" w:color="auto"/>
              <w:right w:val="nil"/>
            </w:tcBorders>
            <w:shd w:val="clear" w:color="auto" w:fill="auto"/>
            <w:vAlign w:val="bottom"/>
            <w:hideMark/>
          </w:tcPr>
          <w:p w14:paraId="5EA73D1B"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2,237</w:t>
            </w:r>
          </w:p>
        </w:tc>
        <w:tc>
          <w:tcPr>
            <w:tcW w:w="949" w:type="dxa"/>
            <w:tcBorders>
              <w:top w:val="nil"/>
              <w:left w:val="nil"/>
              <w:bottom w:val="single" w:sz="8" w:space="0" w:color="auto"/>
              <w:right w:val="nil"/>
            </w:tcBorders>
            <w:shd w:val="clear" w:color="auto" w:fill="auto"/>
            <w:vAlign w:val="bottom"/>
            <w:hideMark/>
          </w:tcPr>
          <w:p w14:paraId="5EA73D1C"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2,112</w:t>
            </w:r>
          </w:p>
        </w:tc>
        <w:tc>
          <w:tcPr>
            <w:tcW w:w="1195" w:type="dxa"/>
            <w:tcBorders>
              <w:top w:val="nil"/>
              <w:left w:val="nil"/>
              <w:bottom w:val="single" w:sz="8" w:space="0" w:color="auto"/>
              <w:right w:val="nil"/>
            </w:tcBorders>
            <w:shd w:val="clear" w:color="auto" w:fill="auto"/>
            <w:vAlign w:val="bottom"/>
            <w:hideMark/>
          </w:tcPr>
          <w:p w14:paraId="5EA73D1D"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295</w:t>
            </w:r>
          </w:p>
        </w:tc>
        <w:tc>
          <w:tcPr>
            <w:tcW w:w="995" w:type="dxa"/>
            <w:tcBorders>
              <w:top w:val="nil"/>
              <w:left w:val="nil"/>
              <w:bottom w:val="single" w:sz="8" w:space="0" w:color="auto"/>
              <w:right w:val="nil"/>
            </w:tcBorders>
            <w:shd w:val="clear" w:color="auto" w:fill="auto"/>
            <w:vAlign w:val="bottom"/>
            <w:hideMark/>
          </w:tcPr>
          <w:p w14:paraId="5EA73D1E"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155</w:t>
            </w:r>
          </w:p>
        </w:tc>
        <w:tc>
          <w:tcPr>
            <w:tcW w:w="961" w:type="dxa"/>
            <w:tcBorders>
              <w:top w:val="nil"/>
              <w:left w:val="nil"/>
              <w:bottom w:val="single" w:sz="8" w:space="0" w:color="auto"/>
              <w:right w:val="nil"/>
            </w:tcBorders>
            <w:shd w:val="clear" w:color="000000" w:fill="BFBFBF" w:themeFill="background1" w:themeFillShade="BF"/>
            <w:vAlign w:val="bottom"/>
            <w:hideMark/>
          </w:tcPr>
          <w:p w14:paraId="5EA73D1F"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96,744</w:t>
            </w:r>
          </w:p>
        </w:tc>
      </w:tr>
      <w:tr w:rsidR="003B0341" w:rsidRPr="008F6E13" w14:paraId="5EA73D29" w14:textId="77777777" w:rsidTr="0016002F">
        <w:trPr>
          <w:trHeight w:val="262"/>
        </w:trPr>
        <w:tc>
          <w:tcPr>
            <w:tcW w:w="2562" w:type="dxa"/>
            <w:tcBorders>
              <w:top w:val="nil"/>
              <w:left w:val="nil"/>
              <w:bottom w:val="nil"/>
              <w:right w:val="nil"/>
            </w:tcBorders>
            <w:shd w:val="clear" w:color="auto" w:fill="auto"/>
            <w:vAlign w:val="bottom"/>
            <w:hideMark/>
          </w:tcPr>
          <w:p w14:paraId="5EA73D21" w14:textId="77777777" w:rsidR="003B0341" w:rsidRPr="008F6E13" w:rsidRDefault="003B0341" w:rsidP="005D0705">
            <w:pPr>
              <w:rPr>
                <w:rFonts w:cs="Arial"/>
                <w:color w:val="000000"/>
                <w:sz w:val="20"/>
                <w:szCs w:val="20"/>
                <w:lang w:eastAsia="en-AU"/>
              </w:rPr>
            </w:pPr>
            <w:r w:rsidRPr="008F6E13">
              <w:rPr>
                <w:rFonts w:cs="Arial"/>
                <w:color w:val="000000"/>
                <w:sz w:val="20"/>
                <w:szCs w:val="20"/>
                <w:lang w:eastAsia="en-AU"/>
              </w:rPr>
              <w:t>As at 30 June 2015</w:t>
            </w:r>
          </w:p>
        </w:tc>
        <w:tc>
          <w:tcPr>
            <w:tcW w:w="894" w:type="dxa"/>
            <w:tcBorders>
              <w:top w:val="nil"/>
              <w:left w:val="nil"/>
              <w:bottom w:val="single" w:sz="8" w:space="0" w:color="auto"/>
              <w:right w:val="nil"/>
            </w:tcBorders>
            <w:shd w:val="clear" w:color="auto" w:fill="auto"/>
            <w:vAlign w:val="bottom"/>
          </w:tcPr>
          <w:p w14:paraId="5EA73D22" w14:textId="22220391" w:rsidR="003B0341" w:rsidRPr="008F6E13" w:rsidRDefault="003B0341" w:rsidP="0030720B">
            <w:pPr>
              <w:jc w:val="right"/>
              <w:rPr>
                <w:rFonts w:cs="Arial"/>
                <w:color w:val="000000"/>
                <w:sz w:val="20"/>
                <w:szCs w:val="20"/>
                <w:lang w:eastAsia="zh-CN"/>
              </w:rPr>
            </w:pPr>
            <w:r w:rsidRPr="008F6E13">
              <w:rPr>
                <w:rFonts w:cs="Arial"/>
                <w:color w:val="000000"/>
                <w:sz w:val="20"/>
                <w:szCs w:val="20"/>
                <w:lang w:eastAsia="en-AU"/>
              </w:rPr>
              <w:t>40,</w:t>
            </w:r>
            <w:r w:rsidRPr="008F6E13">
              <w:rPr>
                <w:rFonts w:cs="Arial"/>
                <w:color w:val="000000"/>
                <w:sz w:val="20"/>
                <w:szCs w:val="20"/>
                <w:lang w:eastAsia="zh-CN"/>
              </w:rPr>
              <w:t>902</w:t>
            </w:r>
          </w:p>
        </w:tc>
        <w:tc>
          <w:tcPr>
            <w:tcW w:w="1028" w:type="dxa"/>
            <w:tcBorders>
              <w:top w:val="nil"/>
              <w:left w:val="nil"/>
              <w:bottom w:val="single" w:sz="8" w:space="0" w:color="auto"/>
              <w:right w:val="nil"/>
            </w:tcBorders>
            <w:shd w:val="clear" w:color="auto" w:fill="auto"/>
            <w:vAlign w:val="bottom"/>
          </w:tcPr>
          <w:p w14:paraId="5EA73D23" w14:textId="1AD8C52D" w:rsidR="003B0341" w:rsidRPr="008F6E13" w:rsidRDefault="003B0341" w:rsidP="007B6CE7">
            <w:pPr>
              <w:jc w:val="right"/>
              <w:rPr>
                <w:rFonts w:cs="Arial"/>
                <w:color w:val="000000"/>
                <w:sz w:val="20"/>
                <w:szCs w:val="20"/>
                <w:lang w:eastAsia="zh-CN"/>
              </w:rPr>
            </w:pPr>
            <w:r w:rsidRPr="008F6E13">
              <w:rPr>
                <w:rFonts w:cs="Arial"/>
                <w:color w:val="000000"/>
                <w:sz w:val="20"/>
                <w:szCs w:val="20"/>
                <w:lang w:eastAsia="en-AU"/>
              </w:rPr>
              <w:t>48,</w:t>
            </w:r>
            <w:r w:rsidRPr="008F6E13">
              <w:rPr>
                <w:rFonts w:cs="Arial"/>
                <w:color w:val="000000"/>
                <w:sz w:val="20"/>
                <w:szCs w:val="20"/>
                <w:lang w:eastAsia="zh-CN"/>
              </w:rPr>
              <w:t>394</w:t>
            </w:r>
          </w:p>
        </w:tc>
        <w:tc>
          <w:tcPr>
            <w:tcW w:w="1150" w:type="dxa"/>
            <w:tcBorders>
              <w:top w:val="nil"/>
              <w:left w:val="nil"/>
              <w:bottom w:val="single" w:sz="8" w:space="0" w:color="auto"/>
              <w:right w:val="nil"/>
            </w:tcBorders>
            <w:shd w:val="clear" w:color="auto" w:fill="auto"/>
            <w:vAlign w:val="bottom"/>
          </w:tcPr>
          <w:p w14:paraId="5EA73D24"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1,594</w:t>
            </w:r>
          </w:p>
        </w:tc>
        <w:tc>
          <w:tcPr>
            <w:tcW w:w="949" w:type="dxa"/>
            <w:tcBorders>
              <w:top w:val="nil"/>
              <w:left w:val="nil"/>
              <w:bottom w:val="single" w:sz="8" w:space="0" w:color="auto"/>
              <w:right w:val="nil"/>
            </w:tcBorders>
            <w:shd w:val="clear" w:color="auto" w:fill="auto"/>
            <w:vAlign w:val="bottom"/>
          </w:tcPr>
          <w:p w14:paraId="5EA73D25"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731</w:t>
            </w:r>
          </w:p>
        </w:tc>
        <w:tc>
          <w:tcPr>
            <w:tcW w:w="1195" w:type="dxa"/>
            <w:tcBorders>
              <w:top w:val="nil"/>
              <w:left w:val="nil"/>
              <w:bottom w:val="single" w:sz="8" w:space="0" w:color="auto"/>
              <w:right w:val="nil"/>
            </w:tcBorders>
            <w:shd w:val="clear" w:color="auto" w:fill="auto"/>
            <w:vAlign w:val="bottom"/>
          </w:tcPr>
          <w:p w14:paraId="5EA73D26" w14:textId="63475312" w:rsidR="003B0341" w:rsidRPr="008F6E13" w:rsidRDefault="003B0341">
            <w:pPr>
              <w:jc w:val="right"/>
              <w:rPr>
                <w:rFonts w:cs="Arial"/>
                <w:color w:val="000000"/>
                <w:sz w:val="20"/>
                <w:szCs w:val="20"/>
                <w:lang w:eastAsia="en-AU"/>
              </w:rPr>
            </w:pPr>
            <w:r w:rsidRPr="008F6E13">
              <w:rPr>
                <w:rFonts w:cs="Arial"/>
                <w:color w:val="000000"/>
                <w:sz w:val="20"/>
                <w:szCs w:val="20"/>
                <w:lang w:eastAsia="en-AU"/>
              </w:rPr>
              <w:t>508</w:t>
            </w:r>
          </w:p>
        </w:tc>
        <w:tc>
          <w:tcPr>
            <w:tcW w:w="995" w:type="dxa"/>
            <w:tcBorders>
              <w:top w:val="nil"/>
              <w:left w:val="nil"/>
              <w:bottom w:val="single" w:sz="8" w:space="0" w:color="auto"/>
              <w:right w:val="nil"/>
            </w:tcBorders>
            <w:shd w:val="clear" w:color="auto" w:fill="auto"/>
            <w:vAlign w:val="bottom"/>
          </w:tcPr>
          <w:p w14:paraId="5EA73D27" w14:textId="77777777" w:rsidR="003B0341" w:rsidRPr="008F6E13" w:rsidRDefault="003B0341" w:rsidP="007F66DD">
            <w:pPr>
              <w:jc w:val="right"/>
              <w:rPr>
                <w:rFonts w:cs="Arial"/>
                <w:color w:val="000000"/>
                <w:sz w:val="20"/>
                <w:szCs w:val="20"/>
                <w:lang w:eastAsia="en-AU"/>
              </w:rPr>
            </w:pPr>
            <w:r w:rsidRPr="008F6E13">
              <w:rPr>
                <w:rFonts w:cs="Arial"/>
                <w:color w:val="000000"/>
                <w:sz w:val="20"/>
                <w:szCs w:val="20"/>
                <w:lang w:eastAsia="en-AU"/>
              </w:rPr>
              <w:t>750</w:t>
            </w:r>
          </w:p>
        </w:tc>
        <w:tc>
          <w:tcPr>
            <w:tcW w:w="961" w:type="dxa"/>
            <w:tcBorders>
              <w:top w:val="nil"/>
              <w:left w:val="nil"/>
              <w:bottom w:val="single" w:sz="8" w:space="0" w:color="auto"/>
              <w:right w:val="nil"/>
            </w:tcBorders>
            <w:shd w:val="clear" w:color="000000" w:fill="BFBFBF" w:themeFill="background1" w:themeFillShade="BF"/>
            <w:vAlign w:val="bottom"/>
          </w:tcPr>
          <w:p w14:paraId="5EA73D28" w14:textId="34859EBD" w:rsidR="003B0341" w:rsidRPr="008F6E13" w:rsidRDefault="003B0341" w:rsidP="0030720B">
            <w:pPr>
              <w:jc w:val="right"/>
              <w:rPr>
                <w:rFonts w:cs="Arial"/>
                <w:color w:val="000000"/>
                <w:sz w:val="20"/>
                <w:szCs w:val="20"/>
                <w:lang w:eastAsia="zh-CN"/>
              </w:rPr>
            </w:pPr>
            <w:r w:rsidRPr="008F6E13">
              <w:rPr>
                <w:rFonts w:cs="Arial"/>
                <w:color w:val="000000"/>
                <w:sz w:val="20"/>
                <w:szCs w:val="20"/>
                <w:lang w:eastAsia="en-AU"/>
              </w:rPr>
              <w:t>92,</w:t>
            </w:r>
            <w:r w:rsidRPr="008F6E13">
              <w:rPr>
                <w:rFonts w:cs="Arial"/>
                <w:color w:val="000000"/>
                <w:sz w:val="20"/>
                <w:szCs w:val="20"/>
                <w:lang w:eastAsia="zh-CN"/>
              </w:rPr>
              <w:t>879</w:t>
            </w:r>
          </w:p>
        </w:tc>
      </w:tr>
    </w:tbl>
    <w:p w14:paraId="5EA73D35" w14:textId="77777777" w:rsidR="00BF4042" w:rsidRDefault="00BF4042" w:rsidP="002F58D1">
      <w:pPr>
        <w:rPr>
          <w:rFonts w:ascii="Times New Roman" w:hAnsi="Times New Roman"/>
          <w:sz w:val="20"/>
          <w:szCs w:val="20"/>
          <w:lang w:eastAsia="en-AU"/>
        </w:rPr>
      </w:pPr>
    </w:p>
    <w:p w14:paraId="2E947B8D" w14:textId="11549A1B" w:rsidR="003B0341" w:rsidRDefault="003B0341" w:rsidP="002F58D1">
      <w:pPr>
        <w:rPr>
          <w:rFonts w:ascii="Times New Roman" w:hAnsi="Times New Roman"/>
          <w:sz w:val="20"/>
          <w:szCs w:val="20"/>
          <w:lang w:eastAsia="en-AU"/>
        </w:rPr>
      </w:pPr>
      <w:r w:rsidRPr="008F6E13">
        <w:rPr>
          <w:rFonts w:cs="Arial"/>
          <w:color w:val="000000"/>
          <w:sz w:val="20"/>
          <w:szCs w:val="20"/>
          <w:lang w:eastAsia="en-AU"/>
        </w:rPr>
        <w:t>(</w:t>
      </w:r>
      <w:proofErr w:type="spellStart"/>
      <w:r w:rsidRPr="008F6E13">
        <w:rPr>
          <w:rFonts w:cs="Arial"/>
          <w:color w:val="000000"/>
          <w:sz w:val="20"/>
          <w:szCs w:val="20"/>
          <w:lang w:eastAsia="en-AU"/>
        </w:rPr>
        <w:t>i</w:t>
      </w:r>
      <w:proofErr w:type="spellEnd"/>
      <w:r w:rsidRPr="008F6E13">
        <w:rPr>
          <w:rFonts w:cs="Arial"/>
          <w:color w:val="000000"/>
          <w:sz w:val="20"/>
          <w:szCs w:val="20"/>
          <w:lang w:eastAsia="en-AU"/>
        </w:rPr>
        <w:t>) Impairment charge / release of impairment in the period where the depreciated replacement cost was less than its carrying value.</w:t>
      </w:r>
    </w:p>
    <w:p w14:paraId="3EA90CA4" w14:textId="77777777" w:rsidR="00FA7C6C" w:rsidRDefault="00FA7C6C">
      <w:pPr>
        <w:rPr>
          <w:rFonts w:cs="Arial"/>
          <w:sz w:val="22"/>
          <w:szCs w:val="22"/>
        </w:rPr>
      </w:pPr>
      <w:r>
        <w:rPr>
          <w:rFonts w:cs="Arial"/>
          <w:sz w:val="22"/>
          <w:szCs w:val="22"/>
        </w:rPr>
        <w:br w:type="page"/>
      </w:r>
    </w:p>
    <w:p w14:paraId="5EA73D36" w14:textId="7656BDBA" w:rsidR="001A1931" w:rsidRPr="00FA7C6C" w:rsidRDefault="00FA7C6C" w:rsidP="00BF287B">
      <w:pPr>
        <w:pStyle w:val="Heading1"/>
        <w:rPr>
          <w:rFonts w:ascii="Times New Roman" w:hAnsi="Times New Roman"/>
          <w:lang w:eastAsia="en-AU"/>
        </w:rPr>
      </w:pPr>
      <w:bookmarkStart w:id="312" w:name="_Toc430613766"/>
      <w:r w:rsidRPr="00FA7C6C">
        <w:lastRenderedPageBreak/>
        <w:t>Note 13: Investment property</w:t>
      </w:r>
      <w:bookmarkEnd w:id="312"/>
    </w:p>
    <w:tbl>
      <w:tblPr>
        <w:tblW w:w="7236" w:type="dxa"/>
        <w:tblInd w:w="108" w:type="dxa"/>
        <w:tblLook w:val="04A0" w:firstRow="1" w:lastRow="0" w:firstColumn="1" w:lastColumn="0" w:noHBand="0" w:noVBand="1"/>
      </w:tblPr>
      <w:tblGrid>
        <w:gridCol w:w="4261"/>
        <w:gridCol w:w="1488"/>
        <w:gridCol w:w="1487"/>
      </w:tblGrid>
      <w:tr w:rsidR="007E2B09" w:rsidRPr="006D520D" w14:paraId="5EA73D54" w14:textId="77777777" w:rsidTr="007E2B09">
        <w:trPr>
          <w:trHeight w:val="260"/>
          <w:tblHeader/>
        </w:trPr>
        <w:tc>
          <w:tcPr>
            <w:tcW w:w="4261" w:type="dxa"/>
            <w:shd w:val="clear" w:color="auto" w:fill="auto"/>
            <w:vAlign w:val="bottom"/>
            <w:hideMark/>
          </w:tcPr>
          <w:p w14:paraId="5EA73D4F" w14:textId="77777777" w:rsidR="007E2B09" w:rsidRPr="006D520D" w:rsidRDefault="007E2B09" w:rsidP="006D520D">
            <w:pPr>
              <w:rPr>
                <w:rFonts w:cs="Arial"/>
                <w:b/>
                <w:bCs/>
                <w:color w:val="000000"/>
                <w:sz w:val="22"/>
                <w:szCs w:val="22"/>
                <w:lang w:eastAsia="en-AU"/>
              </w:rPr>
            </w:pPr>
            <w:bookmarkStart w:id="313" w:name="Table_41"/>
            <w:bookmarkEnd w:id="313"/>
            <w:r w:rsidRPr="006D520D">
              <w:rPr>
                <w:rFonts w:cs="Arial"/>
                <w:b/>
                <w:bCs/>
                <w:color w:val="000000"/>
                <w:sz w:val="22"/>
                <w:szCs w:val="22"/>
                <w:lang w:eastAsia="en-AU"/>
              </w:rPr>
              <w:t xml:space="preserve">Gross carrying amount </w:t>
            </w:r>
          </w:p>
        </w:tc>
        <w:tc>
          <w:tcPr>
            <w:tcW w:w="1488" w:type="dxa"/>
            <w:shd w:val="clear" w:color="000000" w:fill="BFBFBF" w:themeFill="background1" w:themeFillShade="BF"/>
            <w:vAlign w:val="center"/>
            <w:hideMark/>
          </w:tcPr>
          <w:p w14:paraId="5EA73D52" w14:textId="2456E985" w:rsidR="007E2B09" w:rsidRPr="006D520D" w:rsidRDefault="007E2B09" w:rsidP="006D520D">
            <w:pPr>
              <w:jc w:val="right"/>
              <w:rPr>
                <w:rFonts w:cs="Arial"/>
                <w:color w:val="000000"/>
                <w:sz w:val="22"/>
                <w:szCs w:val="22"/>
                <w:lang w:eastAsia="en-AU"/>
              </w:rPr>
            </w:pPr>
            <w:r>
              <w:rPr>
                <w:rFonts w:cs="Arial"/>
                <w:color w:val="000000"/>
                <w:sz w:val="22"/>
                <w:szCs w:val="22"/>
                <w:lang w:eastAsia="en-AU"/>
              </w:rPr>
              <w:t>2015</w:t>
            </w:r>
          </w:p>
        </w:tc>
        <w:tc>
          <w:tcPr>
            <w:tcW w:w="1487" w:type="dxa"/>
            <w:shd w:val="clear" w:color="auto" w:fill="auto"/>
            <w:vAlign w:val="center"/>
            <w:hideMark/>
          </w:tcPr>
          <w:p w14:paraId="5EA73D53" w14:textId="35496896" w:rsidR="007E2B09" w:rsidRPr="006D520D" w:rsidRDefault="007E2B09" w:rsidP="006D520D">
            <w:pPr>
              <w:jc w:val="right"/>
              <w:rPr>
                <w:rFonts w:cs="Arial"/>
                <w:color w:val="000000"/>
                <w:sz w:val="22"/>
                <w:szCs w:val="22"/>
                <w:lang w:eastAsia="en-AU"/>
              </w:rPr>
            </w:pPr>
            <w:r>
              <w:rPr>
                <w:rFonts w:cs="Arial"/>
                <w:color w:val="000000"/>
                <w:sz w:val="22"/>
                <w:szCs w:val="22"/>
                <w:lang w:eastAsia="en-AU"/>
              </w:rPr>
              <w:t>2014</w:t>
            </w:r>
          </w:p>
        </w:tc>
      </w:tr>
      <w:tr w:rsidR="007E2B09" w:rsidRPr="006D520D" w14:paraId="5EA73D5A" w14:textId="77777777" w:rsidTr="007E2B09">
        <w:trPr>
          <w:trHeight w:val="260"/>
        </w:trPr>
        <w:tc>
          <w:tcPr>
            <w:tcW w:w="4261" w:type="dxa"/>
            <w:shd w:val="clear" w:color="auto" w:fill="auto"/>
            <w:vAlign w:val="bottom"/>
            <w:hideMark/>
          </w:tcPr>
          <w:p w14:paraId="5EA73D55"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Balance at beginning of financial year</w:t>
            </w:r>
          </w:p>
        </w:tc>
        <w:tc>
          <w:tcPr>
            <w:tcW w:w="1488" w:type="dxa"/>
            <w:shd w:val="clear" w:color="000000" w:fill="BFBFBF" w:themeFill="background1" w:themeFillShade="BF"/>
            <w:vAlign w:val="bottom"/>
          </w:tcPr>
          <w:p w14:paraId="5EA73D58"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183</w:t>
            </w:r>
          </w:p>
        </w:tc>
        <w:tc>
          <w:tcPr>
            <w:tcW w:w="1487" w:type="dxa"/>
            <w:shd w:val="clear" w:color="auto" w:fill="auto"/>
            <w:vAlign w:val="bottom"/>
            <w:hideMark/>
          </w:tcPr>
          <w:p w14:paraId="5EA73D59"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783</w:t>
            </w:r>
          </w:p>
        </w:tc>
      </w:tr>
      <w:tr w:rsidR="007E2B09" w:rsidRPr="006D520D" w14:paraId="5EA73D60" w14:textId="77777777" w:rsidTr="007E2B09">
        <w:trPr>
          <w:trHeight w:val="260"/>
        </w:trPr>
        <w:tc>
          <w:tcPr>
            <w:tcW w:w="4261" w:type="dxa"/>
            <w:shd w:val="clear" w:color="auto" w:fill="auto"/>
            <w:vAlign w:val="bottom"/>
            <w:hideMark/>
          </w:tcPr>
          <w:p w14:paraId="5EA73D5B"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Transfer to non-current assets held for sale</w:t>
            </w:r>
          </w:p>
        </w:tc>
        <w:tc>
          <w:tcPr>
            <w:tcW w:w="1488" w:type="dxa"/>
            <w:shd w:val="clear" w:color="000000" w:fill="BFBFBF" w:themeFill="background1" w:themeFillShade="BF"/>
            <w:vAlign w:val="bottom"/>
          </w:tcPr>
          <w:p w14:paraId="5EA73D5E" w14:textId="24D57E2C" w:rsidR="007E2B09" w:rsidRPr="006D520D" w:rsidRDefault="007E2B09" w:rsidP="006D520D">
            <w:pPr>
              <w:jc w:val="right"/>
              <w:rPr>
                <w:rFonts w:cs="Arial"/>
                <w:color w:val="000000"/>
                <w:sz w:val="22"/>
                <w:szCs w:val="22"/>
                <w:lang w:eastAsia="en-AU"/>
              </w:rPr>
            </w:pPr>
            <w:r>
              <w:rPr>
                <w:rFonts w:cs="Arial"/>
                <w:color w:val="000000"/>
                <w:sz w:val="22"/>
                <w:szCs w:val="22"/>
                <w:lang w:eastAsia="en-AU"/>
              </w:rPr>
              <w:t>0</w:t>
            </w:r>
          </w:p>
        </w:tc>
        <w:tc>
          <w:tcPr>
            <w:tcW w:w="1487" w:type="dxa"/>
            <w:shd w:val="clear" w:color="auto" w:fill="auto"/>
            <w:vAlign w:val="bottom"/>
            <w:hideMark/>
          </w:tcPr>
          <w:p w14:paraId="5EA73D5F"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(600)</w:t>
            </w:r>
          </w:p>
        </w:tc>
      </w:tr>
      <w:tr w:rsidR="007E2B09" w:rsidRPr="006D520D" w14:paraId="5EA73D66" w14:textId="77777777" w:rsidTr="007E2B09">
        <w:trPr>
          <w:trHeight w:val="260"/>
        </w:trPr>
        <w:tc>
          <w:tcPr>
            <w:tcW w:w="4261" w:type="dxa"/>
            <w:shd w:val="clear" w:color="auto" w:fill="auto"/>
            <w:vAlign w:val="bottom"/>
            <w:hideMark/>
          </w:tcPr>
          <w:p w14:paraId="5EA73D61"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Balance at end of financial year</w:t>
            </w:r>
          </w:p>
        </w:tc>
        <w:tc>
          <w:tcPr>
            <w:tcW w:w="1488" w:type="dxa"/>
            <w:shd w:val="clear" w:color="000000" w:fill="BFBFBF" w:themeFill="background1" w:themeFillShade="BF"/>
            <w:vAlign w:val="bottom"/>
          </w:tcPr>
          <w:p w14:paraId="5EA73D64"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183</w:t>
            </w:r>
          </w:p>
        </w:tc>
        <w:tc>
          <w:tcPr>
            <w:tcW w:w="1487" w:type="dxa"/>
            <w:shd w:val="clear" w:color="auto" w:fill="auto"/>
            <w:vAlign w:val="bottom"/>
            <w:hideMark/>
          </w:tcPr>
          <w:p w14:paraId="5EA73D65"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183</w:t>
            </w:r>
          </w:p>
        </w:tc>
      </w:tr>
    </w:tbl>
    <w:p w14:paraId="3E76D43C" w14:textId="77777777" w:rsidR="007E2B09" w:rsidRDefault="007E2B09"/>
    <w:tbl>
      <w:tblPr>
        <w:tblW w:w="7236" w:type="dxa"/>
        <w:tblInd w:w="108" w:type="dxa"/>
        <w:tblLook w:val="04A0" w:firstRow="1" w:lastRow="0" w:firstColumn="1" w:lastColumn="0" w:noHBand="0" w:noVBand="1"/>
      </w:tblPr>
      <w:tblGrid>
        <w:gridCol w:w="4261"/>
        <w:gridCol w:w="1488"/>
        <w:gridCol w:w="1487"/>
      </w:tblGrid>
      <w:tr w:rsidR="007E2B09" w:rsidRPr="006D520D" w14:paraId="5EA73D6C" w14:textId="77777777" w:rsidTr="007E2B09">
        <w:trPr>
          <w:trHeight w:val="481"/>
          <w:tblHeader/>
        </w:trPr>
        <w:tc>
          <w:tcPr>
            <w:tcW w:w="4261" w:type="dxa"/>
            <w:shd w:val="clear" w:color="auto" w:fill="auto"/>
            <w:vAlign w:val="bottom"/>
            <w:hideMark/>
          </w:tcPr>
          <w:p w14:paraId="5EA73D67" w14:textId="77777777" w:rsidR="007E2B09" w:rsidRPr="006D520D" w:rsidRDefault="007E2B09" w:rsidP="006D520D">
            <w:pPr>
              <w:rPr>
                <w:rFonts w:cs="Arial"/>
                <w:b/>
                <w:bCs/>
                <w:color w:val="000000"/>
                <w:sz w:val="22"/>
                <w:szCs w:val="22"/>
                <w:lang w:eastAsia="en-AU"/>
              </w:rPr>
            </w:pPr>
            <w:bookmarkStart w:id="314" w:name="Table_42"/>
            <w:bookmarkEnd w:id="314"/>
            <w:r w:rsidRPr="006D520D">
              <w:rPr>
                <w:rFonts w:cs="Arial"/>
                <w:b/>
                <w:bCs/>
                <w:color w:val="000000"/>
                <w:sz w:val="22"/>
                <w:szCs w:val="22"/>
                <w:lang w:eastAsia="en-AU"/>
              </w:rPr>
              <w:t>Accumulated depreciation and impairment</w:t>
            </w:r>
          </w:p>
        </w:tc>
        <w:tc>
          <w:tcPr>
            <w:tcW w:w="1488" w:type="dxa"/>
            <w:shd w:val="clear" w:color="000000" w:fill="BFBFBF" w:themeFill="background1" w:themeFillShade="BF"/>
            <w:vAlign w:val="center"/>
          </w:tcPr>
          <w:p w14:paraId="5EA73D6A" w14:textId="3C670A55" w:rsidR="007E2B09" w:rsidRPr="006D520D" w:rsidRDefault="007E2B09" w:rsidP="006D520D">
            <w:pPr>
              <w:jc w:val="right"/>
              <w:rPr>
                <w:rFonts w:cs="Arial"/>
                <w:color w:val="000000"/>
                <w:sz w:val="22"/>
                <w:szCs w:val="22"/>
                <w:lang w:eastAsia="en-AU"/>
              </w:rPr>
            </w:pPr>
            <w:r>
              <w:rPr>
                <w:rFonts w:cs="Arial"/>
                <w:color w:val="000000"/>
                <w:sz w:val="22"/>
                <w:szCs w:val="22"/>
                <w:lang w:eastAsia="en-AU"/>
              </w:rPr>
              <w:t>2015</w:t>
            </w:r>
          </w:p>
        </w:tc>
        <w:tc>
          <w:tcPr>
            <w:tcW w:w="1487" w:type="dxa"/>
            <w:shd w:val="clear" w:color="auto" w:fill="auto"/>
            <w:vAlign w:val="center"/>
            <w:hideMark/>
          </w:tcPr>
          <w:p w14:paraId="5EA73D6B" w14:textId="33DB89B5" w:rsidR="007E2B09" w:rsidRPr="006D520D" w:rsidRDefault="007E2B09" w:rsidP="006D520D">
            <w:pPr>
              <w:jc w:val="right"/>
              <w:rPr>
                <w:rFonts w:cs="Arial"/>
                <w:color w:val="000000"/>
                <w:sz w:val="22"/>
                <w:szCs w:val="22"/>
                <w:lang w:eastAsia="en-AU"/>
              </w:rPr>
            </w:pPr>
            <w:r>
              <w:rPr>
                <w:rFonts w:cs="Arial"/>
                <w:color w:val="000000"/>
                <w:sz w:val="22"/>
                <w:szCs w:val="22"/>
                <w:lang w:eastAsia="en-AU"/>
              </w:rPr>
              <w:t>2014</w:t>
            </w:r>
          </w:p>
        </w:tc>
      </w:tr>
      <w:tr w:rsidR="007E2B09" w:rsidRPr="006D520D" w14:paraId="5EA73D72" w14:textId="77777777" w:rsidTr="007E2B09">
        <w:trPr>
          <w:trHeight w:val="260"/>
        </w:trPr>
        <w:tc>
          <w:tcPr>
            <w:tcW w:w="4261" w:type="dxa"/>
            <w:shd w:val="clear" w:color="auto" w:fill="auto"/>
            <w:vAlign w:val="bottom"/>
            <w:hideMark/>
          </w:tcPr>
          <w:p w14:paraId="5EA73D6D"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Balance at beginning of financial year</w:t>
            </w:r>
          </w:p>
        </w:tc>
        <w:tc>
          <w:tcPr>
            <w:tcW w:w="1488" w:type="dxa"/>
            <w:shd w:val="clear" w:color="000000" w:fill="BFBFBF" w:themeFill="background1" w:themeFillShade="BF"/>
            <w:vAlign w:val="bottom"/>
          </w:tcPr>
          <w:p w14:paraId="5EA73D70"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(32)</w:t>
            </w:r>
          </w:p>
        </w:tc>
        <w:tc>
          <w:tcPr>
            <w:tcW w:w="1487" w:type="dxa"/>
            <w:shd w:val="clear" w:color="auto" w:fill="auto"/>
            <w:vAlign w:val="bottom"/>
            <w:hideMark/>
          </w:tcPr>
          <w:p w14:paraId="5EA73D71"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(131)</w:t>
            </w:r>
          </w:p>
        </w:tc>
      </w:tr>
      <w:tr w:rsidR="007E2B09" w:rsidRPr="006D520D" w14:paraId="5EA73D78" w14:textId="77777777" w:rsidTr="007E2B09">
        <w:trPr>
          <w:trHeight w:val="260"/>
        </w:trPr>
        <w:tc>
          <w:tcPr>
            <w:tcW w:w="4261" w:type="dxa"/>
            <w:shd w:val="clear" w:color="auto" w:fill="auto"/>
            <w:vAlign w:val="bottom"/>
            <w:hideMark/>
          </w:tcPr>
          <w:p w14:paraId="5EA73D73"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Depreciation expense</w:t>
            </w:r>
          </w:p>
        </w:tc>
        <w:tc>
          <w:tcPr>
            <w:tcW w:w="1488" w:type="dxa"/>
            <w:shd w:val="clear" w:color="000000" w:fill="BFBFBF" w:themeFill="background1" w:themeFillShade="BF"/>
            <w:vAlign w:val="bottom"/>
          </w:tcPr>
          <w:p w14:paraId="5EA73D76"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(3)</w:t>
            </w:r>
          </w:p>
        </w:tc>
        <w:tc>
          <w:tcPr>
            <w:tcW w:w="1487" w:type="dxa"/>
            <w:shd w:val="clear" w:color="auto" w:fill="auto"/>
            <w:vAlign w:val="bottom"/>
            <w:hideMark/>
          </w:tcPr>
          <w:p w14:paraId="5EA73D77"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(5)</w:t>
            </w:r>
          </w:p>
        </w:tc>
      </w:tr>
      <w:tr w:rsidR="007E2B09" w:rsidRPr="006D520D" w14:paraId="5EA73D7E" w14:textId="77777777" w:rsidTr="007E2B09">
        <w:trPr>
          <w:trHeight w:val="324"/>
        </w:trPr>
        <w:tc>
          <w:tcPr>
            <w:tcW w:w="4261" w:type="dxa"/>
            <w:shd w:val="clear" w:color="auto" w:fill="auto"/>
            <w:vAlign w:val="bottom"/>
            <w:hideMark/>
          </w:tcPr>
          <w:p w14:paraId="5EA73D79"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Transfer to non-current assets held for sale</w:t>
            </w:r>
          </w:p>
        </w:tc>
        <w:tc>
          <w:tcPr>
            <w:tcW w:w="1488" w:type="dxa"/>
            <w:shd w:val="clear" w:color="000000" w:fill="BFBFBF" w:themeFill="background1" w:themeFillShade="BF"/>
            <w:vAlign w:val="bottom"/>
          </w:tcPr>
          <w:p w14:paraId="5EA73D7C" w14:textId="59E2EDCC" w:rsidR="007E2B09" w:rsidRPr="006D520D" w:rsidRDefault="007E2B09" w:rsidP="006D520D">
            <w:pPr>
              <w:jc w:val="right"/>
              <w:rPr>
                <w:rFonts w:cs="Arial"/>
                <w:color w:val="000000"/>
                <w:sz w:val="22"/>
                <w:szCs w:val="22"/>
                <w:lang w:eastAsia="en-AU"/>
              </w:rPr>
            </w:pPr>
            <w:r>
              <w:rPr>
                <w:rFonts w:cs="Arial"/>
                <w:color w:val="000000"/>
                <w:sz w:val="22"/>
                <w:szCs w:val="22"/>
                <w:lang w:eastAsia="en-AU"/>
              </w:rPr>
              <w:t>0</w:t>
            </w:r>
          </w:p>
        </w:tc>
        <w:tc>
          <w:tcPr>
            <w:tcW w:w="1487" w:type="dxa"/>
            <w:shd w:val="clear" w:color="auto" w:fill="auto"/>
            <w:vAlign w:val="bottom"/>
            <w:hideMark/>
          </w:tcPr>
          <w:p w14:paraId="5EA73D7D"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 xml:space="preserve">                  104 </w:t>
            </w:r>
          </w:p>
        </w:tc>
      </w:tr>
      <w:tr w:rsidR="007E2B09" w:rsidRPr="006D520D" w14:paraId="5EA73D84" w14:textId="77777777" w:rsidTr="007E2B09">
        <w:trPr>
          <w:trHeight w:val="364"/>
        </w:trPr>
        <w:tc>
          <w:tcPr>
            <w:tcW w:w="4261" w:type="dxa"/>
            <w:shd w:val="clear" w:color="auto" w:fill="auto"/>
            <w:vAlign w:val="bottom"/>
            <w:hideMark/>
          </w:tcPr>
          <w:p w14:paraId="5EA73D7F"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Balance at end of financial year</w:t>
            </w:r>
          </w:p>
        </w:tc>
        <w:tc>
          <w:tcPr>
            <w:tcW w:w="1488" w:type="dxa"/>
            <w:shd w:val="clear" w:color="000000" w:fill="BFBFBF" w:themeFill="background1" w:themeFillShade="BF"/>
            <w:vAlign w:val="bottom"/>
          </w:tcPr>
          <w:p w14:paraId="5EA73D82"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(35)</w:t>
            </w:r>
          </w:p>
        </w:tc>
        <w:tc>
          <w:tcPr>
            <w:tcW w:w="1487" w:type="dxa"/>
            <w:shd w:val="clear" w:color="auto" w:fill="auto"/>
            <w:vAlign w:val="bottom"/>
            <w:hideMark/>
          </w:tcPr>
          <w:p w14:paraId="5EA73D83"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(32)</w:t>
            </w:r>
          </w:p>
        </w:tc>
      </w:tr>
      <w:tr w:rsidR="007E2B09" w:rsidRPr="006D520D" w14:paraId="5EA73D8A" w14:textId="77777777" w:rsidTr="007E2B09">
        <w:trPr>
          <w:trHeight w:val="390"/>
        </w:trPr>
        <w:tc>
          <w:tcPr>
            <w:tcW w:w="4261" w:type="dxa"/>
            <w:shd w:val="clear" w:color="auto" w:fill="auto"/>
            <w:vAlign w:val="bottom"/>
            <w:hideMark/>
          </w:tcPr>
          <w:p w14:paraId="5EA73D85" w14:textId="77777777" w:rsidR="007E2B09" w:rsidRPr="006D520D" w:rsidRDefault="007E2B09" w:rsidP="006D520D">
            <w:pPr>
              <w:rPr>
                <w:rFonts w:cs="Arial"/>
                <w:b/>
                <w:bCs/>
                <w:color w:val="000000"/>
                <w:sz w:val="22"/>
                <w:szCs w:val="22"/>
                <w:lang w:eastAsia="en-AU"/>
              </w:rPr>
            </w:pPr>
            <w:r w:rsidRPr="006D520D">
              <w:rPr>
                <w:rFonts w:cs="Arial"/>
                <w:b/>
                <w:bCs/>
                <w:color w:val="000000"/>
                <w:sz w:val="22"/>
                <w:szCs w:val="22"/>
                <w:lang w:eastAsia="en-AU"/>
              </w:rPr>
              <w:t>Net book value</w:t>
            </w:r>
          </w:p>
        </w:tc>
        <w:tc>
          <w:tcPr>
            <w:tcW w:w="1488" w:type="dxa"/>
            <w:shd w:val="clear" w:color="000000" w:fill="BFBFBF" w:themeFill="background1" w:themeFillShade="BF"/>
            <w:vAlign w:val="bottom"/>
          </w:tcPr>
          <w:p w14:paraId="5EA73D88"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148</w:t>
            </w:r>
          </w:p>
        </w:tc>
        <w:tc>
          <w:tcPr>
            <w:tcW w:w="1487" w:type="dxa"/>
            <w:shd w:val="clear" w:color="auto" w:fill="auto"/>
            <w:vAlign w:val="bottom"/>
            <w:hideMark/>
          </w:tcPr>
          <w:p w14:paraId="5EA73D89"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151</w:t>
            </w:r>
          </w:p>
        </w:tc>
      </w:tr>
    </w:tbl>
    <w:p w14:paraId="0CCE3671" w14:textId="5E0B43D2" w:rsidR="0010110B" w:rsidRDefault="0010110B"/>
    <w:p w14:paraId="7135C706" w14:textId="0B31BF3D" w:rsidR="0010110B" w:rsidRPr="0010110B" w:rsidRDefault="0010110B" w:rsidP="00BF287B">
      <w:pPr>
        <w:pStyle w:val="Heading1"/>
      </w:pPr>
      <w:bookmarkStart w:id="315" w:name="_Toc430613767"/>
      <w:r w:rsidRPr="0010110B">
        <w:t>Note 14: Intangible assets</w:t>
      </w:r>
      <w:bookmarkEnd w:id="315"/>
    </w:p>
    <w:p w14:paraId="3721150F" w14:textId="3FA58276" w:rsidR="0010110B" w:rsidRDefault="007E2B09">
      <w:r w:rsidRPr="006D520D">
        <w:rPr>
          <w:rFonts w:cs="Arial"/>
          <w:b/>
          <w:bCs/>
          <w:color w:val="000000"/>
          <w:sz w:val="22"/>
          <w:szCs w:val="22"/>
          <w:lang w:eastAsia="en-AU"/>
        </w:rPr>
        <w:t>Consolidated</w:t>
      </w:r>
    </w:p>
    <w:tbl>
      <w:tblPr>
        <w:tblW w:w="8742" w:type="dxa"/>
        <w:tblInd w:w="108" w:type="dxa"/>
        <w:tblLook w:val="04A0" w:firstRow="1" w:lastRow="0" w:firstColumn="1" w:lastColumn="0" w:noHBand="0" w:noVBand="1"/>
      </w:tblPr>
      <w:tblGrid>
        <w:gridCol w:w="4261"/>
        <w:gridCol w:w="1506"/>
        <w:gridCol w:w="1488"/>
        <w:gridCol w:w="1487"/>
      </w:tblGrid>
      <w:tr w:rsidR="007E2B09" w:rsidRPr="006D520D" w14:paraId="041202C9" w14:textId="77777777" w:rsidTr="007E2B09">
        <w:trPr>
          <w:trHeight w:val="260"/>
          <w:tblHeader/>
        </w:trPr>
        <w:tc>
          <w:tcPr>
            <w:tcW w:w="4261" w:type="dxa"/>
            <w:shd w:val="clear" w:color="auto" w:fill="auto"/>
            <w:vAlign w:val="bottom"/>
          </w:tcPr>
          <w:p w14:paraId="44B911A0" w14:textId="5BEC3E5F" w:rsidR="007E2B09" w:rsidRPr="006D520D" w:rsidRDefault="007E2B09" w:rsidP="006D520D">
            <w:pPr>
              <w:rPr>
                <w:rFonts w:cs="Arial"/>
                <w:b/>
                <w:bCs/>
                <w:color w:val="000000"/>
                <w:sz w:val="22"/>
                <w:szCs w:val="22"/>
                <w:lang w:eastAsia="en-AU"/>
              </w:rPr>
            </w:pPr>
            <w:bookmarkStart w:id="316" w:name="Table_43"/>
            <w:bookmarkEnd w:id="316"/>
            <w:r w:rsidRPr="006D520D">
              <w:rPr>
                <w:rFonts w:cs="Arial"/>
                <w:b/>
                <w:bCs/>
                <w:color w:val="000000"/>
                <w:sz w:val="22"/>
                <w:szCs w:val="22"/>
                <w:lang w:eastAsia="en-AU"/>
              </w:rPr>
              <w:t>Gross carrying amount</w:t>
            </w:r>
          </w:p>
        </w:tc>
        <w:tc>
          <w:tcPr>
            <w:tcW w:w="1506" w:type="dxa"/>
            <w:shd w:val="clear" w:color="auto" w:fill="auto"/>
            <w:vAlign w:val="center"/>
          </w:tcPr>
          <w:p w14:paraId="32728FEA" w14:textId="253DFCF2" w:rsidR="007E2B09" w:rsidRPr="006D520D" w:rsidRDefault="007E2B09" w:rsidP="006D520D">
            <w:pPr>
              <w:jc w:val="right"/>
              <w:rPr>
                <w:rFonts w:cs="Arial"/>
                <w:color w:val="000000"/>
                <w:sz w:val="22"/>
                <w:szCs w:val="22"/>
                <w:lang w:eastAsia="en-AU"/>
              </w:rPr>
            </w:pPr>
            <w:r>
              <w:rPr>
                <w:rFonts w:cs="Arial"/>
                <w:color w:val="000000"/>
                <w:sz w:val="22"/>
                <w:szCs w:val="22"/>
                <w:lang w:eastAsia="en-AU"/>
              </w:rPr>
              <w:t>Audio Masters</w:t>
            </w:r>
          </w:p>
        </w:tc>
        <w:tc>
          <w:tcPr>
            <w:tcW w:w="1488" w:type="dxa"/>
            <w:shd w:val="clear" w:color="auto" w:fill="auto"/>
            <w:vAlign w:val="center"/>
          </w:tcPr>
          <w:p w14:paraId="7007DE38" w14:textId="561D9393" w:rsidR="007E2B09" w:rsidRPr="006D520D" w:rsidRDefault="007E2B09" w:rsidP="006D520D">
            <w:pPr>
              <w:jc w:val="right"/>
              <w:rPr>
                <w:rFonts w:cs="Arial"/>
                <w:color w:val="000000"/>
                <w:sz w:val="22"/>
                <w:szCs w:val="22"/>
                <w:lang w:eastAsia="en-AU"/>
              </w:rPr>
            </w:pPr>
            <w:r>
              <w:rPr>
                <w:rFonts w:cs="Arial"/>
                <w:color w:val="000000"/>
                <w:sz w:val="22"/>
                <w:szCs w:val="22"/>
                <w:lang w:eastAsia="en-AU"/>
              </w:rPr>
              <w:t>Computer Software</w:t>
            </w:r>
          </w:p>
        </w:tc>
        <w:tc>
          <w:tcPr>
            <w:tcW w:w="1487" w:type="dxa"/>
            <w:shd w:val="clear" w:color="auto" w:fill="BFBFBF" w:themeFill="background1" w:themeFillShade="BF"/>
            <w:vAlign w:val="center"/>
          </w:tcPr>
          <w:p w14:paraId="78E4FEDB" w14:textId="47B34911" w:rsidR="007E2B09" w:rsidRPr="006D520D" w:rsidRDefault="007E2B09" w:rsidP="006D520D">
            <w:pPr>
              <w:jc w:val="right"/>
              <w:rPr>
                <w:rFonts w:cs="Arial"/>
                <w:color w:val="000000"/>
                <w:sz w:val="22"/>
                <w:szCs w:val="22"/>
                <w:lang w:eastAsia="en-AU"/>
              </w:rPr>
            </w:pPr>
            <w:r>
              <w:rPr>
                <w:rFonts w:cs="Arial"/>
                <w:color w:val="000000"/>
                <w:sz w:val="22"/>
                <w:szCs w:val="22"/>
                <w:lang w:eastAsia="en-AU"/>
              </w:rPr>
              <w:t>Total</w:t>
            </w:r>
          </w:p>
        </w:tc>
      </w:tr>
      <w:tr w:rsidR="007E2B09" w:rsidRPr="006D520D" w14:paraId="5EA73DB2" w14:textId="77777777" w:rsidTr="007E2B09">
        <w:trPr>
          <w:trHeight w:val="260"/>
        </w:trPr>
        <w:tc>
          <w:tcPr>
            <w:tcW w:w="4261" w:type="dxa"/>
            <w:shd w:val="clear" w:color="auto" w:fill="auto"/>
            <w:vAlign w:val="bottom"/>
            <w:hideMark/>
          </w:tcPr>
          <w:p w14:paraId="5EA73DAD" w14:textId="77777777" w:rsidR="007E2B09" w:rsidRPr="006D520D" w:rsidRDefault="007E2B09" w:rsidP="005D0705">
            <w:pPr>
              <w:rPr>
                <w:rFonts w:cs="Arial"/>
                <w:color w:val="000000"/>
                <w:sz w:val="22"/>
                <w:szCs w:val="22"/>
                <w:lang w:eastAsia="en-AU"/>
              </w:rPr>
            </w:pPr>
            <w:r w:rsidRPr="006D520D">
              <w:rPr>
                <w:rFonts w:cs="Arial"/>
                <w:color w:val="000000"/>
                <w:sz w:val="22"/>
                <w:szCs w:val="22"/>
                <w:lang w:eastAsia="en-AU"/>
              </w:rPr>
              <w:t>Balance at 30 June 201</w:t>
            </w:r>
            <w:r>
              <w:rPr>
                <w:rFonts w:cs="Arial"/>
                <w:color w:val="000000"/>
                <w:sz w:val="22"/>
                <w:szCs w:val="22"/>
                <w:lang w:eastAsia="en-AU"/>
              </w:rPr>
              <w:t>3</w:t>
            </w:r>
          </w:p>
        </w:tc>
        <w:tc>
          <w:tcPr>
            <w:tcW w:w="1506" w:type="dxa"/>
            <w:shd w:val="clear" w:color="auto" w:fill="auto"/>
            <w:vAlign w:val="bottom"/>
            <w:hideMark/>
          </w:tcPr>
          <w:p w14:paraId="5EA73DAF"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6,543</w:t>
            </w:r>
          </w:p>
        </w:tc>
        <w:tc>
          <w:tcPr>
            <w:tcW w:w="1488" w:type="dxa"/>
            <w:shd w:val="clear" w:color="auto" w:fill="auto"/>
            <w:vAlign w:val="bottom"/>
            <w:hideMark/>
          </w:tcPr>
          <w:p w14:paraId="5EA73DB0"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5,802</w:t>
            </w:r>
          </w:p>
        </w:tc>
        <w:tc>
          <w:tcPr>
            <w:tcW w:w="1487" w:type="dxa"/>
            <w:shd w:val="clear" w:color="auto" w:fill="BFBFBF" w:themeFill="background1" w:themeFillShade="BF"/>
            <w:vAlign w:val="bottom"/>
            <w:hideMark/>
          </w:tcPr>
          <w:p w14:paraId="5EA73DB1"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12,345</w:t>
            </w:r>
          </w:p>
        </w:tc>
      </w:tr>
      <w:tr w:rsidR="007E2B09" w:rsidRPr="006D520D" w14:paraId="5EA73DB8" w14:textId="77777777" w:rsidTr="007E2B09">
        <w:trPr>
          <w:trHeight w:val="260"/>
        </w:trPr>
        <w:tc>
          <w:tcPr>
            <w:tcW w:w="4261" w:type="dxa"/>
            <w:shd w:val="clear" w:color="auto" w:fill="auto"/>
            <w:vAlign w:val="bottom"/>
            <w:hideMark/>
          </w:tcPr>
          <w:p w14:paraId="5EA73DB3"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Additions</w:t>
            </w:r>
          </w:p>
        </w:tc>
        <w:tc>
          <w:tcPr>
            <w:tcW w:w="1506" w:type="dxa"/>
            <w:shd w:val="clear" w:color="auto" w:fill="auto"/>
            <w:vAlign w:val="bottom"/>
            <w:hideMark/>
          </w:tcPr>
          <w:p w14:paraId="5EA73DB5"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515</w:t>
            </w:r>
          </w:p>
        </w:tc>
        <w:tc>
          <w:tcPr>
            <w:tcW w:w="1488" w:type="dxa"/>
            <w:shd w:val="clear" w:color="auto" w:fill="auto"/>
            <w:vAlign w:val="bottom"/>
            <w:hideMark/>
          </w:tcPr>
          <w:p w14:paraId="5EA73DB6"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280</w:t>
            </w:r>
          </w:p>
        </w:tc>
        <w:tc>
          <w:tcPr>
            <w:tcW w:w="1487" w:type="dxa"/>
            <w:shd w:val="clear" w:color="auto" w:fill="BFBFBF" w:themeFill="background1" w:themeFillShade="BF"/>
            <w:vAlign w:val="bottom"/>
            <w:hideMark/>
          </w:tcPr>
          <w:p w14:paraId="5EA73DB7"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795</w:t>
            </w:r>
          </w:p>
        </w:tc>
      </w:tr>
      <w:tr w:rsidR="007E2B09" w:rsidRPr="006D520D" w14:paraId="5EA73DBE" w14:textId="77777777" w:rsidTr="007E2B09">
        <w:trPr>
          <w:trHeight w:val="260"/>
        </w:trPr>
        <w:tc>
          <w:tcPr>
            <w:tcW w:w="4261" w:type="dxa"/>
            <w:shd w:val="clear" w:color="auto" w:fill="auto"/>
            <w:vAlign w:val="bottom"/>
            <w:hideMark/>
          </w:tcPr>
          <w:p w14:paraId="5EA73DB9"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Disposals</w:t>
            </w:r>
          </w:p>
        </w:tc>
        <w:tc>
          <w:tcPr>
            <w:tcW w:w="1506" w:type="dxa"/>
            <w:shd w:val="clear" w:color="auto" w:fill="auto"/>
            <w:vAlign w:val="bottom"/>
            <w:hideMark/>
          </w:tcPr>
          <w:p w14:paraId="5EA73DBB" w14:textId="5C29227F" w:rsidR="007E2B09" w:rsidRPr="006D520D" w:rsidRDefault="007E2B09">
            <w:pPr>
              <w:jc w:val="right"/>
              <w:rPr>
                <w:rFonts w:cs="Arial"/>
                <w:color w:val="000000"/>
                <w:sz w:val="22"/>
                <w:szCs w:val="22"/>
                <w:lang w:eastAsia="en-AU"/>
              </w:rPr>
            </w:pPr>
            <w:r>
              <w:rPr>
                <w:rFonts w:cs="Arial"/>
                <w:color w:val="000000"/>
                <w:sz w:val="22"/>
                <w:szCs w:val="22"/>
                <w:lang w:eastAsia="en-AU"/>
              </w:rPr>
              <w:t>0</w:t>
            </w:r>
            <w:r w:rsidRPr="006D520D">
              <w:rPr>
                <w:rFonts w:cs="Arial"/>
                <w:color w:val="000000"/>
                <w:sz w:val="22"/>
                <w:szCs w:val="22"/>
                <w:lang w:eastAsia="en-AU"/>
              </w:rPr>
              <w:t xml:space="preserve">  </w:t>
            </w:r>
          </w:p>
        </w:tc>
        <w:tc>
          <w:tcPr>
            <w:tcW w:w="1488" w:type="dxa"/>
            <w:shd w:val="clear" w:color="auto" w:fill="auto"/>
            <w:vAlign w:val="bottom"/>
            <w:hideMark/>
          </w:tcPr>
          <w:p w14:paraId="5EA73DBC"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(83)</w:t>
            </w:r>
          </w:p>
        </w:tc>
        <w:tc>
          <w:tcPr>
            <w:tcW w:w="1487" w:type="dxa"/>
            <w:shd w:val="clear" w:color="auto" w:fill="BFBFBF" w:themeFill="background1" w:themeFillShade="BF"/>
            <w:vAlign w:val="bottom"/>
            <w:hideMark/>
          </w:tcPr>
          <w:p w14:paraId="5EA73DBD"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(83)</w:t>
            </w:r>
          </w:p>
        </w:tc>
      </w:tr>
      <w:tr w:rsidR="007E2B09" w:rsidRPr="006D520D" w14:paraId="5EA73DC4" w14:textId="77777777" w:rsidTr="007E2B09">
        <w:trPr>
          <w:trHeight w:val="260"/>
        </w:trPr>
        <w:tc>
          <w:tcPr>
            <w:tcW w:w="4261" w:type="dxa"/>
            <w:shd w:val="clear" w:color="auto" w:fill="auto"/>
            <w:vAlign w:val="bottom"/>
            <w:hideMark/>
          </w:tcPr>
          <w:p w14:paraId="5EA73DBF" w14:textId="77777777" w:rsidR="007E2B09" w:rsidRPr="006D520D" w:rsidRDefault="007E2B09" w:rsidP="005D0705">
            <w:pPr>
              <w:rPr>
                <w:rFonts w:cs="Arial"/>
                <w:color w:val="000000"/>
                <w:sz w:val="22"/>
                <w:szCs w:val="22"/>
                <w:lang w:eastAsia="en-AU"/>
              </w:rPr>
            </w:pPr>
            <w:r w:rsidRPr="006D520D">
              <w:rPr>
                <w:rFonts w:cs="Arial"/>
                <w:color w:val="000000"/>
                <w:sz w:val="22"/>
                <w:szCs w:val="22"/>
                <w:lang w:eastAsia="en-AU"/>
              </w:rPr>
              <w:t>Balance at 30 June 201</w:t>
            </w:r>
            <w:r>
              <w:rPr>
                <w:rFonts w:cs="Arial"/>
                <w:color w:val="000000"/>
                <w:sz w:val="22"/>
                <w:szCs w:val="22"/>
                <w:lang w:eastAsia="en-AU"/>
              </w:rPr>
              <w:t>4</w:t>
            </w:r>
          </w:p>
        </w:tc>
        <w:tc>
          <w:tcPr>
            <w:tcW w:w="1506" w:type="dxa"/>
            <w:shd w:val="clear" w:color="auto" w:fill="auto"/>
            <w:vAlign w:val="bottom"/>
            <w:hideMark/>
          </w:tcPr>
          <w:p w14:paraId="5EA73DC1"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7,058</w:t>
            </w:r>
          </w:p>
        </w:tc>
        <w:tc>
          <w:tcPr>
            <w:tcW w:w="1488" w:type="dxa"/>
            <w:shd w:val="clear" w:color="auto" w:fill="auto"/>
            <w:vAlign w:val="bottom"/>
            <w:hideMark/>
          </w:tcPr>
          <w:p w14:paraId="5EA73DC2"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5,999</w:t>
            </w:r>
          </w:p>
        </w:tc>
        <w:tc>
          <w:tcPr>
            <w:tcW w:w="1487" w:type="dxa"/>
            <w:shd w:val="clear" w:color="auto" w:fill="BFBFBF" w:themeFill="background1" w:themeFillShade="BF"/>
            <w:vAlign w:val="bottom"/>
            <w:hideMark/>
          </w:tcPr>
          <w:p w14:paraId="5EA73DC3"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13,057</w:t>
            </w:r>
          </w:p>
        </w:tc>
      </w:tr>
      <w:tr w:rsidR="007E2B09" w:rsidRPr="006D520D" w14:paraId="5EA73DCA" w14:textId="77777777" w:rsidTr="007E2B09">
        <w:trPr>
          <w:trHeight w:val="260"/>
        </w:trPr>
        <w:tc>
          <w:tcPr>
            <w:tcW w:w="4261" w:type="dxa"/>
            <w:shd w:val="clear" w:color="auto" w:fill="auto"/>
            <w:vAlign w:val="bottom"/>
          </w:tcPr>
          <w:p w14:paraId="5EA73DC5" w14:textId="77777777" w:rsidR="007E2B09" w:rsidRPr="006D520D" w:rsidRDefault="007E2B09" w:rsidP="006D520D">
            <w:pPr>
              <w:rPr>
                <w:rFonts w:cs="Arial"/>
                <w:color w:val="000000"/>
                <w:sz w:val="22"/>
                <w:szCs w:val="22"/>
                <w:lang w:eastAsia="en-AU"/>
              </w:rPr>
            </w:pPr>
            <w:r>
              <w:rPr>
                <w:rFonts w:cs="Arial"/>
                <w:color w:val="000000"/>
                <w:sz w:val="22"/>
                <w:szCs w:val="22"/>
                <w:lang w:eastAsia="en-AU"/>
              </w:rPr>
              <w:t>Transfer</w:t>
            </w:r>
          </w:p>
        </w:tc>
        <w:tc>
          <w:tcPr>
            <w:tcW w:w="1506" w:type="dxa"/>
            <w:shd w:val="clear" w:color="auto" w:fill="auto"/>
            <w:vAlign w:val="bottom"/>
          </w:tcPr>
          <w:p w14:paraId="5EA73DC7" w14:textId="77777777" w:rsidR="007E2B09" w:rsidRDefault="007E2B09" w:rsidP="006D520D">
            <w:pPr>
              <w:jc w:val="right"/>
              <w:rPr>
                <w:rFonts w:cs="Arial"/>
                <w:color w:val="000000"/>
                <w:sz w:val="22"/>
                <w:szCs w:val="22"/>
                <w:lang w:eastAsia="en-AU"/>
              </w:rPr>
            </w:pPr>
            <w:r>
              <w:rPr>
                <w:rFonts w:cs="Arial"/>
                <w:color w:val="000000"/>
                <w:sz w:val="22"/>
                <w:szCs w:val="22"/>
                <w:lang w:eastAsia="en-AU"/>
              </w:rPr>
              <w:t>-</w:t>
            </w:r>
          </w:p>
        </w:tc>
        <w:tc>
          <w:tcPr>
            <w:tcW w:w="1488" w:type="dxa"/>
            <w:shd w:val="clear" w:color="auto" w:fill="auto"/>
            <w:vAlign w:val="bottom"/>
          </w:tcPr>
          <w:p w14:paraId="5EA73DC8" w14:textId="77777777" w:rsidR="007E2B09" w:rsidRDefault="007E2B09" w:rsidP="006D520D">
            <w:pPr>
              <w:jc w:val="right"/>
              <w:rPr>
                <w:rFonts w:cs="Arial"/>
                <w:color w:val="000000"/>
                <w:sz w:val="22"/>
                <w:szCs w:val="22"/>
                <w:lang w:eastAsia="en-AU"/>
              </w:rPr>
            </w:pPr>
            <w:r>
              <w:rPr>
                <w:rFonts w:cs="Arial"/>
                <w:color w:val="000000"/>
                <w:sz w:val="22"/>
                <w:szCs w:val="22"/>
                <w:lang w:eastAsia="en-AU"/>
              </w:rPr>
              <w:t>1,918</w:t>
            </w:r>
          </w:p>
        </w:tc>
        <w:tc>
          <w:tcPr>
            <w:tcW w:w="1487" w:type="dxa"/>
            <w:shd w:val="clear" w:color="auto" w:fill="BFBFBF" w:themeFill="background1" w:themeFillShade="BF"/>
            <w:vAlign w:val="bottom"/>
          </w:tcPr>
          <w:p w14:paraId="5EA73DC9" w14:textId="77777777" w:rsidR="007E2B09" w:rsidRDefault="007E2B09" w:rsidP="006D520D">
            <w:pPr>
              <w:jc w:val="right"/>
              <w:rPr>
                <w:rFonts w:cs="Arial"/>
                <w:color w:val="000000"/>
                <w:sz w:val="22"/>
                <w:szCs w:val="22"/>
                <w:lang w:eastAsia="en-AU"/>
              </w:rPr>
            </w:pPr>
            <w:r>
              <w:rPr>
                <w:rFonts w:cs="Arial"/>
                <w:color w:val="000000"/>
                <w:sz w:val="22"/>
                <w:szCs w:val="22"/>
                <w:lang w:eastAsia="en-AU"/>
              </w:rPr>
              <w:t>1,918</w:t>
            </w:r>
          </w:p>
        </w:tc>
      </w:tr>
      <w:tr w:rsidR="007E2B09" w:rsidRPr="006D520D" w14:paraId="5EA73DD0" w14:textId="77777777" w:rsidTr="007E2B09">
        <w:trPr>
          <w:trHeight w:val="260"/>
        </w:trPr>
        <w:tc>
          <w:tcPr>
            <w:tcW w:w="4261" w:type="dxa"/>
            <w:shd w:val="clear" w:color="auto" w:fill="auto"/>
            <w:vAlign w:val="bottom"/>
            <w:hideMark/>
          </w:tcPr>
          <w:p w14:paraId="5EA73DCB"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Additions</w:t>
            </w:r>
          </w:p>
        </w:tc>
        <w:tc>
          <w:tcPr>
            <w:tcW w:w="1506" w:type="dxa"/>
            <w:shd w:val="clear" w:color="auto" w:fill="auto"/>
            <w:vAlign w:val="bottom"/>
          </w:tcPr>
          <w:p w14:paraId="5EA73DCD"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504</w:t>
            </w:r>
          </w:p>
        </w:tc>
        <w:tc>
          <w:tcPr>
            <w:tcW w:w="1488" w:type="dxa"/>
            <w:shd w:val="clear" w:color="auto" w:fill="auto"/>
            <w:vAlign w:val="bottom"/>
          </w:tcPr>
          <w:p w14:paraId="5EA73DCE"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348</w:t>
            </w:r>
          </w:p>
        </w:tc>
        <w:tc>
          <w:tcPr>
            <w:tcW w:w="1487" w:type="dxa"/>
            <w:shd w:val="clear" w:color="auto" w:fill="BFBFBF" w:themeFill="background1" w:themeFillShade="BF"/>
            <w:vAlign w:val="bottom"/>
          </w:tcPr>
          <w:p w14:paraId="5EA73DCF"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852</w:t>
            </w:r>
          </w:p>
        </w:tc>
      </w:tr>
      <w:tr w:rsidR="007E2B09" w:rsidRPr="006D520D" w14:paraId="5EA73DD6" w14:textId="77777777" w:rsidTr="007E2B09">
        <w:trPr>
          <w:trHeight w:val="260"/>
        </w:trPr>
        <w:tc>
          <w:tcPr>
            <w:tcW w:w="4261" w:type="dxa"/>
            <w:shd w:val="clear" w:color="auto" w:fill="auto"/>
            <w:vAlign w:val="bottom"/>
            <w:hideMark/>
          </w:tcPr>
          <w:p w14:paraId="5EA73DD1" w14:textId="77777777" w:rsidR="007E2B09" w:rsidRPr="006D520D" w:rsidRDefault="007E2B09" w:rsidP="005D0705">
            <w:pPr>
              <w:rPr>
                <w:rFonts w:cs="Arial"/>
                <w:color w:val="000000"/>
                <w:sz w:val="22"/>
                <w:szCs w:val="22"/>
                <w:lang w:eastAsia="en-AU"/>
              </w:rPr>
            </w:pPr>
            <w:r w:rsidRPr="006D520D">
              <w:rPr>
                <w:rFonts w:cs="Arial"/>
                <w:color w:val="000000"/>
                <w:sz w:val="22"/>
                <w:szCs w:val="22"/>
                <w:lang w:eastAsia="en-AU"/>
              </w:rPr>
              <w:t>Balance at 30 June 201</w:t>
            </w:r>
            <w:r>
              <w:rPr>
                <w:rFonts w:cs="Arial"/>
                <w:color w:val="000000"/>
                <w:sz w:val="22"/>
                <w:szCs w:val="22"/>
                <w:lang w:eastAsia="en-AU"/>
              </w:rPr>
              <w:t>5</w:t>
            </w:r>
          </w:p>
        </w:tc>
        <w:tc>
          <w:tcPr>
            <w:tcW w:w="1506" w:type="dxa"/>
            <w:shd w:val="clear" w:color="auto" w:fill="auto"/>
            <w:vAlign w:val="bottom"/>
          </w:tcPr>
          <w:p w14:paraId="5EA73DD3"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7,562</w:t>
            </w:r>
          </w:p>
        </w:tc>
        <w:tc>
          <w:tcPr>
            <w:tcW w:w="1488" w:type="dxa"/>
            <w:shd w:val="clear" w:color="auto" w:fill="auto"/>
            <w:vAlign w:val="bottom"/>
          </w:tcPr>
          <w:p w14:paraId="5EA73DD4"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8,265</w:t>
            </w:r>
          </w:p>
        </w:tc>
        <w:tc>
          <w:tcPr>
            <w:tcW w:w="1487" w:type="dxa"/>
            <w:shd w:val="clear" w:color="auto" w:fill="BFBFBF" w:themeFill="background1" w:themeFillShade="BF"/>
            <w:vAlign w:val="bottom"/>
          </w:tcPr>
          <w:p w14:paraId="5EA73DD5"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15,827</w:t>
            </w:r>
          </w:p>
        </w:tc>
      </w:tr>
    </w:tbl>
    <w:p w14:paraId="1121B801" w14:textId="77777777" w:rsidR="007E2B09" w:rsidRDefault="007E2B09"/>
    <w:tbl>
      <w:tblPr>
        <w:tblW w:w="8742" w:type="dxa"/>
        <w:tblInd w:w="108" w:type="dxa"/>
        <w:tblLook w:val="04A0" w:firstRow="1" w:lastRow="0" w:firstColumn="1" w:lastColumn="0" w:noHBand="0" w:noVBand="1"/>
      </w:tblPr>
      <w:tblGrid>
        <w:gridCol w:w="4261"/>
        <w:gridCol w:w="1506"/>
        <w:gridCol w:w="1488"/>
        <w:gridCol w:w="1487"/>
      </w:tblGrid>
      <w:tr w:rsidR="007E2B09" w:rsidRPr="006D520D" w14:paraId="5A6E6ADB" w14:textId="77777777" w:rsidTr="007E2B09">
        <w:trPr>
          <w:trHeight w:val="260"/>
          <w:tblHeader/>
        </w:trPr>
        <w:tc>
          <w:tcPr>
            <w:tcW w:w="4261" w:type="dxa"/>
            <w:shd w:val="clear" w:color="auto" w:fill="auto"/>
            <w:vAlign w:val="bottom"/>
          </w:tcPr>
          <w:p w14:paraId="75EC1BCA" w14:textId="4B22EC8B" w:rsidR="007E2B09" w:rsidRPr="006D520D" w:rsidRDefault="007E2B09" w:rsidP="005D0705">
            <w:pPr>
              <w:rPr>
                <w:rFonts w:cs="Arial"/>
                <w:color w:val="000000"/>
                <w:sz w:val="22"/>
                <w:szCs w:val="22"/>
                <w:lang w:eastAsia="en-AU"/>
              </w:rPr>
            </w:pPr>
            <w:bookmarkStart w:id="317" w:name="Table_44"/>
            <w:bookmarkEnd w:id="317"/>
            <w:r>
              <w:rPr>
                <w:rFonts w:cs="Arial"/>
                <w:b/>
                <w:bCs/>
                <w:color w:val="000000"/>
                <w:sz w:val="22"/>
                <w:szCs w:val="22"/>
                <w:lang w:eastAsia="en-AU"/>
              </w:rPr>
              <w:t>Accumulated amortisation and impairment</w:t>
            </w:r>
          </w:p>
        </w:tc>
        <w:tc>
          <w:tcPr>
            <w:tcW w:w="1506" w:type="dxa"/>
            <w:shd w:val="clear" w:color="auto" w:fill="auto"/>
            <w:vAlign w:val="center"/>
          </w:tcPr>
          <w:p w14:paraId="7260C51D" w14:textId="5303BD7D" w:rsidR="007E2B09" w:rsidRPr="006D520D" w:rsidRDefault="007E2B09" w:rsidP="006D520D">
            <w:pPr>
              <w:jc w:val="right"/>
              <w:rPr>
                <w:rFonts w:cs="Arial"/>
                <w:color w:val="000000"/>
                <w:sz w:val="22"/>
                <w:szCs w:val="22"/>
                <w:lang w:eastAsia="en-AU"/>
              </w:rPr>
            </w:pPr>
            <w:r>
              <w:rPr>
                <w:rFonts w:cs="Arial"/>
                <w:color w:val="000000"/>
                <w:sz w:val="22"/>
                <w:szCs w:val="22"/>
                <w:lang w:eastAsia="en-AU"/>
              </w:rPr>
              <w:t>Audio Masters</w:t>
            </w:r>
          </w:p>
        </w:tc>
        <w:tc>
          <w:tcPr>
            <w:tcW w:w="1488" w:type="dxa"/>
            <w:shd w:val="clear" w:color="auto" w:fill="auto"/>
            <w:vAlign w:val="center"/>
          </w:tcPr>
          <w:p w14:paraId="0576E732" w14:textId="5189369B" w:rsidR="007E2B09" w:rsidRPr="006D520D" w:rsidRDefault="007E2B09" w:rsidP="006D520D">
            <w:pPr>
              <w:jc w:val="right"/>
              <w:rPr>
                <w:rFonts w:cs="Arial"/>
                <w:color w:val="000000"/>
                <w:sz w:val="22"/>
                <w:szCs w:val="22"/>
                <w:lang w:eastAsia="en-AU"/>
              </w:rPr>
            </w:pPr>
            <w:r>
              <w:rPr>
                <w:rFonts w:cs="Arial"/>
                <w:color w:val="000000"/>
                <w:sz w:val="22"/>
                <w:szCs w:val="22"/>
                <w:lang w:eastAsia="en-AU"/>
              </w:rPr>
              <w:t>Computer Software</w:t>
            </w:r>
          </w:p>
        </w:tc>
        <w:tc>
          <w:tcPr>
            <w:tcW w:w="1487" w:type="dxa"/>
            <w:shd w:val="clear" w:color="auto" w:fill="BFBFBF" w:themeFill="background1" w:themeFillShade="BF"/>
            <w:vAlign w:val="center"/>
          </w:tcPr>
          <w:p w14:paraId="3D900DCE" w14:textId="1800BC1E" w:rsidR="007E2B09" w:rsidRPr="006D520D" w:rsidRDefault="007E2B09" w:rsidP="006D520D">
            <w:pPr>
              <w:jc w:val="right"/>
              <w:rPr>
                <w:rFonts w:cs="Arial"/>
                <w:color w:val="000000"/>
                <w:sz w:val="22"/>
                <w:szCs w:val="22"/>
                <w:lang w:eastAsia="en-AU"/>
              </w:rPr>
            </w:pPr>
            <w:r>
              <w:rPr>
                <w:rFonts w:cs="Arial"/>
                <w:color w:val="000000"/>
                <w:sz w:val="22"/>
                <w:szCs w:val="22"/>
                <w:lang w:eastAsia="en-AU"/>
              </w:rPr>
              <w:t>Total</w:t>
            </w:r>
          </w:p>
        </w:tc>
      </w:tr>
      <w:tr w:rsidR="007E2B09" w:rsidRPr="006D520D" w14:paraId="5EA73DE8" w14:textId="77777777" w:rsidTr="007E2B09">
        <w:trPr>
          <w:trHeight w:val="260"/>
        </w:trPr>
        <w:tc>
          <w:tcPr>
            <w:tcW w:w="4261" w:type="dxa"/>
            <w:shd w:val="clear" w:color="auto" w:fill="auto"/>
            <w:vAlign w:val="bottom"/>
            <w:hideMark/>
          </w:tcPr>
          <w:p w14:paraId="5EA73DE3" w14:textId="77777777" w:rsidR="007E2B09" w:rsidRPr="006D520D" w:rsidRDefault="007E2B09" w:rsidP="005D0705">
            <w:pPr>
              <w:rPr>
                <w:rFonts w:cs="Arial"/>
                <w:color w:val="000000"/>
                <w:sz w:val="22"/>
                <w:szCs w:val="22"/>
                <w:lang w:eastAsia="en-AU"/>
              </w:rPr>
            </w:pPr>
            <w:r w:rsidRPr="006D520D">
              <w:rPr>
                <w:rFonts w:cs="Arial"/>
                <w:color w:val="000000"/>
                <w:sz w:val="22"/>
                <w:szCs w:val="22"/>
                <w:lang w:eastAsia="en-AU"/>
              </w:rPr>
              <w:t>Balance at 30 June 201</w:t>
            </w:r>
            <w:r>
              <w:rPr>
                <w:rFonts w:cs="Arial"/>
                <w:color w:val="000000"/>
                <w:sz w:val="22"/>
                <w:szCs w:val="22"/>
                <w:lang w:eastAsia="en-AU"/>
              </w:rPr>
              <w:t>3</w:t>
            </w:r>
          </w:p>
        </w:tc>
        <w:tc>
          <w:tcPr>
            <w:tcW w:w="1506" w:type="dxa"/>
            <w:shd w:val="clear" w:color="auto" w:fill="auto"/>
            <w:vAlign w:val="bottom"/>
            <w:hideMark/>
          </w:tcPr>
          <w:p w14:paraId="5EA73DE5"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(5,333)</w:t>
            </w:r>
          </w:p>
        </w:tc>
        <w:tc>
          <w:tcPr>
            <w:tcW w:w="1488" w:type="dxa"/>
            <w:shd w:val="clear" w:color="auto" w:fill="auto"/>
            <w:vAlign w:val="bottom"/>
            <w:hideMark/>
          </w:tcPr>
          <w:p w14:paraId="5EA73DE6"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(5,04</w:t>
            </w:r>
            <w:r>
              <w:rPr>
                <w:rFonts w:cs="Arial"/>
                <w:color w:val="000000"/>
                <w:sz w:val="22"/>
                <w:szCs w:val="22"/>
                <w:lang w:eastAsia="en-AU"/>
              </w:rPr>
              <w:t>3</w:t>
            </w:r>
            <w:r w:rsidRPr="006D520D">
              <w:rPr>
                <w:rFonts w:cs="Arial"/>
                <w:color w:val="000000"/>
                <w:sz w:val="22"/>
                <w:szCs w:val="22"/>
                <w:lang w:eastAsia="en-AU"/>
              </w:rPr>
              <w:t>)</w:t>
            </w:r>
          </w:p>
        </w:tc>
        <w:tc>
          <w:tcPr>
            <w:tcW w:w="1487" w:type="dxa"/>
            <w:shd w:val="clear" w:color="auto" w:fill="BFBFBF" w:themeFill="background1" w:themeFillShade="BF"/>
            <w:vAlign w:val="bottom"/>
            <w:hideMark/>
          </w:tcPr>
          <w:p w14:paraId="5EA73DE7"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(10,37</w:t>
            </w:r>
            <w:r>
              <w:rPr>
                <w:rFonts w:cs="Arial"/>
                <w:color w:val="000000"/>
                <w:sz w:val="22"/>
                <w:szCs w:val="22"/>
                <w:lang w:eastAsia="en-AU"/>
              </w:rPr>
              <w:t>6</w:t>
            </w:r>
            <w:r w:rsidRPr="006D520D">
              <w:rPr>
                <w:rFonts w:cs="Arial"/>
                <w:color w:val="000000"/>
                <w:sz w:val="22"/>
                <w:szCs w:val="22"/>
                <w:lang w:eastAsia="en-AU"/>
              </w:rPr>
              <w:t>)</w:t>
            </w:r>
          </w:p>
        </w:tc>
      </w:tr>
      <w:tr w:rsidR="007E2B09" w:rsidRPr="006D520D" w14:paraId="5EA73DEE" w14:textId="77777777" w:rsidTr="007E2B09">
        <w:trPr>
          <w:trHeight w:val="260"/>
        </w:trPr>
        <w:tc>
          <w:tcPr>
            <w:tcW w:w="4261" w:type="dxa"/>
            <w:shd w:val="clear" w:color="auto" w:fill="auto"/>
            <w:vAlign w:val="bottom"/>
            <w:hideMark/>
          </w:tcPr>
          <w:p w14:paraId="5EA73DE9" w14:textId="77777777" w:rsidR="007E2B09" w:rsidRPr="006D520D" w:rsidRDefault="007E2B09" w:rsidP="006D520D">
            <w:pPr>
              <w:rPr>
                <w:rFonts w:cs="Arial"/>
                <w:color w:val="000000"/>
                <w:sz w:val="22"/>
                <w:szCs w:val="22"/>
                <w:lang w:eastAsia="en-AU"/>
              </w:rPr>
            </w:pPr>
            <w:r w:rsidRPr="0000539F">
              <w:rPr>
                <w:rFonts w:cs="Arial"/>
                <w:color w:val="000000"/>
                <w:sz w:val="22"/>
                <w:szCs w:val="22"/>
                <w:lang w:eastAsia="en-AU"/>
              </w:rPr>
              <w:t>Reversal of amortisation on disposal</w:t>
            </w:r>
          </w:p>
        </w:tc>
        <w:tc>
          <w:tcPr>
            <w:tcW w:w="1506" w:type="dxa"/>
            <w:shd w:val="clear" w:color="auto" w:fill="auto"/>
            <w:vAlign w:val="bottom"/>
          </w:tcPr>
          <w:p w14:paraId="5EA73DEB" w14:textId="2B8F1C76" w:rsidR="007E2B09" w:rsidRPr="006D520D" w:rsidRDefault="007E2B09" w:rsidP="006D520D">
            <w:pPr>
              <w:jc w:val="right"/>
              <w:rPr>
                <w:rFonts w:cs="Arial"/>
                <w:color w:val="000000"/>
                <w:sz w:val="22"/>
                <w:szCs w:val="22"/>
                <w:lang w:eastAsia="en-AU"/>
              </w:rPr>
            </w:pPr>
            <w:r>
              <w:rPr>
                <w:rFonts w:cs="Arial"/>
                <w:color w:val="000000"/>
                <w:sz w:val="22"/>
                <w:szCs w:val="22"/>
                <w:lang w:eastAsia="en-AU"/>
              </w:rPr>
              <w:t>0</w:t>
            </w:r>
          </w:p>
        </w:tc>
        <w:tc>
          <w:tcPr>
            <w:tcW w:w="1488" w:type="dxa"/>
            <w:shd w:val="clear" w:color="auto" w:fill="auto"/>
            <w:vAlign w:val="bottom"/>
            <w:hideMark/>
          </w:tcPr>
          <w:p w14:paraId="5EA73DEC" w14:textId="77777777" w:rsidR="007E2B09" w:rsidRPr="006D520D" w:rsidRDefault="007E2B09" w:rsidP="002406CA">
            <w:pPr>
              <w:jc w:val="right"/>
              <w:rPr>
                <w:rFonts w:cs="Arial"/>
                <w:color w:val="000000"/>
                <w:sz w:val="22"/>
                <w:szCs w:val="22"/>
                <w:lang w:eastAsia="en-AU"/>
              </w:rPr>
            </w:pPr>
            <w:r w:rsidRPr="006D520D">
              <w:rPr>
                <w:rFonts w:cs="Arial"/>
                <w:color w:val="000000"/>
                <w:sz w:val="22"/>
                <w:szCs w:val="22"/>
                <w:lang w:eastAsia="en-AU"/>
              </w:rPr>
              <w:t>8</w:t>
            </w:r>
            <w:r>
              <w:rPr>
                <w:rFonts w:cs="Arial"/>
                <w:color w:val="000000"/>
                <w:sz w:val="22"/>
                <w:szCs w:val="22"/>
                <w:lang w:eastAsia="en-AU"/>
              </w:rPr>
              <w:t>2</w:t>
            </w:r>
          </w:p>
        </w:tc>
        <w:tc>
          <w:tcPr>
            <w:tcW w:w="1487" w:type="dxa"/>
            <w:shd w:val="clear" w:color="auto" w:fill="BFBFBF" w:themeFill="background1" w:themeFillShade="BF"/>
            <w:vAlign w:val="bottom"/>
            <w:hideMark/>
          </w:tcPr>
          <w:p w14:paraId="5EA73DED" w14:textId="77777777" w:rsidR="007E2B09" w:rsidRPr="006D520D" w:rsidRDefault="007E2B09" w:rsidP="002406CA">
            <w:pPr>
              <w:jc w:val="right"/>
              <w:rPr>
                <w:rFonts w:cs="Arial"/>
                <w:color w:val="000000"/>
                <w:sz w:val="22"/>
                <w:szCs w:val="22"/>
                <w:lang w:eastAsia="en-AU"/>
              </w:rPr>
            </w:pPr>
            <w:r w:rsidRPr="006D520D">
              <w:rPr>
                <w:rFonts w:cs="Arial"/>
                <w:color w:val="000000"/>
                <w:sz w:val="22"/>
                <w:szCs w:val="22"/>
                <w:lang w:eastAsia="en-AU"/>
              </w:rPr>
              <w:t>8</w:t>
            </w:r>
            <w:r>
              <w:rPr>
                <w:rFonts w:cs="Arial"/>
                <w:color w:val="000000"/>
                <w:sz w:val="22"/>
                <w:szCs w:val="22"/>
                <w:lang w:eastAsia="en-AU"/>
              </w:rPr>
              <w:t>2</w:t>
            </w:r>
          </w:p>
        </w:tc>
      </w:tr>
      <w:tr w:rsidR="007E2B09" w:rsidRPr="006D520D" w14:paraId="5EA73DF4" w14:textId="77777777" w:rsidTr="007E2B09">
        <w:trPr>
          <w:trHeight w:val="260"/>
        </w:trPr>
        <w:tc>
          <w:tcPr>
            <w:tcW w:w="4261" w:type="dxa"/>
            <w:shd w:val="clear" w:color="auto" w:fill="auto"/>
            <w:vAlign w:val="bottom"/>
            <w:hideMark/>
          </w:tcPr>
          <w:p w14:paraId="5EA73DEF" w14:textId="77777777" w:rsidR="007E2B09" w:rsidRPr="006D520D" w:rsidRDefault="007E2B09" w:rsidP="006D520D">
            <w:pPr>
              <w:rPr>
                <w:rFonts w:cs="Arial"/>
                <w:color w:val="000000"/>
                <w:sz w:val="22"/>
                <w:szCs w:val="22"/>
                <w:lang w:eastAsia="en-AU"/>
              </w:rPr>
            </w:pPr>
            <w:r>
              <w:rPr>
                <w:rFonts w:cs="Arial"/>
                <w:color w:val="000000"/>
                <w:sz w:val="22"/>
                <w:szCs w:val="22"/>
                <w:lang w:eastAsia="en-AU"/>
              </w:rPr>
              <w:t>Impairment reversal</w:t>
            </w:r>
            <w:r w:rsidRPr="006D520D">
              <w:rPr>
                <w:rFonts w:cs="Arial"/>
                <w:color w:val="000000"/>
                <w:sz w:val="22"/>
                <w:szCs w:val="22"/>
                <w:lang w:eastAsia="en-AU"/>
              </w:rPr>
              <w:t xml:space="preserve"> </w:t>
            </w:r>
          </w:p>
        </w:tc>
        <w:tc>
          <w:tcPr>
            <w:tcW w:w="1506" w:type="dxa"/>
            <w:shd w:val="clear" w:color="auto" w:fill="auto"/>
            <w:vAlign w:val="bottom"/>
          </w:tcPr>
          <w:p w14:paraId="5EA73DF1" w14:textId="2C43AC3E" w:rsidR="007E2B09" w:rsidRPr="006D520D" w:rsidRDefault="007E2B09" w:rsidP="006D520D">
            <w:pPr>
              <w:jc w:val="right"/>
              <w:rPr>
                <w:rFonts w:cs="Arial"/>
                <w:color w:val="000000"/>
                <w:sz w:val="22"/>
                <w:szCs w:val="22"/>
                <w:lang w:eastAsia="en-AU"/>
              </w:rPr>
            </w:pPr>
            <w:r>
              <w:rPr>
                <w:rFonts w:cs="Arial"/>
                <w:color w:val="000000"/>
                <w:sz w:val="22"/>
                <w:szCs w:val="22"/>
                <w:lang w:eastAsia="en-AU"/>
              </w:rPr>
              <w:t>0</w:t>
            </w:r>
          </w:p>
        </w:tc>
        <w:tc>
          <w:tcPr>
            <w:tcW w:w="1488" w:type="dxa"/>
            <w:shd w:val="clear" w:color="auto" w:fill="auto"/>
            <w:vAlign w:val="bottom"/>
            <w:hideMark/>
          </w:tcPr>
          <w:p w14:paraId="5EA73DF2" w14:textId="77777777" w:rsidR="007E2B09" w:rsidRPr="006D520D" w:rsidRDefault="007E2B09" w:rsidP="0043493B">
            <w:pPr>
              <w:jc w:val="right"/>
              <w:rPr>
                <w:rFonts w:cs="Arial"/>
                <w:color w:val="000000"/>
                <w:sz w:val="22"/>
                <w:szCs w:val="22"/>
                <w:lang w:eastAsia="en-AU"/>
              </w:rPr>
            </w:pPr>
            <w:r w:rsidRPr="006D520D">
              <w:rPr>
                <w:rFonts w:cs="Arial"/>
                <w:color w:val="000000"/>
                <w:sz w:val="22"/>
                <w:szCs w:val="22"/>
                <w:lang w:eastAsia="en-AU"/>
              </w:rPr>
              <w:t>2</w:t>
            </w:r>
            <w:r>
              <w:rPr>
                <w:rFonts w:cs="Arial"/>
                <w:color w:val="000000"/>
                <w:sz w:val="22"/>
                <w:szCs w:val="22"/>
                <w:lang w:eastAsia="en-AU"/>
              </w:rPr>
              <w:t>4</w:t>
            </w:r>
          </w:p>
        </w:tc>
        <w:tc>
          <w:tcPr>
            <w:tcW w:w="1487" w:type="dxa"/>
            <w:shd w:val="clear" w:color="auto" w:fill="BFBFBF" w:themeFill="background1" w:themeFillShade="BF"/>
            <w:vAlign w:val="bottom"/>
            <w:hideMark/>
          </w:tcPr>
          <w:p w14:paraId="5EA73DF3"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24</w:t>
            </w:r>
          </w:p>
        </w:tc>
      </w:tr>
      <w:tr w:rsidR="007E2B09" w:rsidRPr="006D520D" w14:paraId="5EA73DFA" w14:textId="77777777" w:rsidTr="007E2B09">
        <w:trPr>
          <w:trHeight w:val="260"/>
        </w:trPr>
        <w:tc>
          <w:tcPr>
            <w:tcW w:w="4261" w:type="dxa"/>
            <w:shd w:val="clear" w:color="auto" w:fill="auto"/>
            <w:vAlign w:val="bottom"/>
            <w:hideMark/>
          </w:tcPr>
          <w:p w14:paraId="5EA73DF5"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Amortisation expense</w:t>
            </w:r>
          </w:p>
        </w:tc>
        <w:tc>
          <w:tcPr>
            <w:tcW w:w="1506" w:type="dxa"/>
            <w:shd w:val="clear" w:color="auto" w:fill="auto"/>
            <w:vAlign w:val="bottom"/>
            <w:hideMark/>
          </w:tcPr>
          <w:p w14:paraId="5EA73DF7"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(552)</w:t>
            </w:r>
          </w:p>
        </w:tc>
        <w:tc>
          <w:tcPr>
            <w:tcW w:w="1488" w:type="dxa"/>
            <w:shd w:val="clear" w:color="auto" w:fill="auto"/>
            <w:vAlign w:val="bottom"/>
            <w:hideMark/>
          </w:tcPr>
          <w:p w14:paraId="5EA73DF8"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(597)</w:t>
            </w:r>
          </w:p>
        </w:tc>
        <w:tc>
          <w:tcPr>
            <w:tcW w:w="1487" w:type="dxa"/>
            <w:shd w:val="clear" w:color="auto" w:fill="BFBFBF" w:themeFill="background1" w:themeFillShade="BF"/>
            <w:vAlign w:val="bottom"/>
            <w:hideMark/>
          </w:tcPr>
          <w:p w14:paraId="5EA73DF9"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(1,149)</w:t>
            </w:r>
          </w:p>
        </w:tc>
      </w:tr>
      <w:tr w:rsidR="007E2B09" w:rsidRPr="006D520D" w14:paraId="5EA73E00" w14:textId="77777777" w:rsidTr="007E2B09">
        <w:trPr>
          <w:trHeight w:val="260"/>
        </w:trPr>
        <w:tc>
          <w:tcPr>
            <w:tcW w:w="4261" w:type="dxa"/>
            <w:shd w:val="clear" w:color="auto" w:fill="auto"/>
            <w:vAlign w:val="bottom"/>
            <w:hideMark/>
          </w:tcPr>
          <w:p w14:paraId="5EA73DFB" w14:textId="77777777" w:rsidR="007E2B09" w:rsidRPr="006D520D" w:rsidRDefault="007E2B09" w:rsidP="005D0705">
            <w:pPr>
              <w:rPr>
                <w:rFonts w:cs="Arial"/>
                <w:color w:val="000000"/>
                <w:sz w:val="22"/>
                <w:szCs w:val="22"/>
                <w:lang w:eastAsia="en-AU"/>
              </w:rPr>
            </w:pPr>
            <w:r w:rsidRPr="006D520D">
              <w:rPr>
                <w:rFonts w:cs="Arial"/>
                <w:color w:val="000000"/>
                <w:sz w:val="22"/>
                <w:szCs w:val="22"/>
                <w:lang w:eastAsia="en-AU"/>
              </w:rPr>
              <w:t>Balance at 30 June 201</w:t>
            </w:r>
            <w:r>
              <w:rPr>
                <w:rFonts w:cs="Arial"/>
                <w:color w:val="000000"/>
                <w:sz w:val="22"/>
                <w:szCs w:val="22"/>
                <w:lang w:eastAsia="en-AU"/>
              </w:rPr>
              <w:t>4</w:t>
            </w:r>
          </w:p>
        </w:tc>
        <w:tc>
          <w:tcPr>
            <w:tcW w:w="1506" w:type="dxa"/>
            <w:shd w:val="clear" w:color="auto" w:fill="auto"/>
            <w:vAlign w:val="bottom"/>
            <w:hideMark/>
          </w:tcPr>
          <w:p w14:paraId="5EA73DFD" w14:textId="77777777" w:rsidR="007E2B09" w:rsidRPr="006D520D" w:rsidRDefault="007E2B09" w:rsidP="006D520D">
            <w:pPr>
              <w:jc w:val="right"/>
              <w:rPr>
                <w:rFonts w:cs="Arial"/>
                <w:color w:val="000000"/>
                <w:sz w:val="22"/>
                <w:szCs w:val="22"/>
                <w:lang w:eastAsia="en-AU"/>
              </w:rPr>
            </w:pPr>
            <w:r w:rsidRPr="006D520D">
              <w:rPr>
                <w:rFonts w:cs="Arial"/>
                <w:color w:val="000000"/>
                <w:sz w:val="22"/>
                <w:szCs w:val="22"/>
                <w:lang w:eastAsia="en-AU"/>
              </w:rPr>
              <w:t>(5,885)</w:t>
            </w:r>
          </w:p>
        </w:tc>
        <w:tc>
          <w:tcPr>
            <w:tcW w:w="1488" w:type="dxa"/>
            <w:shd w:val="clear" w:color="auto" w:fill="auto"/>
            <w:vAlign w:val="bottom"/>
            <w:hideMark/>
          </w:tcPr>
          <w:p w14:paraId="5EA73DFE" w14:textId="77777777" w:rsidR="007E2B09" w:rsidRPr="006D520D" w:rsidRDefault="007E2B09" w:rsidP="002406CA">
            <w:pPr>
              <w:jc w:val="right"/>
              <w:rPr>
                <w:rFonts w:cs="Arial"/>
                <w:color w:val="000000"/>
                <w:sz w:val="22"/>
                <w:szCs w:val="22"/>
                <w:lang w:eastAsia="en-AU"/>
              </w:rPr>
            </w:pPr>
            <w:r w:rsidRPr="006D520D">
              <w:rPr>
                <w:rFonts w:cs="Arial"/>
                <w:color w:val="000000"/>
                <w:sz w:val="22"/>
                <w:szCs w:val="22"/>
                <w:lang w:eastAsia="en-AU"/>
              </w:rPr>
              <w:t>(5,55</w:t>
            </w:r>
            <w:r>
              <w:rPr>
                <w:rFonts w:cs="Arial"/>
                <w:color w:val="000000"/>
                <w:sz w:val="22"/>
                <w:szCs w:val="22"/>
                <w:lang w:eastAsia="en-AU"/>
              </w:rPr>
              <w:t>8</w:t>
            </w:r>
            <w:r w:rsidRPr="006D520D">
              <w:rPr>
                <w:rFonts w:cs="Arial"/>
                <w:color w:val="000000"/>
                <w:sz w:val="22"/>
                <w:szCs w:val="22"/>
                <w:lang w:eastAsia="en-AU"/>
              </w:rPr>
              <w:t>)</w:t>
            </w:r>
          </w:p>
        </w:tc>
        <w:tc>
          <w:tcPr>
            <w:tcW w:w="1487" w:type="dxa"/>
            <w:shd w:val="clear" w:color="auto" w:fill="BFBFBF" w:themeFill="background1" w:themeFillShade="BF"/>
            <w:vAlign w:val="bottom"/>
            <w:hideMark/>
          </w:tcPr>
          <w:p w14:paraId="5EA73DFF" w14:textId="77777777" w:rsidR="007E2B09" w:rsidRPr="006D520D" w:rsidRDefault="007E2B09" w:rsidP="0043493B">
            <w:pPr>
              <w:jc w:val="right"/>
              <w:rPr>
                <w:rFonts w:cs="Arial"/>
                <w:color w:val="000000"/>
                <w:sz w:val="22"/>
                <w:szCs w:val="22"/>
                <w:lang w:eastAsia="en-AU"/>
              </w:rPr>
            </w:pPr>
            <w:r w:rsidRPr="006D520D">
              <w:rPr>
                <w:rFonts w:cs="Arial"/>
                <w:color w:val="000000"/>
                <w:sz w:val="22"/>
                <w:szCs w:val="22"/>
                <w:lang w:eastAsia="en-AU"/>
              </w:rPr>
              <w:t>(11,444)</w:t>
            </w:r>
          </w:p>
        </w:tc>
      </w:tr>
      <w:tr w:rsidR="007E2B09" w:rsidRPr="006D520D" w14:paraId="5EA73E06" w14:textId="77777777" w:rsidTr="007E2B09">
        <w:trPr>
          <w:trHeight w:val="260"/>
        </w:trPr>
        <w:tc>
          <w:tcPr>
            <w:tcW w:w="4261" w:type="dxa"/>
            <w:shd w:val="clear" w:color="auto" w:fill="auto"/>
            <w:vAlign w:val="bottom"/>
            <w:hideMark/>
          </w:tcPr>
          <w:p w14:paraId="5EA73E01" w14:textId="77777777" w:rsidR="007E2B09" w:rsidRPr="006D520D" w:rsidRDefault="007E2B09" w:rsidP="006D520D">
            <w:pPr>
              <w:rPr>
                <w:rFonts w:cs="Arial"/>
                <w:color w:val="000000"/>
                <w:sz w:val="22"/>
                <w:szCs w:val="22"/>
                <w:lang w:eastAsia="en-AU"/>
              </w:rPr>
            </w:pPr>
            <w:r w:rsidRPr="006D520D">
              <w:rPr>
                <w:rFonts w:cs="Arial"/>
                <w:color w:val="000000"/>
                <w:sz w:val="22"/>
                <w:szCs w:val="22"/>
                <w:lang w:eastAsia="en-AU"/>
              </w:rPr>
              <w:t>Amortisation expense</w:t>
            </w:r>
          </w:p>
        </w:tc>
        <w:tc>
          <w:tcPr>
            <w:tcW w:w="1506" w:type="dxa"/>
            <w:shd w:val="clear" w:color="auto" w:fill="auto"/>
            <w:vAlign w:val="bottom"/>
          </w:tcPr>
          <w:p w14:paraId="5EA73E03"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(436)</w:t>
            </w:r>
          </w:p>
        </w:tc>
        <w:tc>
          <w:tcPr>
            <w:tcW w:w="1488" w:type="dxa"/>
            <w:shd w:val="clear" w:color="auto" w:fill="auto"/>
            <w:vAlign w:val="bottom"/>
          </w:tcPr>
          <w:p w14:paraId="5EA73E04" w14:textId="77777777" w:rsidR="007E2B09" w:rsidRPr="006D520D" w:rsidRDefault="007E2B09" w:rsidP="003A7634">
            <w:pPr>
              <w:jc w:val="right"/>
              <w:rPr>
                <w:rFonts w:cs="Arial"/>
                <w:color w:val="000000"/>
                <w:sz w:val="22"/>
                <w:szCs w:val="22"/>
                <w:lang w:eastAsia="en-AU"/>
              </w:rPr>
            </w:pPr>
            <w:r>
              <w:rPr>
                <w:rFonts w:cs="Arial"/>
                <w:color w:val="000000"/>
                <w:sz w:val="22"/>
                <w:szCs w:val="22"/>
                <w:lang w:eastAsia="en-AU"/>
              </w:rPr>
              <w:t>(412)</w:t>
            </w:r>
          </w:p>
        </w:tc>
        <w:tc>
          <w:tcPr>
            <w:tcW w:w="1487" w:type="dxa"/>
            <w:shd w:val="clear" w:color="auto" w:fill="BFBFBF" w:themeFill="background1" w:themeFillShade="BF"/>
            <w:vAlign w:val="bottom"/>
          </w:tcPr>
          <w:p w14:paraId="5EA73E05" w14:textId="77777777" w:rsidR="007E2B09" w:rsidRPr="006D520D" w:rsidRDefault="007E2B09" w:rsidP="00662172">
            <w:pPr>
              <w:jc w:val="right"/>
              <w:rPr>
                <w:rFonts w:cs="Arial"/>
                <w:color w:val="000000"/>
                <w:sz w:val="22"/>
                <w:szCs w:val="22"/>
                <w:lang w:eastAsia="en-AU"/>
              </w:rPr>
            </w:pPr>
            <w:r>
              <w:rPr>
                <w:rFonts w:cs="Arial"/>
                <w:color w:val="000000"/>
                <w:sz w:val="22"/>
                <w:szCs w:val="22"/>
                <w:lang w:eastAsia="en-AU"/>
              </w:rPr>
              <w:t>(848)</w:t>
            </w:r>
          </w:p>
        </w:tc>
      </w:tr>
      <w:tr w:rsidR="007E2B09" w:rsidRPr="006D520D" w14:paraId="5EA73E0C" w14:textId="77777777" w:rsidTr="007E2B09">
        <w:trPr>
          <w:trHeight w:val="260"/>
        </w:trPr>
        <w:tc>
          <w:tcPr>
            <w:tcW w:w="4261" w:type="dxa"/>
            <w:shd w:val="clear" w:color="auto" w:fill="auto"/>
            <w:vAlign w:val="bottom"/>
            <w:hideMark/>
          </w:tcPr>
          <w:p w14:paraId="5EA73E07" w14:textId="77777777" w:rsidR="007E2B09" w:rsidRPr="006D520D" w:rsidRDefault="007E2B09" w:rsidP="005D0705">
            <w:pPr>
              <w:rPr>
                <w:rFonts w:cs="Arial"/>
                <w:color w:val="000000"/>
                <w:sz w:val="22"/>
                <w:szCs w:val="22"/>
                <w:lang w:eastAsia="en-AU"/>
              </w:rPr>
            </w:pPr>
            <w:r w:rsidRPr="006D520D">
              <w:rPr>
                <w:rFonts w:cs="Arial"/>
                <w:color w:val="000000"/>
                <w:sz w:val="22"/>
                <w:szCs w:val="22"/>
                <w:lang w:eastAsia="en-AU"/>
              </w:rPr>
              <w:t>Balance at 30 June 201</w:t>
            </w:r>
            <w:r>
              <w:rPr>
                <w:rFonts w:cs="Arial"/>
                <w:color w:val="000000"/>
                <w:sz w:val="22"/>
                <w:szCs w:val="22"/>
                <w:lang w:eastAsia="en-AU"/>
              </w:rPr>
              <w:t>5</w:t>
            </w:r>
          </w:p>
        </w:tc>
        <w:tc>
          <w:tcPr>
            <w:tcW w:w="1506" w:type="dxa"/>
            <w:shd w:val="clear" w:color="auto" w:fill="auto"/>
            <w:vAlign w:val="bottom"/>
          </w:tcPr>
          <w:p w14:paraId="5EA73E09" w14:textId="77777777" w:rsidR="007E2B09" w:rsidRPr="006D520D" w:rsidRDefault="007E2B09" w:rsidP="006D520D">
            <w:pPr>
              <w:jc w:val="right"/>
              <w:rPr>
                <w:rFonts w:cs="Arial"/>
                <w:color w:val="000000"/>
                <w:sz w:val="22"/>
                <w:szCs w:val="22"/>
                <w:lang w:eastAsia="en-AU"/>
              </w:rPr>
            </w:pPr>
            <w:r>
              <w:rPr>
                <w:rFonts w:cs="Arial"/>
                <w:color w:val="000000"/>
                <w:sz w:val="22"/>
                <w:szCs w:val="22"/>
                <w:lang w:eastAsia="en-AU"/>
              </w:rPr>
              <w:t>(6,321)</w:t>
            </w:r>
          </w:p>
        </w:tc>
        <w:tc>
          <w:tcPr>
            <w:tcW w:w="1488" w:type="dxa"/>
            <w:shd w:val="clear" w:color="auto" w:fill="auto"/>
            <w:vAlign w:val="bottom"/>
          </w:tcPr>
          <w:p w14:paraId="5EA73E0A" w14:textId="77777777" w:rsidR="007E2B09" w:rsidRPr="006D520D" w:rsidRDefault="007E2B09" w:rsidP="002406CA">
            <w:pPr>
              <w:jc w:val="right"/>
              <w:rPr>
                <w:rFonts w:cs="Arial"/>
                <w:color w:val="000000"/>
                <w:sz w:val="22"/>
                <w:szCs w:val="22"/>
                <w:lang w:eastAsia="en-AU"/>
              </w:rPr>
            </w:pPr>
            <w:r>
              <w:rPr>
                <w:rFonts w:cs="Arial"/>
                <w:color w:val="000000"/>
                <w:sz w:val="22"/>
                <w:szCs w:val="22"/>
                <w:lang w:eastAsia="en-AU"/>
              </w:rPr>
              <w:t>(5,970)</w:t>
            </w:r>
          </w:p>
        </w:tc>
        <w:tc>
          <w:tcPr>
            <w:tcW w:w="1487" w:type="dxa"/>
            <w:shd w:val="clear" w:color="auto" w:fill="BFBFBF" w:themeFill="background1" w:themeFillShade="BF"/>
            <w:vAlign w:val="bottom"/>
          </w:tcPr>
          <w:p w14:paraId="5EA73E0B" w14:textId="77777777" w:rsidR="007E2B09" w:rsidRPr="006D520D" w:rsidRDefault="007E2B09" w:rsidP="002406CA">
            <w:pPr>
              <w:jc w:val="right"/>
              <w:rPr>
                <w:rFonts w:cs="Arial"/>
                <w:color w:val="000000"/>
                <w:sz w:val="22"/>
                <w:szCs w:val="22"/>
                <w:lang w:eastAsia="en-AU"/>
              </w:rPr>
            </w:pPr>
            <w:r>
              <w:rPr>
                <w:rFonts w:cs="Arial"/>
                <w:color w:val="000000"/>
                <w:sz w:val="22"/>
                <w:szCs w:val="22"/>
                <w:lang w:eastAsia="en-AU"/>
              </w:rPr>
              <w:t>(12,291)</w:t>
            </w:r>
          </w:p>
        </w:tc>
      </w:tr>
    </w:tbl>
    <w:p w14:paraId="5EA73E0D" w14:textId="77777777" w:rsidR="00B7464D" w:rsidRDefault="006B5FD2" w:rsidP="00534FE3">
      <w:pPr>
        <w:rPr>
          <w:rFonts w:ascii="Times New Roman" w:hAnsi="Times New Roman"/>
          <w:sz w:val="20"/>
          <w:szCs w:val="20"/>
          <w:lang w:eastAsia="en-AU"/>
        </w:rPr>
      </w:pPr>
      <w:r w:rsidRPr="007540D9">
        <w:rPr>
          <w:rFonts w:cs="Arial"/>
          <w:b/>
          <w:sz w:val="22"/>
          <w:szCs w:val="22"/>
        </w:rPr>
        <w:br w:type="page"/>
      </w:r>
    </w:p>
    <w:p w14:paraId="1D6232D3" w14:textId="5B4485DE" w:rsidR="007E2B09" w:rsidRDefault="007E2B09">
      <w:r w:rsidRPr="0010110B">
        <w:rPr>
          <w:rFonts w:cs="Arial"/>
          <w:b/>
          <w:bCs/>
          <w:color w:val="000000"/>
          <w:sz w:val="22"/>
          <w:szCs w:val="22"/>
          <w:lang w:eastAsia="en-AU"/>
        </w:rPr>
        <w:lastRenderedPageBreak/>
        <w:t>Note 14:  Intangible assets</w:t>
      </w:r>
    </w:p>
    <w:tbl>
      <w:tblPr>
        <w:tblW w:w="8785" w:type="dxa"/>
        <w:tblInd w:w="108" w:type="dxa"/>
        <w:tblLook w:val="04A0" w:firstRow="1" w:lastRow="0" w:firstColumn="1" w:lastColumn="0" w:noHBand="0" w:noVBand="1"/>
      </w:tblPr>
      <w:tblGrid>
        <w:gridCol w:w="5003"/>
        <w:gridCol w:w="1261"/>
        <w:gridCol w:w="1264"/>
        <w:gridCol w:w="1257"/>
      </w:tblGrid>
      <w:tr w:rsidR="007E2B09" w:rsidRPr="00DE0D1F" w14:paraId="5EA73E1F" w14:textId="77777777" w:rsidTr="007E2B09">
        <w:trPr>
          <w:trHeight w:val="252"/>
          <w:tblHeader/>
        </w:trPr>
        <w:tc>
          <w:tcPr>
            <w:tcW w:w="5003" w:type="dxa"/>
            <w:shd w:val="clear" w:color="auto" w:fill="auto"/>
            <w:noWrap/>
            <w:vAlign w:val="bottom"/>
          </w:tcPr>
          <w:p w14:paraId="5EA73E1A" w14:textId="622ACC9D" w:rsidR="007E2B09" w:rsidRPr="00DE0D1F" w:rsidRDefault="007E2B09" w:rsidP="00DE0D1F">
            <w:pPr>
              <w:rPr>
                <w:rFonts w:cs="Arial"/>
                <w:color w:val="000000"/>
                <w:sz w:val="22"/>
                <w:szCs w:val="22"/>
                <w:lang w:eastAsia="en-AU"/>
              </w:rPr>
            </w:pPr>
            <w:bookmarkStart w:id="318" w:name="Table_45"/>
            <w:bookmarkEnd w:id="318"/>
            <w:r w:rsidRPr="00DE0D1F">
              <w:rPr>
                <w:rFonts w:cs="Arial"/>
                <w:b/>
                <w:bCs/>
                <w:color w:val="000000"/>
                <w:sz w:val="22"/>
                <w:szCs w:val="22"/>
                <w:lang w:eastAsia="en-AU"/>
              </w:rPr>
              <w:t>Net book value</w:t>
            </w:r>
          </w:p>
        </w:tc>
        <w:tc>
          <w:tcPr>
            <w:tcW w:w="1261" w:type="dxa"/>
            <w:shd w:val="clear" w:color="auto" w:fill="auto"/>
            <w:vAlign w:val="center"/>
          </w:tcPr>
          <w:p w14:paraId="5EA73E1C" w14:textId="4934045C" w:rsidR="007E2B09" w:rsidRPr="00DE0D1F" w:rsidRDefault="007E2B09" w:rsidP="00DE0D1F">
            <w:pPr>
              <w:jc w:val="center"/>
              <w:rPr>
                <w:rFonts w:cs="Arial"/>
                <w:color w:val="000000"/>
                <w:sz w:val="22"/>
                <w:szCs w:val="22"/>
                <w:lang w:eastAsia="en-AU"/>
              </w:rPr>
            </w:pPr>
            <w:r>
              <w:rPr>
                <w:rFonts w:cs="Arial"/>
                <w:color w:val="000000"/>
                <w:sz w:val="22"/>
                <w:szCs w:val="22"/>
                <w:lang w:eastAsia="en-AU"/>
              </w:rPr>
              <w:t>Audio Masters</w:t>
            </w:r>
          </w:p>
        </w:tc>
        <w:tc>
          <w:tcPr>
            <w:tcW w:w="1264" w:type="dxa"/>
            <w:shd w:val="clear" w:color="auto" w:fill="auto"/>
            <w:vAlign w:val="center"/>
          </w:tcPr>
          <w:p w14:paraId="5EA73E1D" w14:textId="6B981E74" w:rsidR="007E2B09" w:rsidRPr="00DE0D1F" w:rsidRDefault="007E2B09" w:rsidP="00DE0D1F">
            <w:pPr>
              <w:jc w:val="center"/>
              <w:rPr>
                <w:rFonts w:cs="Arial"/>
                <w:color w:val="000000"/>
                <w:sz w:val="22"/>
                <w:szCs w:val="22"/>
                <w:lang w:eastAsia="en-AU"/>
              </w:rPr>
            </w:pPr>
            <w:r>
              <w:rPr>
                <w:rFonts w:cs="Arial"/>
                <w:color w:val="000000"/>
                <w:sz w:val="22"/>
                <w:szCs w:val="22"/>
                <w:lang w:eastAsia="en-AU"/>
              </w:rPr>
              <w:t>Computer Software</w:t>
            </w:r>
          </w:p>
        </w:tc>
        <w:tc>
          <w:tcPr>
            <w:tcW w:w="1257" w:type="dxa"/>
            <w:shd w:val="clear" w:color="auto" w:fill="auto"/>
            <w:vAlign w:val="center"/>
          </w:tcPr>
          <w:p w14:paraId="5EA73E1E" w14:textId="45D52A99" w:rsidR="007E2B09" w:rsidRPr="00DE0D1F" w:rsidRDefault="007E2B09" w:rsidP="00DE0D1F">
            <w:pPr>
              <w:jc w:val="center"/>
              <w:rPr>
                <w:rFonts w:cs="Arial"/>
                <w:color w:val="000000"/>
                <w:sz w:val="22"/>
                <w:szCs w:val="22"/>
                <w:lang w:eastAsia="en-AU"/>
              </w:rPr>
            </w:pPr>
            <w:r>
              <w:rPr>
                <w:rFonts w:cs="Arial"/>
                <w:color w:val="000000"/>
                <w:sz w:val="22"/>
                <w:szCs w:val="22"/>
                <w:lang w:eastAsia="en-AU"/>
              </w:rPr>
              <w:t>Total</w:t>
            </w:r>
          </w:p>
        </w:tc>
      </w:tr>
      <w:tr w:rsidR="007E2B09" w:rsidRPr="00DE0D1F" w14:paraId="5EA73E31" w14:textId="77777777" w:rsidTr="007E2B09">
        <w:trPr>
          <w:trHeight w:val="252"/>
        </w:trPr>
        <w:tc>
          <w:tcPr>
            <w:tcW w:w="5003" w:type="dxa"/>
            <w:shd w:val="clear" w:color="auto" w:fill="auto"/>
            <w:vAlign w:val="center"/>
            <w:hideMark/>
          </w:tcPr>
          <w:p w14:paraId="5EA73E2C" w14:textId="77777777" w:rsidR="007E2B09" w:rsidRPr="00DE0D1F" w:rsidRDefault="007E2B09" w:rsidP="008512C8">
            <w:pPr>
              <w:rPr>
                <w:rFonts w:cs="Arial"/>
                <w:color w:val="000000"/>
                <w:sz w:val="22"/>
                <w:szCs w:val="22"/>
                <w:lang w:eastAsia="en-AU"/>
              </w:rPr>
            </w:pPr>
            <w:r w:rsidRPr="00DE0D1F">
              <w:rPr>
                <w:rFonts w:cs="Arial"/>
                <w:color w:val="000000"/>
                <w:sz w:val="22"/>
                <w:szCs w:val="22"/>
                <w:lang w:eastAsia="en-AU"/>
              </w:rPr>
              <w:t>As at 30 June 201</w:t>
            </w:r>
            <w:r>
              <w:rPr>
                <w:rFonts w:cs="Arial"/>
                <w:color w:val="000000"/>
                <w:sz w:val="22"/>
                <w:szCs w:val="22"/>
                <w:lang w:eastAsia="en-AU"/>
              </w:rPr>
              <w:t>4</w:t>
            </w:r>
          </w:p>
        </w:tc>
        <w:tc>
          <w:tcPr>
            <w:tcW w:w="1261" w:type="dxa"/>
            <w:shd w:val="clear" w:color="auto" w:fill="auto"/>
            <w:vAlign w:val="center"/>
            <w:hideMark/>
          </w:tcPr>
          <w:p w14:paraId="5EA73E2E" w14:textId="77777777" w:rsidR="007E2B09" w:rsidRPr="00DE0D1F" w:rsidRDefault="007E2B09" w:rsidP="00DE0D1F">
            <w:pPr>
              <w:jc w:val="right"/>
              <w:rPr>
                <w:rFonts w:cs="Arial"/>
                <w:color w:val="000000"/>
                <w:sz w:val="22"/>
                <w:szCs w:val="22"/>
                <w:lang w:eastAsia="en-AU"/>
              </w:rPr>
            </w:pPr>
            <w:r w:rsidRPr="00DE0D1F">
              <w:rPr>
                <w:rFonts w:cs="Arial"/>
                <w:color w:val="000000"/>
                <w:sz w:val="22"/>
                <w:szCs w:val="22"/>
                <w:lang w:eastAsia="en-AU"/>
              </w:rPr>
              <w:t>1,173</w:t>
            </w:r>
          </w:p>
        </w:tc>
        <w:tc>
          <w:tcPr>
            <w:tcW w:w="1264" w:type="dxa"/>
            <w:shd w:val="clear" w:color="auto" w:fill="auto"/>
            <w:vAlign w:val="center"/>
            <w:hideMark/>
          </w:tcPr>
          <w:p w14:paraId="5EA73E2F" w14:textId="77777777" w:rsidR="007E2B09" w:rsidRPr="00DE0D1F" w:rsidRDefault="007E2B09" w:rsidP="00DE0D1F">
            <w:pPr>
              <w:jc w:val="right"/>
              <w:rPr>
                <w:rFonts w:cs="Arial"/>
                <w:color w:val="000000"/>
                <w:sz w:val="22"/>
                <w:szCs w:val="22"/>
                <w:lang w:eastAsia="en-AU"/>
              </w:rPr>
            </w:pPr>
            <w:r w:rsidRPr="00DE0D1F">
              <w:rPr>
                <w:rFonts w:cs="Arial"/>
                <w:color w:val="000000"/>
                <w:sz w:val="22"/>
                <w:szCs w:val="22"/>
                <w:lang w:eastAsia="en-AU"/>
              </w:rPr>
              <w:t>440</w:t>
            </w:r>
          </w:p>
        </w:tc>
        <w:tc>
          <w:tcPr>
            <w:tcW w:w="1257" w:type="dxa"/>
            <w:shd w:val="clear" w:color="000000" w:fill="BFBFBF" w:themeFill="background1" w:themeFillShade="BF"/>
            <w:vAlign w:val="center"/>
            <w:hideMark/>
          </w:tcPr>
          <w:p w14:paraId="5EA73E30" w14:textId="77777777" w:rsidR="007E2B09" w:rsidRPr="00DE0D1F" w:rsidRDefault="007E2B09" w:rsidP="00DE0D1F">
            <w:pPr>
              <w:jc w:val="right"/>
              <w:rPr>
                <w:rFonts w:cs="Arial"/>
                <w:color w:val="000000"/>
                <w:sz w:val="22"/>
                <w:szCs w:val="22"/>
                <w:lang w:eastAsia="en-AU"/>
              </w:rPr>
            </w:pPr>
            <w:r w:rsidRPr="00DE0D1F">
              <w:rPr>
                <w:rFonts w:cs="Arial"/>
                <w:color w:val="000000"/>
                <w:sz w:val="22"/>
                <w:szCs w:val="22"/>
                <w:lang w:eastAsia="en-AU"/>
              </w:rPr>
              <w:t>1,613</w:t>
            </w:r>
          </w:p>
        </w:tc>
      </w:tr>
      <w:tr w:rsidR="007E2B09" w:rsidRPr="00DE0D1F" w14:paraId="5EA73E37" w14:textId="77777777" w:rsidTr="007E2B09">
        <w:trPr>
          <w:trHeight w:val="252"/>
        </w:trPr>
        <w:tc>
          <w:tcPr>
            <w:tcW w:w="5003" w:type="dxa"/>
            <w:shd w:val="clear" w:color="auto" w:fill="auto"/>
            <w:vAlign w:val="center"/>
            <w:hideMark/>
          </w:tcPr>
          <w:p w14:paraId="5EA73E32" w14:textId="77777777" w:rsidR="007E2B09" w:rsidRPr="00DE0D1F" w:rsidRDefault="007E2B09" w:rsidP="008512C8">
            <w:pPr>
              <w:rPr>
                <w:rFonts w:cs="Arial"/>
                <w:color w:val="000000"/>
                <w:sz w:val="22"/>
                <w:szCs w:val="22"/>
                <w:lang w:eastAsia="en-AU"/>
              </w:rPr>
            </w:pPr>
            <w:r w:rsidRPr="00DE0D1F">
              <w:rPr>
                <w:rFonts w:cs="Arial"/>
                <w:color w:val="000000"/>
                <w:sz w:val="22"/>
                <w:szCs w:val="22"/>
                <w:lang w:eastAsia="en-AU"/>
              </w:rPr>
              <w:t>As at 30 June 201</w:t>
            </w:r>
            <w:r>
              <w:rPr>
                <w:rFonts w:cs="Arial"/>
                <w:color w:val="000000"/>
                <w:sz w:val="22"/>
                <w:szCs w:val="22"/>
                <w:lang w:eastAsia="en-AU"/>
              </w:rPr>
              <w:t>5</w:t>
            </w:r>
          </w:p>
        </w:tc>
        <w:tc>
          <w:tcPr>
            <w:tcW w:w="1261" w:type="dxa"/>
            <w:shd w:val="clear" w:color="auto" w:fill="auto"/>
            <w:vAlign w:val="center"/>
          </w:tcPr>
          <w:p w14:paraId="5EA73E34" w14:textId="77777777" w:rsidR="007E2B09" w:rsidRPr="00DE0D1F" w:rsidRDefault="007E2B09" w:rsidP="00C0099B">
            <w:pPr>
              <w:jc w:val="right"/>
              <w:rPr>
                <w:rFonts w:cs="Arial"/>
                <w:color w:val="000000"/>
                <w:sz w:val="22"/>
                <w:szCs w:val="22"/>
                <w:lang w:eastAsia="en-AU"/>
              </w:rPr>
            </w:pPr>
            <w:r>
              <w:rPr>
                <w:rFonts w:cs="Arial"/>
                <w:color w:val="000000"/>
                <w:sz w:val="22"/>
                <w:szCs w:val="22"/>
                <w:lang w:eastAsia="en-AU"/>
              </w:rPr>
              <w:t>1,241</w:t>
            </w:r>
          </w:p>
        </w:tc>
        <w:tc>
          <w:tcPr>
            <w:tcW w:w="1264" w:type="dxa"/>
            <w:shd w:val="clear" w:color="auto" w:fill="auto"/>
            <w:vAlign w:val="center"/>
          </w:tcPr>
          <w:p w14:paraId="5EA73E35" w14:textId="77777777" w:rsidR="007E2B09" w:rsidRPr="00DE0D1F" w:rsidRDefault="007E2B09" w:rsidP="002406CA">
            <w:pPr>
              <w:jc w:val="right"/>
              <w:rPr>
                <w:rFonts w:cs="Arial"/>
                <w:color w:val="000000"/>
                <w:sz w:val="22"/>
                <w:szCs w:val="22"/>
                <w:lang w:eastAsia="en-AU"/>
              </w:rPr>
            </w:pPr>
            <w:r>
              <w:rPr>
                <w:rFonts w:cs="Arial"/>
                <w:color w:val="000000"/>
                <w:sz w:val="22"/>
                <w:szCs w:val="22"/>
                <w:lang w:eastAsia="en-AU"/>
              </w:rPr>
              <w:t>2,295</w:t>
            </w:r>
          </w:p>
        </w:tc>
        <w:tc>
          <w:tcPr>
            <w:tcW w:w="1257" w:type="dxa"/>
            <w:shd w:val="clear" w:color="000000" w:fill="BFBFBF" w:themeFill="background1" w:themeFillShade="BF"/>
            <w:vAlign w:val="center"/>
          </w:tcPr>
          <w:p w14:paraId="5EA73E36" w14:textId="77777777" w:rsidR="007E2B09" w:rsidRPr="00DE0D1F" w:rsidRDefault="007E2B09" w:rsidP="00DE0D1F">
            <w:pPr>
              <w:jc w:val="right"/>
              <w:rPr>
                <w:rFonts w:cs="Arial"/>
                <w:color w:val="000000"/>
                <w:sz w:val="22"/>
                <w:szCs w:val="22"/>
                <w:lang w:eastAsia="en-AU"/>
              </w:rPr>
            </w:pPr>
            <w:r>
              <w:rPr>
                <w:rFonts w:cs="Arial"/>
                <w:color w:val="000000"/>
                <w:sz w:val="22"/>
                <w:szCs w:val="22"/>
                <w:lang w:eastAsia="en-AU"/>
              </w:rPr>
              <w:t>3,536</w:t>
            </w:r>
          </w:p>
        </w:tc>
      </w:tr>
    </w:tbl>
    <w:p w14:paraId="2DD469BD" w14:textId="48E94F1A" w:rsidR="0010110B" w:rsidRDefault="0010110B"/>
    <w:p w14:paraId="398C7150" w14:textId="0D6E0B80" w:rsidR="0010110B" w:rsidRPr="0010110B" w:rsidRDefault="0010110B" w:rsidP="00BF287B">
      <w:pPr>
        <w:pStyle w:val="Heading1"/>
      </w:pPr>
      <w:bookmarkStart w:id="319" w:name="_Toc430613768"/>
      <w:r w:rsidRPr="0010110B">
        <w:t xml:space="preserve">Note 15: </w:t>
      </w:r>
      <w:r w:rsidRPr="0010110B">
        <w:rPr>
          <w:lang w:eastAsia="en-AU"/>
        </w:rPr>
        <w:t>Trade and other payables</w:t>
      </w:r>
      <w:bookmarkEnd w:id="319"/>
      <w:r w:rsidRPr="0010110B">
        <w:rPr>
          <w:lang w:eastAsia="en-AU"/>
        </w:rPr>
        <w:t xml:space="preserve">  </w:t>
      </w:r>
    </w:p>
    <w:p w14:paraId="7D41CBB8" w14:textId="77777777" w:rsidR="007E2B09" w:rsidRPr="004444B5" w:rsidRDefault="007E2B09" w:rsidP="007E2B09">
      <w:pPr>
        <w:rPr>
          <w:rFonts w:cs="Arial"/>
          <w:color w:val="000000"/>
          <w:sz w:val="22"/>
          <w:szCs w:val="22"/>
          <w:u w:val="single"/>
          <w:lang w:eastAsia="en-AU"/>
        </w:rPr>
      </w:pPr>
      <w:r w:rsidRPr="004444B5">
        <w:rPr>
          <w:rFonts w:cs="Arial"/>
          <w:color w:val="000000"/>
          <w:sz w:val="22"/>
          <w:szCs w:val="22"/>
          <w:u w:val="single"/>
          <w:lang w:eastAsia="en-AU"/>
        </w:rPr>
        <w:t>Current</w:t>
      </w:r>
    </w:p>
    <w:tbl>
      <w:tblPr>
        <w:tblW w:w="7524" w:type="dxa"/>
        <w:tblInd w:w="108" w:type="dxa"/>
        <w:tblLook w:val="04A0" w:firstRow="1" w:lastRow="0" w:firstColumn="1" w:lastColumn="0" w:noHBand="0" w:noVBand="1"/>
      </w:tblPr>
      <w:tblGrid>
        <w:gridCol w:w="5003"/>
        <w:gridCol w:w="1264"/>
        <w:gridCol w:w="1257"/>
      </w:tblGrid>
      <w:tr w:rsidR="007E2B09" w:rsidRPr="00DE0D1F" w14:paraId="5EA73E5C" w14:textId="77777777" w:rsidTr="007E2B09">
        <w:trPr>
          <w:trHeight w:val="252"/>
          <w:tblHeader/>
        </w:trPr>
        <w:tc>
          <w:tcPr>
            <w:tcW w:w="5003" w:type="dxa"/>
            <w:shd w:val="clear" w:color="auto" w:fill="auto"/>
            <w:vAlign w:val="center"/>
            <w:hideMark/>
          </w:tcPr>
          <w:p w14:paraId="5EA73E57" w14:textId="77777777" w:rsidR="007E2B09" w:rsidRPr="00DE0D1F" w:rsidRDefault="007E2B09" w:rsidP="007E2B09">
            <w:pPr>
              <w:rPr>
                <w:rFonts w:cs="Arial"/>
                <w:color w:val="000000"/>
                <w:sz w:val="22"/>
                <w:szCs w:val="22"/>
                <w:lang w:eastAsia="en-AU"/>
              </w:rPr>
            </w:pPr>
            <w:bookmarkStart w:id="320" w:name="Table_46"/>
            <w:bookmarkEnd w:id="320"/>
          </w:p>
        </w:tc>
        <w:tc>
          <w:tcPr>
            <w:tcW w:w="1264" w:type="dxa"/>
            <w:shd w:val="clear" w:color="000000" w:fill="BFBFBF" w:themeFill="background1" w:themeFillShade="BF"/>
            <w:vAlign w:val="center"/>
            <w:hideMark/>
          </w:tcPr>
          <w:p w14:paraId="5EA73E5A" w14:textId="4A7942E5" w:rsidR="007E2B09" w:rsidRPr="007E2B09" w:rsidRDefault="007E2B09" w:rsidP="00DE0D1F">
            <w:pPr>
              <w:jc w:val="right"/>
              <w:rPr>
                <w:rFonts w:cs="Arial"/>
                <w:b/>
                <w:color w:val="000000"/>
                <w:sz w:val="22"/>
                <w:szCs w:val="22"/>
                <w:lang w:eastAsia="en-AU"/>
              </w:rPr>
            </w:pPr>
            <w:r w:rsidRPr="007E2B09">
              <w:rPr>
                <w:rFonts w:cs="Arial"/>
                <w:b/>
                <w:color w:val="000000"/>
                <w:sz w:val="22"/>
                <w:szCs w:val="22"/>
                <w:lang w:eastAsia="en-AU"/>
              </w:rPr>
              <w:t>2015</w:t>
            </w:r>
          </w:p>
        </w:tc>
        <w:tc>
          <w:tcPr>
            <w:tcW w:w="1257" w:type="dxa"/>
            <w:shd w:val="clear" w:color="auto" w:fill="auto"/>
            <w:vAlign w:val="center"/>
            <w:hideMark/>
          </w:tcPr>
          <w:p w14:paraId="5EA73E5B" w14:textId="29081E37" w:rsidR="007E2B09" w:rsidRPr="00DE0D1F" w:rsidRDefault="007E2B09" w:rsidP="00DE0D1F">
            <w:pPr>
              <w:jc w:val="right"/>
              <w:rPr>
                <w:rFonts w:cs="Arial"/>
                <w:color w:val="000000"/>
                <w:sz w:val="22"/>
                <w:szCs w:val="22"/>
                <w:lang w:eastAsia="en-AU"/>
              </w:rPr>
            </w:pPr>
            <w:r>
              <w:rPr>
                <w:rFonts w:cs="Arial"/>
                <w:color w:val="000000"/>
                <w:sz w:val="22"/>
                <w:szCs w:val="22"/>
                <w:lang w:eastAsia="en-AU"/>
              </w:rPr>
              <w:t>2014</w:t>
            </w:r>
          </w:p>
        </w:tc>
      </w:tr>
      <w:tr w:rsidR="007E2B09" w:rsidRPr="00DE0D1F" w14:paraId="5EA73E62" w14:textId="77777777" w:rsidTr="007E2B09">
        <w:trPr>
          <w:trHeight w:val="252"/>
        </w:trPr>
        <w:tc>
          <w:tcPr>
            <w:tcW w:w="5003" w:type="dxa"/>
            <w:shd w:val="clear" w:color="auto" w:fill="auto"/>
            <w:vAlign w:val="center"/>
            <w:hideMark/>
          </w:tcPr>
          <w:p w14:paraId="5EA73E5D" w14:textId="77777777" w:rsidR="007E2B09" w:rsidRPr="00DE0D1F" w:rsidRDefault="007E2B09" w:rsidP="00DE0D1F">
            <w:pPr>
              <w:rPr>
                <w:rFonts w:cs="Arial"/>
                <w:color w:val="000000"/>
                <w:sz w:val="22"/>
                <w:szCs w:val="22"/>
                <w:lang w:eastAsia="en-AU"/>
              </w:rPr>
            </w:pPr>
            <w:r w:rsidRPr="00DE0D1F">
              <w:rPr>
                <w:rFonts w:cs="Arial"/>
                <w:color w:val="000000"/>
                <w:sz w:val="22"/>
                <w:szCs w:val="22"/>
                <w:lang w:eastAsia="en-AU"/>
              </w:rPr>
              <w:t xml:space="preserve">Trade payables </w:t>
            </w:r>
            <w:r w:rsidRPr="00DE0D1F">
              <w:rPr>
                <w:rFonts w:cs="Arial"/>
                <w:color w:val="000000"/>
                <w:sz w:val="22"/>
                <w:szCs w:val="22"/>
                <w:vertAlign w:val="superscript"/>
                <w:lang w:eastAsia="en-AU"/>
              </w:rPr>
              <w:t>(</w:t>
            </w:r>
            <w:proofErr w:type="spellStart"/>
            <w:r w:rsidRPr="00DE0D1F">
              <w:rPr>
                <w:rFonts w:cs="Arial"/>
                <w:color w:val="000000"/>
                <w:sz w:val="22"/>
                <w:szCs w:val="22"/>
                <w:vertAlign w:val="superscript"/>
                <w:lang w:eastAsia="en-AU"/>
              </w:rPr>
              <w:t>i</w:t>
            </w:r>
            <w:proofErr w:type="spellEnd"/>
            <w:r w:rsidRPr="00DE0D1F">
              <w:rPr>
                <w:rFonts w:cs="Arial"/>
                <w:color w:val="000000"/>
                <w:sz w:val="22"/>
                <w:szCs w:val="22"/>
                <w:vertAlign w:val="superscript"/>
                <w:lang w:eastAsia="en-AU"/>
              </w:rPr>
              <w:t>)</w:t>
            </w:r>
          </w:p>
        </w:tc>
        <w:tc>
          <w:tcPr>
            <w:tcW w:w="1264" w:type="dxa"/>
            <w:shd w:val="clear" w:color="000000" w:fill="BFBFBF" w:themeFill="background1" w:themeFillShade="BF"/>
            <w:vAlign w:val="center"/>
          </w:tcPr>
          <w:p w14:paraId="5EA73E60" w14:textId="77777777" w:rsidR="007E2B09" w:rsidRPr="00DE0D1F" w:rsidRDefault="007E2B09" w:rsidP="00DE0D1F">
            <w:pPr>
              <w:jc w:val="right"/>
              <w:rPr>
                <w:rFonts w:cs="Arial"/>
                <w:color w:val="000000"/>
                <w:sz w:val="22"/>
                <w:szCs w:val="22"/>
                <w:lang w:eastAsia="en-AU"/>
              </w:rPr>
            </w:pPr>
            <w:r>
              <w:rPr>
                <w:rFonts w:cs="Arial"/>
                <w:color w:val="000000"/>
                <w:sz w:val="22"/>
                <w:szCs w:val="22"/>
                <w:lang w:eastAsia="en-AU"/>
              </w:rPr>
              <w:t>601</w:t>
            </w:r>
          </w:p>
        </w:tc>
        <w:tc>
          <w:tcPr>
            <w:tcW w:w="1257" w:type="dxa"/>
            <w:shd w:val="clear" w:color="auto" w:fill="auto"/>
            <w:vAlign w:val="center"/>
            <w:hideMark/>
          </w:tcPr>
          <w:p w14:paraId="5EA73E61" w14:textId="77777777" w:rsidR="007E2B09" w:rsidRPr="00DE0D1F" w:rsidRDefault="007E2B09" w:rsidP="00DE0D1F">
            <w:pPr>
              <w:jc w:val="right"/>
              <w:rPr>
                <w:rFonts w:cs="Arial"/>
                <w:color w:val="000000"/>
                <w:sz w:val="22"/>
                <w:szCs w:val="22"/>
                <w:lang w:eastAsia="en-AU"/>
              </w:rPr>
            </w:pPr>
            <w:r w:rsidRPr="00DE0D1F">
              <w:rPr>
                <w:rFonts w:cs="Arial"/>
                <w:color w:val="000000"/>
                <w:sz w:val="22"/>
                <w:szCs w:val="22"/>
                <w:lang w:eastAsia="en-AU"/>
              </w:rPr>
              <w:t>779</w:t>
            </w:r>
          </w:p>
        </w:tc>
      </w:tr>
      <w:tr w:rsidR="007E2B09" w:rsidRPr="00DE0D1F" w14:paraId="5EA73E68" w14:textId="77777777" w:rsidTr="007E2B09">
        <w:trPr>
          <w:trHeight w:val="252"/>
        </w:trPr>
        <w:tc>
          <w:tcPr>
            <w:tcW w:w="5003" w:type="dxa"/>
            <w:shd w:val="clear" w:color="auto" w:fill="auto"/>
            <w:vAlign w:val="center"/>
            <w:hideMark/>
          </w:tcPr>
          <w:p w14:paraId="5EA73E63" w14:textId="77777777" w:rsidR="007E2B09" w:rsidRPr="00DE0D1F" w:rsidRDefault="007E2B09" w:rsidP="00DE0D1F">
            <w:pPr>
              <w:rPr>
                <w:rFonts w:cs="Arial"/>
                <w:color w:val="000000"/>
                <w:sz w:val="22"/>
                <w:szCs w:val="22"/>
                <w:lang w:eastAsia="en-AU"/>
              </w:rPr>
            </w:pPr>
            <w:r w:rsidRPr="00DE0D1F">
              <w:rPr>
                <w:rFonts w:cs="Arial"/>
                <w:color w:val="000000"/>
                <w:sz w:val="22"/>
                <w:szCs w:val="22"/>
                <w:lang w:eastAsia="en-AU"/>
              </w:rPr>
              <w:t>Net goods and services tax payable</w:t>
            </w:r>
          </w:p>
        </w:tc>
        <w:tc>
          <w:tcPr>
            <w:tcW w:w="1264" w:type="dxa"/>
            <w:shd w:val="clear" w:color="000000" w:fill="BFBFBF" w:themeFill="background1" w:themeFillShade="BF"/>
          </w:tcPr>
          <w:p w14:paraId="5EA73E66" w14:textId="2680E41B" w:rsidR="007E2B09" w:rsidRPr="00DE0D1F" w:rsidRDefault="007E2B09">
            <w:pPr>
              <w:jc w:val="right"/>
              <w:rPr>
                <w:rFonts w:cs="Arial"/>
                <w:color w:val="000000"/>
                <w:sz w:val="22"/>
                <w:szCs w:val="22"/>
                <w:lang w:eastAsia="en-AU"/>
              </w:rPr>
            </w:pPr>
            <w:r>
              <w:rPr>
                <w:rFonts w:cs="Arial"/>
                <w:color w:val="000000"/>
                <w:sz w:val="22"/>
                <w:szCs w:val="22"/>
                <w:lang w:eastAsia="en-AU"/>
              </w:rPr>
              <w:t>0</w:t>
            </w:r>
          </w:p>
        </w:tc>
        <w:tc>
          <w:tcPr>
            <w:tcW w:w="1257" w:type="dxa"/>
            <w:shd w:val="clear" w:color="auto" w:fill="auto"/>
            <w:hideMark/>
          </w:tcPr>
          <w:p w14:paraId="5EA73E67" w14:textId="77777777" w:rsidR="007E2B09" w:rsidRPr="00DE0D1F" w:rsidRDefault="007E2B09" w:rsidP="004444B5">
            <w:pPr>
              <w:jc w:val="right"/>
              <w:rPr>
                <w:rFonts w:cs="Arial"/>
                <w:color w:val="000000"/>
                <w:sz w:val="22"/>
                <w:szCs w:val="22"/>
                <w:lang w:eastAsia="en-AU"/>
              </w:rPr>
            </w:pPr>
            <w:r>
              <w:rPr>
                <w:rFonts w:cs="Arial"/>
                <w:color w:val="000000"/>
                <w:sz w:val="22"/>
                <w:szCs w:val="22"/>
                <w:lang w:eastAsia="en-AU"/>
              </w:rPr>
              <w:t>1</w:t>
            </w:r>
            <w:r w:rsidRPr="00DE0D1F">
              <w:rPr>
                <w:rFonts w:cs="Arial"/>
                <w:color w:val="000000"/>
                <w:sz w:val="22"/>
                <w:szCs w:val="22"/>
                <w:lang w:eastAsia="en-AU"/>
              </w:rPr>
              <w:t xml:space="preserve">69 </w:t>
            </w:r>
          </w:p>
        </w:tc>
      </w:tr>
      <w:tr w:rsidR="007E2B09" w:rsidRPr="00DE0D1F" w14:paraId="5EA73E6E" w14:textId="77777777" w:rsidTr="007E2B09">
        <w:trPr>
          <w:trHeight w:val="252"/>
        </w:trPr>
        <w:tc>
          <w:tcPr>
            <w:tcW w:w="5003" w:type="dxa"/>
            <w:shd w:val="clear" w:color="auto" w:fill="auto"/>
            <w:vAlign w:val="center"/>
            <w:hideMark/>
          </w:tcPr>
          <w:p w14:paraId="5EA73E69" w14:textId="77777777" w:rsidR="007E2B09" w:rsidRPr="00DE0D1F" w:rsidRDefault="007E2B09" w:rsidP="00DE0D1F">
            <w:pPr>
              <w:rPr>
                <w:rFonts w:cs="Arial"/>
                <w:color w:val="000000"/>
                <w:sz w:val="22"/>
                <w:szCs w:val="22"/>
                <w:lang w:eastAsia="en-AU"/>
              </w:rPr>
            </w:pPr>
            <w:r w:rsidRPr="00DE0D1F">
              <w:rPr>
                <w:rFonts w:cs="Arial"/>
                <w:color w:val="000000"/>
                <w:sz w:val="22"/>
                <w:szCs w:val="22"/>
                <w:lang w:eastAsia="en-AU"/>
              </w:rPr>
              <w:t>Other creditors and accrued expenses</w:t>
            </w:r>
          </w:p>
        </w:tc>
        <w:tc>
          <w:tcPr>
            <w:tcW w:w="1264" w:type="dxa"/>
            <w:shd w:val="clear" w:color="000000" w:fill="BFBFBF" w:themeFill="background1" w:themeFillShade="BF"/>
            <w:vAlign w:val="center"/>
          </w:tcPr>
          <w:p w14:paraId="5EA73E6C" w14:textId="77777777" w:rsidR="007E2B09" w:rsidRPr="00DE0D1F" w:rsidRDefault="007E2B09" w:rsidP="00E3061B">
            <w:pPr>
              <w:jc w:val="right"/>
              <w:rPr>
                <w:rFonts w:cs="Arial"/>
                <w:color w:val="000000"/>
                <w:sz w:val="22"/>
                <w:szCs w:val="22"/>
                <w:lang w:eastAsia="en-AU"/>
              </w:rPr>
            </w:pPr>
            <w:r>
              <w:rPr>
                <w:rFonts w:cs="Arial"/>
                <w:color w:val="000000"/>
                <w:sz w:val="22"/>
                <w:szCs w:val="22"/>
                <w:lang w:eastAsia="en-AU"/>
              </w:rPr>
              <w:t>7,385</w:t>
            </w:r>
          </w:p>
        </w:tc>
        <w:tc>
          <w:tcPr>
            <w:tcW w:w="1257" w:type="dxa"/>
            <w:shd w:val="clear" w:color="auto" w:fill="auto"/>
            <w:vAlign w:val="center"/>
            <w:hideMark/>
          </w:tcPr>
          <w:p w14:paraId="5EA73E6D" w14:textId="77777777" w:rsidR="007E2B09" w:rsidRPr="00DE0D1F" w:rsidRDefault="007E2B09" w:rsidP="00DE0D1F">
            <w:pPr>
              <w:jc w:val="right"/>
              <w:rPr>
                <w:rFonts w:cs="Arial"/>
                <w:color w:val="000000"/>
                <w:sz w:val="22"/>
                <w:szCs w:val="22"/>
                <w:lang w:eastAsia="en-AU"/>
              </w:rPr>
            </w:pPr>
            <w:r w:rsidRPr="00DE0D1F">
              <w:rPr>
                <w:rFonts w:cs="Arial"/>
                <w:color w:val="000000"/>
                <w:sz w:val="22"/>
                <w:szCs w:val="22"/>
                <w:lang w:eastAsia="en-AU"/>
              </w:rPr>
              <w:t>6,339</w:t>
            </w:r>
          </w:p>
        </w:tc>
      </w:tr>
      <w:tr w:rsidR="007E2B09" w:rsidRPr="00DE0D1F" w14:paraId="5EA73E74" w14:textId="77777777" w:rsidTr="007E2B09">
        <w:trPr>
          <w:trHeight w:val="252"/>
        </w:trPr>
        <w:tc>
          <w:tcPr>
            <w:tcW w:w="5003" w:type="dxa"/>
            <w:shd w:val="clear" w:color="auto" w:fill="auto"/>
            <w:vAlign w:val="center"/>
            <w:hideMark/>
          </w:tcPr>
          <w:p w14:paraId="5EA73E6F" w14:textId="3E936B02" w:rsidR="007E2B09" w:rsidRPr="00DE0D1F" w:rsidRDefault="007E2B09" w:rsidP="00DE0D1F">
            <w:pPr>
              <w:rPr>
                <w:rFonts w:cs="Arial"/>
                <w:color w:val="000000"/>
                <w:sz w:val="22"/>
                <w:szCs w:val="22"/>
                <w:lang w:eastAsia="en-AU"/>
              </w:rPr>
            </w:pPr>
            <w:r>
              <w:rPr>
                <w:rFonts w:cs="Arial"/>
                <w:color w:val="000000"/>
                <w:sz w:val="22"/>
                <w:szCs w:val="22"/>
                <w:lang w:eastAsia="en-AU"/>
              </w:rPr>
              <w:t>Total</w:t>
            </w:r>
          </w:p>
        </w:tc>
        <w:tc>
          <w:tcPr>
            <w:tcW w:w="1264" w:type="dxa"/>
            <w:shd w:val="clear" w:color="000000" w:fill="BFBFBF" w:themeFill="background1" w:themeFillShade="BF"/>
            <w:vAlign w:val="center"/>
          </w:tcPr>
          <w:p w14:paraId="5EA73E72" w14:textId="08843297" w:rsidR="007E2B09" w:rsidRPr="00DE0D1F" w:rsidRDefault="007E2B09">
            <w:pPr>
              <w:jc w:val="right"/>
              <w:rPr>
                <w:rFonts w:cs="Arial"/>
                <w:color w:val="000000"/>
                <w:sz w:val="22"/>
                <w:szCs w:val="22"/>
                <w:lang w:eastAsia="en-AU"/>
              </w:rPr>
            </w:pPr>
            <w:r>
              <w:rPr>
                <w:rFonts w:cs="Arial"/>
                <w:color w:val="000000"/>
                <w:sz w:val="22"/>
                <w:szCs w:val="22"/>
                <w:lang w:eastAsia="en-AU"/>
              </w:rPr>
              <w:t>7,986</w:t>
            </w:r>
          </w:p>
        </w:tc>
        <w:tc>
          <w:tcPr>
            <w:tcW w:w="1257" w:type="dxa"/>
            <w:shd w:val="clear" w:color="auto" w:fill="auto"/>
            <w:vAlign w:val="center"/>
            <w:hideMark/>
          </w:tcPr>
          <w:p w14:paraId="5EA73E73" w14:textId="77777777" w:rsidR="007E2B09" w:rsidRPr="00DE0D1F" w:rsidRDefault="007E2B09" w:rsidP="00DE0D1F">
            <w:pPr>
              <w:jc w:val="right"/>
              <w:rPr>
                <w:rFonts w:cs="Arial"/>
                <w:color w:val="000000"/>
                <w:sz w:val="22"/>
                <w:szCs w:val="22"/>
                <w:lang w:eastAsia="en-AU"/>
              </w:rPr>
            </w:pPr>
            <w:r w:rsidRPr="00DE0D1F">
              <w:rPr>
                <w:rFonts w:cs="Arial"/>
                <w:color w:val="000000"/>
                <w:sz w:val="22"/>
                <w:szCs w:val="22"/>
                <w:lang w:eastAsia="en-AU"/>
              </w:rPr>
              <w:t>7,287</w:t>
            </w:r>
          </w:p>
        </w:tc>
      </w:tr>
    </w:tbl>
    <w:p w14:paraId="25F8DC0B" w14:textId="77777777" w:rsidR="007E2B09" w:rsidRDefault="007E2B09" w:rsidP="007E2B09">
      <w:pPr>
        <w:rPr>
          <w:rFonts w:cs="Arial"/>
          <w:color w:val="000000"/>
          <w:sz w:val="22"/>
          <w:szCs w:val="22"/>
          <w:u w:val="single"/>
          <w:lang w:eastAsia="en-AU"/>
        </w:rPr>
      </w:pPr>
    </w:p>
    <w:p w14:paraId="456DF265" w14:textId="77777777" w:rsidR="007E2B09" w:rsidRPr="004444B5" w:rsidRDefault="007E2B09" w:rsidP="007E2B09">
      <w:pPr>
        <w:rPr>
          <w:rFonts w:cs="Arial"/>
          <w:color w:val="000000"/>
          <w:sz w:val="22"/>
          <w:szCs w:val="22"/>
          <w:u w:val="single"/>
          <w:lang w:eastAsia="en-AU"/>
        </w:rPr>
      </w:pPr>
      <w:r w:rsidRPr="004444B5">
        <w:rPr>
          <w:rFonts w:cs="Arial"/>
          <w:color w:val="000000"/>
          <w:sz w:val="22"/>
          <w:szCs w:val="22"/>
          <w:u w:val="single"/>
          <w:lang w:eastAsia="en-AU"/>
        </w:rPr>
        <w:t>Non-current</w:t>
      </w:r>
    </w:p>
    <w:tbl>
      <w:tblPr>
        <w:tblW w:w="7524" w:type="dxa"/>
        <w:tblInd w:w="108" w:type="dxa"/>
        <w:tblLook w:val="04A0" w:firstRow="1" w:lastRow="0" w:firstColumn="1" w:lastColumn="0" w:noHBand="0" w:noVBand="1"/>
      </w:tblPr>
      <w:tblGrid>
        <w:gridCol w:w="5003"/>
        <w:gridCol w:w="1264"/>
        <w:gridCol w:w="1257"/>
      </w:tblGrid>
      <w:tr w:rsidR="007E2B09" w:rsidRPr="00DE0D1F" w14:paraId="5EA73E7B" w14:textId="77777777" w:rsidTr="007E2B09">
        <w:trPr>
          <w:trHeight w:val="252"/>
          <w:tblHeader/>
        </w:trPr>
        <w:tc>
          <w:tcPr>
            <w:tcW w:w="5003" w:type="dxa"/>
            <w:shd w:val="clear" w:color="auto" w:fill="auto"/>
            <w:vAlign w:val="center"/>
            <w:hideMark/>
          </w:tcPr>
          <w:p w14:paraId="5EA73E76" w14:textId="77777777" w:rsidR="007E2B09" w:rsidRPr="00DE0D1F" w:rsidRDefault="007E2B09" w:rsidP="007E2B09">
            <w:pPr>
              <w:rPr>
                <w:rFonts w:cs="Arial"/>
                <w:color w:val="000000"/>
                <w:sz w:val="22"/>
                <w:szCs w:val="22"/>
                <w:lang w:eastAsia="en-AU"/>
              </w:rPr>
            </w:pPr>
            <w:bookmarkStart w:id="321" w:name="Table_47"/>
            <w:bookmarkEnd w:id="321"/>
          </w:p>
        </w:tc>
        <w:tc>
          <w:tcPr>
            <w:tcW w:w="1264" w:type="dxa"/>
            <w:shd w:val="clear" w:color="000000" w:fill="BFBFBF" w:themeFill="background1" w:themeFillShade="BF"/>
            <w:vAlign w:val="center"/>
          </w:tcPr>
          <w:p w14:paraId="5EA73E79" w14:textId="1E12B029" w:rsidR="007E2B09" w:rsidRPr="007E2B09" w:rsidRDefault="007E2B09" w:rsidP="00DE0D1F">
            <w:pPr>
              <w:jc w:val="right"/>
              <w:rPr>
                <w:rFonts w:cs="Arial"/>
                <w:b/>
                <w:color w:val="000000"/>
                <w:sz w:val="22"/>
                <w:szCs w:val="22"/>
                <w:lang w:eastAsia="en-AU"/>
              </w:rPr>
            </w:pPr>
            <w:r w:rsidRPr="007E2B09">
              <w:rPr>
                <w:rFonts w:cs="Arial"/>
                <w:b/>
                <w:color w:val="000000"/>
                <w:sz w:val="22"/>
                <w:szCs w:val="22"/>
                <w:lang w:eastAsia="en-AU"/>
              </w:rPr>
              <w:t>2015</w:t>
            </w:r>
          </w:p>
        </w:tc>
        <w:tc>
          <w:tcPr>
            <w:tcW w:w="1257" w:type="dxa"/>
            <w:shd w:val="clear" w:color="auto" w:fill="auto"/>
            <w:vAlign w:val="center"/>
            <w:hideMark/>
          </w:tcPr>
          <w:p w14:paraId="5EA73E7A" w14:textId="79CD0612" w:rsidR="007E2B09" w:rsidRPr="00DE0D1F" w:rsidRDefault="007E2B09" w:rsidP="00DE0D1F">
            <w:pPr>
              <w:jc w:val="right"/>
              <w:rPr>
                <w:rFonts w:cs="Arial"/>
                <w:color w:val="000000"/>
                <w:sz w:val="22"/>
                <w:szCs w:val="22"/>
                <w:lang w:eastAsia="en-AU"/>
              </w:rPr>
            </w:pPr>
            <w:r>
              <w:rPr>
                <w:rFonts w:cs="Arial"/>
                <w:color w:val="000000"/>
                <w:sz w:val="22"/>
                <w:szCs w:val="22"/>
                <w:lang w:eastAsia="en-AU"/>
              </w:rPr>
              <w:t>2014</w:t>
            </w:r>
          </w:p>
        </w:tc>
      </w:tr>
      <w:tr w:rsidR="007E2B09" w:rsidRPr="00DE0D1F" w14:paraId="5EA73E81" w14:textId="77777777" w:rsidTr="007E2B09">
        <w:trPr>
          <w:trHeight w:val="252"/>
        </w:trPr>
        <w:tc>
          <w:tcPr>
            <w:tcW w:w="5003" w:type="dxa"/>
            <w:shd w:val="clear" w:color="auto" w:fill="auto"/>
            <w:vAlign w:val="center"/>
            <w:hideMark/>
          </w:tcPr>
          <w:p w14:paraId="5EA73E7C" w14:textId="77777777" w:rsidR="007E2B09" w:rsidRPr="00DE0D1F" w:rsidRDefault="007E2B09" w:rsidP="00DE0D1F">
            <w:pPr>
              <w:rPr>
                <w:rFonts w:cs="Arial"/>
                <w:color w:val="000000"/>
                <w:sz w:val="22"/>
                <w:szCs w:val="22"/>
                <w:lang w:eastAsia="en-AU"/>
              </w:rPr>
            </w:pPr>
            <w:r w:rsidRPr="00DE0D1F">
              <w:rPr>
                <w:rFonts w:cs="Arial"/>
                <w:color w:val="000000"/>
                <w:sz w:val="22"/>
                <w:szCs w:val="22"/>
                <w:lang w:eastAsia="en-AU"/>
              </w:rPr>
              <w:t>Endowment and scholarship funds</w:t>
            </w:r>
          </w:p>
        </w:tc>
        <w:tc>
          <w:tcPr>
            <w:tcW w:w="1264" w:type="dxa"/>
            <w:shd w:val="clear" w:color="000000" w:fill="BFBFBF" w:themeFill="background1" w:themeFillShade="BF"/>
            <w:vAlign w:val="center"/>
          </w:tcPr>
          <w:p w14:paraId="5EA73E7F" w14:textId="77777777" w:rsidR="007E2B09" w:rsidRPr="00DE0D1F" w:rsidRDefault="007E2B09" w:rsidP="00DE0D1F">
            <w:pPr>
              <w:jc w:val="right"/>
              <w:rPr>
                <w:rFonts w:cs="Arial"/>
                <w:color w:val="000000"/>
                <w:sz w:val="22"/>
                <w:szCs w:val="22"/>
                <w:lang w:eastAsia="en-AU"/>
              </w:rPr>
            </w:pPr>
            <w:r>
              <w:rPr>
                <w:rFonts w:cs="Arial"/>
                <w:color w:val="000000"/>
                <w:sz w:val="22"/>
                <w:szCs w:val="22"/>
                <w:lang w:eastAsia="en-AU"/>
              </w:rPr>
              <w:t>3</w:t>
            </w:r>
          </w:p>
        </w:tc>
        <w:tc>
          <w:tcPr>
            <w:tcW w:w="1257" w:type="dxa"/>
            <w:shd w:val="clear" w:color="auto" w:fill="auto"/>
            <w:vAlign w:val="center"/>
            <w:hideMark/>
          </w:tcPr>
          <w:p w14:paraId="5EA73E80" w14:textId="77777777" w:rsidR="007E2B09" w:rsidRPr="00DE0D1F" w:rsidRDefault="007E2B09" w:rsidP="00DE0D1F">
            <w:pPr>
              <w:jc w:val="right"/>
              <w:rPr>
                <w:rFonts w:cs="Arial"/>
                <w:color w:val="000000"/>
                <w:sz w:val="22"/>
                <w:szCs w:val="22"/>
                <w:lang w:eastAsia="en-AU"/>
              </w:rPr>
            </w:pPr>
            <w:r w:rsidRPr="00DE0D1F">
              <w:rPr>
                <w:rFonts w:cs="Arial"/>
                <w:color w:val="000000"/>
                <w:sz w:val="22"/>
                <w:szCs w:val="22"/>
                <w:lang w:eastAsia="en-AU"/>
              </w:rPr>
              <w:t>3</w:t>
            </w:r>
          </w:p>
        </w:tc>
      </w:tr>
      <w:tr w:rsidR="007E2B09" w:rsidRPr="00DE0D1F" w14:paraId="5EA73E87" w14:textId="77777777" w:rsidTr="007E2B09">
        <w:trPr>
          <w:trHeight w:val="252"/>
        </w:trPr>
        <w:tc>
          <w:tcPr>
            <w:tcW w:w="5003" w:type="dxa"/>
            <w:shd w:val="clear" w:color="auto" w:fill="auto"/>
            <w:vAlign w:val="center"/>
            <w:hideMark/>
          </w:tcPr>
          <w:p w14:paraId="5EA73E82" w14:textId="276A92EE" w:rsidR="007E2B09" w:rsidRPr="00DE0D1F" w:rsidRDefault="007E2B09" w:rsidP="00DE0D1F">
            <w:pPr>
              <w:rPr>
                <w:rFonts w:cs="Arial"/>
                <w:color w:val="000000"/>
                <w:sz w:val="22"/>
                <w:szCs w:val="22"/>
                <w:lang w:eastAsia="en-AU"/>
              </w:rPr>
            </w:pPr>
            <w:r>
              <w:rPr>
                <w:rFonts w:cs="Arial"/>
                <w:color w:val="000000"/>
                <w:sz w:val="22"/>
                <w:szCs w:val="22"/>
                <w:lang w:eastAsia="en-AU"/>
              </w:rPr>
              <w:t>Total</w:t>
            </w:r>
          </w:p>
        </w:tc>
        <w:tc>
          <w:tcPr>
            <w:tcW w:w="1264" w:type="dxa"/>
            <w:shd w:val="clear" w:color="000000" w:fill="BFBFBF" w:themeFill="background1" w:themeFillShade="BF"/>
            <w:vAlign w:val="center"/>
          </w:tcPr>
          <w:p w14:paraId="5EA73E85" w14:textId="77777777" w:rsidR="007E2B09" w:rsidRPr="00DE0D1F" w:rsidRDefault="007E2B09" w:rsidP="00DE0D1F">
            <w:pPr>
              <w:jc w:val="right"/>
              <w:rPr>
                <w:rFonts w:cs="Arial"/>
                <w:color w:val="000000"/>
                <w:sz w:val="22"/>
                <w:szCs w:val="22"/>
                <w:lang w:eastAsia="en-AU"/>
              </w:rPr>
            </w:pPr>
            <w:r>
              <w:rPr>
                <w:rFonts w:cs="Arial"/>
                <w:color w:val="000000"/>
                <w:sz w:val="22"/>
                <w:szCs w:val="22"/>
                <w:lang w:eastAsia="en-AU"/>
              </w:rPr>
              <w:t>3</w:t>
            </w:r>
          </w:p>
        </w:tc>
        <w:tc>
          <w:tcPr>
            <w:tcW w:w="1257" w:type="dxa"/>
            <w:shd w:val="clear" w:color="auto" w:fill="auto"/>
            <w:vAlign w:val="center"/>
            <w:hideMark/>
          </w:tcPr>
          <w:p w14:paraId="5EA73E86" w14:textId="77777777" w:rsidR="007E2B09" w:rsidRPr="00DE0D1F" w:rsidRDefault="007E2B09" w:rsidP="00DE0D1F">
            <w:pPr>
              <w:jc w:val="right"/>
              <w:rPr>
                <w:rFonts w:cs="Arial"/>
                <w:color w:val="000000"/>
                <w:sz w:val="22"/>
                <w:szCs w:val="22"/>
                <w:lang w:eastAsia="en-AU"/>
              </w:rPr>
            </w:pPr>
            <w:r w:rsidRPr="00DE0D1F">
              <w:rPr>
                <w:rFonts w:cs="Arial"/>
                <w:color w:val="000000"/>
                <w:sz w:val="22"/>
                <w:szCs w:val="22"/>
                <w:lang w:eastAsia="en-AU"/>
              </w:rPr>
              <w:t>3</w:t>
            </w:r>
          </w:p>
        </w:tc>
      </w:tr>
    </w:tbl>
    <w:p w14:paraId="571E532F" w14:textId="77777777" w:rsidR="007E2B09" w:rsidRDefault="007E2B09">
      <w:pPr>
        <w:rPr>
          <w:rFonts w:cs="Arial"/>
          <w:color w:val="000000"/>
          <w:sz w:val="22"/>
          <w:szCs w:val="22"/>
          <w:lang w:eastAsia="en-AU"/>
        </w:rPr>
      </w:pPr>
    </w:p>
    <w:p w14:paraId="7DDEB23B" w14:textId="7D120EC7" w:rsidR="0010110B" w:rsidRDefault="007E2B09">
      <w:r w:rsidRPr="00DE0D1F">
        <w:rPr>
          <w:rFonts w:cs="Arial"/>
          <w:color w:val="000000"/>
          <w:sz w:val="22"/>
          <w:szCs w:val="22"/>
          <w:lang w:eastAsia="en-AU"/>
        </w:rPr>
        <w:t>(</w:t>
      </w:r>
      <w:proofErr w:type="spellStart"/>
      <w:r w:rsidRPr="00DE0D1F">
        <w:rPr>
          <w:rFonts w:cs="Arial"/>
          <w:color w:val="000000"/>
          <w:sz w:val="22"/>
          <w:szCs w:val="22"/>
          <w:lang w:eastAsia="en-AU"/>
        </w:rPr>
        <w:t>i</w:t>
      </w:r>
      <w:proofErr w:type="spellEnd"/>
      <w:r w:rsidRPr="00DE0D1F">
        <w:rPr>
          <w:rFonts w:cs="Arial"/>
          <w:color w:val="000000"/>
          <w:sz w:val="22"/>
          <w:szCs w:val="22"/>
          <w:lang w:eastAsia="en-AU"/>
        </w:rPr>
        <w:t>) The standard credit period on purchases is 30 days from the end of the month in which the invoice is received.  No interest is charged on trade payables.</w:t>
      </w:r>
    </w:p>
    <w:p w14:paraId="416A0CF6" w14:textId="77777777" w:rsidR="007E2B09" w:rsidRDefault="007E2B09" w:rsidP="00BF287B">
      <w:pPr>
        <w:pStyle w:val="Heading1"/>
      </w:pPr>
      <w:bookmarkStart w:id="322" w:name="_Toc430613769"/>
    </w:p>
    <w:p w14:paraId="3C4A9010" w14:textId="078B5855" w:rsidR="0010110B" w:rsidRPr="0010110B" w:rsidRDefault="0010110B" w:rsidP="00BF287B">
      <w:pPr>
        <w:pStyle w:val="Heading1"/>
      </w:pPr>
      <w:r w:rsidRPr="0010110B">
        <w:t>Note 16: Provisions</w:t>
      </w:r>
      <w:bookmarkEnd w:id="322"/>
    </w:p>
    <w:p w14:paraId="13859AAB" w14:textId="77777777" w:rsidR="0010110B" w:rsidRDefault="0010110B"/>
    <w:tbl>
      <w:tblPr>
        <w:tblW w:w="9309" w:type="dxa"/>
        <w:tblInd w:w="108" w:type="dxa"/>
        <w:tblLook w:val="04A0" w:firstRow="1" w:lastRow="0" w:firstColumn="1" w:lastColumn="0" w:noHBand="0" w:noVBand="1"/>
      </w:tblPr>
      <w:tblGrid>
        <w:gridCol w:w="5003"/>
        <w:gridCol w:w="524"/>
        <w:gridCol w:w="1261"/>
        <w:gridCol w:w="1264"/>
        <w:gridCol w:w="1257"/>
      </w:tblGrid>
      <w:tr w:rsidR="007E2B09" w:rsidRPr="00DE0D1F" w14:paraId="5EA73EAB" w14:textId="77777777" w:rsidTr="007E2B09">
        <w:trPr>
          <w:trHeight w:val="252"/>
          <w:tblHeader/>
        </w:trPr>
        <w:tc>
          <w:tcPr>
            <w:tcW w:w="5003" w:type="dxa"/>
            <w:shd w:val="clear" w:color="auto" w:fill="auto"/>
            <w:vAlign w:val="center"/>
            <w:hideMark/>
          </w:tcPr>
          <w:p w14:paraId="5EA73EA6" w14:textId="77777777" w:rsidR="007E2B09" w:rsidRPr="00DE0D1F" w:rsidRDefault="007E2B09" w:rsidP="00DE0D1F">
            <w:pPr>
              <w:rPr>
                <w:rFonts w:cs="Arial"/>
                <w:color w:val="000000"/>
                <w:sz w:val="22"/>
                <w:szCs w:val="22"/>
                <w:u w:val="single"/>
                <w:lang w:eastAsia="en-AU"/>
              </w:rPr>
            </w:pPr>
            <w:bookmarkStart w:id="323" w:name="Table_48"/>
            <w:bookmarkEnd w:id="323"/>
            <w:r w:rsidRPr="00DE0D1F">
              <w:rPr>
                <w:rFonts w:cs="Arial"/>
                <w:color w:val="000000"/>
                <w:sz w:val="22"/>
                <w:szCs w:val="22"/>
                <w:u w:val="single"/>
                <w:lang w:eastAsia="en-AU"/>
              </w:rPr>
              <w:t>Current</w:t>
            </w:r>
          </w:p>
        </w:tc>
        <w:tc>
          <w:tcPr>
            <w:tcW w:w="524" w:type="dxa"/>
            <w:shd w:val="clear" w:color="auto" w:fill="auto"/>
            <w:vAlign w:val="center"/>
            <w:hideMark/>
          </w:tcPr>
          <w:p w14:paraId="5EA73EA7" w14:textId="77777777" w:rsidR="007E2B09" w:rsidRPr="00DE0D1F" w:rsidRDefault="007E2B09" w:rsidP="00DE0D1F">
            <w:pPr>
              <w:jc w:val="center"/>
              <w:rPr>
                <w:rFonts w:cs="Arial"/>
                <w:color w:val="000000"/>
                <w:sz w:val="22"/>
                <w:szCs w:val="22"/>
                <w:lang w:eastAsia="en-AU"/>
              </w:rPr>
            </w:pPr>
          </w:p>
        </w:tc>
        <w:tc>
          <w:tcPr>
            <w:tcW w:w="1261" w:type="dxa"/>
            <w:shd w:val="clear" w:color="auto" w:fill="auto"/>
            <w:noWrap/>
            <w:vAlign w:val="bottom"/>
            <w:hideMark/>
          </w:tcPr>
          <w:p w14:paraId="5EA73EA8" w14:textId="77777777" w:rsidR="007E2B09" w:rsidRPr="00DE0D1F" w:rsidRDefault="007E2B09" w:rsidP="00DE0D1F">
            <w:pPr>
              <w:rPr>
                <w:rFonts w:cs="Arial"/>
                <w:color w:val="000000"/>
                <w:sz w:val="22"/>
                <w:szCs w:val="22"/>
                <w:lang w:eastAsia="en-AU"/>
              </w:rPr>
            </w:pPr>
          </w:p>
        </w:tc>
        <w:tc>
          <w:tcPr>
            <w:tcW w:w="1264" w:type="dxa"/>
            <w:shd w:val="clear" w:color="000000" w:fill="BFBFBF" w:themeFill="background1" w:themeFillShade="BF"/>
            <w:vAlign w:val="center"/>
            <w:hideMark/>
          </w:tcPr>
          <w:p w14:paraId="5EA73EA9" w14:textId="75B6E6AC" w:rsidR="007E2B09" w:rsidRPr="007E2B09" w:rsidRDefault="007E2B09" w:rsidP="00DE0D1F">
            <w:pPr>
              <w:jc w:val="right"/>
              <w:rPr>
                <w:rFonts w:cs="Arial"/>
                <w:b/>
                <w:color w:val="000000"/>
                <w:sz w:val="22"/>
                <w:szCs w:val="22"/>
                <w:lang w:eastAsia="en-AU"/>
              </w:rPr>
            </w:pPr>
            <w:r w:rsidRPr="007E2B09">
              <w:rPr>
                <w:rFonts w:cs="Arial"/>
                <w:b/>
                <w:color w:val="000000"/>
                <w:sz w:val="22"/>
                <w:szCs w:val="22"/>
                <w:lang w:eastAsia="en-AU"/>
              </w:rPr>
              <w:t>2015</w:t>
            </w:r>
          </w:p>
        </w:tc>
        <w:tc>
          <w:tcPr>
            <w:tcW w:w="1257" w:type="dxa"/>
            <w:shd w:val="clear" w:color="auto" w:fill="auto"/>
            <w:vAlign w:val="center"/>
            <w:hideMark/>
          </w:tcPr>
          <w:p w14:paraId="5EA73EAA" w14:textId="04BC5344" w:rsidR="007E2B09" w:rsidRPr="00DE0D1F" w:rsidRDefault="007E2B09" w:rsidP="00DE0D1F">
            <w:pPr>
              <w:jc w:val="right"/>
              <w:rPr>
                <w:rFonts w:cs="Arial"/>
                <w:color w:val="000000"/>
                <w:sz w:val="22"/>
                <w:szCs w:val="22"/>
                <w:lang w:eastAsia="en-AU"/>
              </w:rPr>
            </w:pPr>
            <w:r>
              <w:rPr>
                <w:rFonts w:cs="Arial"/>
                <w:color w:val="000000"/>
                <w:sz w:val="22"/>
                <w:szCs w:val="22"/>
                <w:lang w:eastAsia="en-AU"/>
              </w:rPr>
              <w:t>2014</w:t>
            </w:r>
          </w:p>
        </w:tc>
      </w:tr>
      <w:tr w:rsidR="008512C8" w:rsidRPr="00DE0D1F" w14:paraId="5EA73EB2" w14:textId="77777777" w:rsidTr="0010110B">
        <w:trPr>
          <w:trHeight w:val="252"/>
        </w:trPr>
        <w:tc>
          <w:tcPr>
            <w:tcW w:w="5003" w:type="dxa"/>
            <w:shd w:val="clear" w:color="auto" w:fill="auto"/>
            <w:vAlign w:val="center"/>
            <w:hideMark/>
          </w:tcPr>
          <w:p w14:paraId="5EA73EAD" w14:textId="77777777" w:rsidR="008512C8" w:rsidRPr="00DE0D1F" w:rsidRDefault="008512C8" w:rsidP="00DE0D1F">
            <w:pPr>
              <w:rPr>
                <w:rFonts w:cs="Arial"/>
                <w:color w:val="000000"/>
                <w:sz w:val="22"/>
                <w:szCs w:val="22"/>
                <w:lang w:eastAsia="en-AU"/>
              </w:rPr>
            </w:pPr>
            <w:r w:rsidRPr="00DE0D1F">
              <w:rPr>
                <w:rFonts w:cs="Arial"/>
                <w:color w:val="000000"/>
                <w:sz w:val="22"/>
                <w:szCs w:val="22"/>
                <w:lang w:eastAsia="en-AU"/>
              </w:rPr>
              <w:t>Annual leave</w:t>
            </w:r>
          </w:p>
        </w:tc>
        <w:tc>
          <w:tcPr>
            <w:tcW w:w="524" w:type="dxa"/>
            <w:shd w:val="clear" w:color="auto" w:fill="auto"/>
            <w:vAlign w:val="center"/>
            <w:hideMark/>
          </w:tcPr>
          <w:p w14:paraId="5EA73EAE" w14:textId="77777777" w:rsidR="008512C8" w:rsidRPr="00DE0D1F" w:rsidRDefault="008512C8" w:rsidP="00DE0D1F">
            <w:pPr>
              <w:jc w:val="center"/>
              <w:rPr>
                <w:rFonts w:cs="Arial"/>
                <w:color w:val="000000"/>
                <w:sz w:val="22"/>
                <w:szCs w:val="22"/>
                <w:lang w:eastAsia="en-AU"/>
              </w:rPr>
            </w:pPr>
          </w:p>
        </w:tc>
        <w:tc>
          <w:tcPr>
            <w:tcW w:w="1261" w:type="dxa"/>
            <w:shd w:val="clear" w:color="auto" w:fill="auto"/>
            <w:noWrap/>
            <w:vAlign w:val="bottom"/>
            <w:hideMark/>
          </w:tcPr>
          <w:p w14:paraId="5EA73EAF" w14:textId="77777777" w:rsidR="008512C8" w:rsidRPr="00DE0D1F" w:rsidRDefault="008512C8" w:rsidP="004444B5">
            <w:pPr>
              <w:jc w:val="right"/>
              <w:rPr>
                <w:rFonts w:cs="Arial"/>
                <w:color w:val="000000"/>
                <w:sz w:val="22"/>
                <w:szCs w:val="22"/>
                <w:lang w:eastAsia="en-AU"/>
              </w:rPr>
            </w:pPr>
          </w:p>
        </w:tc>
        <w:tc>
          <w:tcPr>
            <w:tcW w:w="1264" w:type="dxa"/>
            <w:shd w:val="clear" w:color="000000" w:fill="BFBFBF" w:themeFill="background1" w:themeFillShade="BF"/>
            <w:vAlign w:val="bottom"/>
          </w:tcPr>
          <w:p w14:paraId="5EA73EB0" w14:textId="77777777" w:rsidR="008512C8" w:rsidRPr="00DE0D1F" w:rsidRDefault="00C0099B" w:rsidP="004444B5">
            <w:pPr>
              <w:jc w:val="right"/>
              <w:rPr>
                <w:rFonts w:cs="Arial"/>
                <w:color w:val="000000"/>
                <w:sz w:val="22"/>
                <w:szCs w:val="22"/>
                <w:lang w:eastAsia="en-AU"/>
              </w:rPr>
            </w:pPr>
            <w:r>
              <w:rPr>
                <w:rFonts w:cs="Arial"/>
                <w:color w:val="000000"/>
                <w:sz w:val="22"/>
                <w:szCs w:val="22"/>
                <w:lang w:eastAsia="en-AU"/>
              </w:rPr>
              <w:t>2,538</w:t>
            </w:r>
          </w:p>
        </w:tc>
        <w:tc>
          <w:tcPr>
            <w:tcW w:w="1257" w:type="dxa"/>
            <w:shd w:val="clear" w:color="auto" w:fill="auto"/>
            <w:vAlign w:val="bottom"/>
            <w:hideMark/>
          </w:tcPr>
          <w:p w14:paraId="5EA73EB1" w14:textId="77777777" w:rsidR="008512C8" w:rsidRPr="00DE0D1F" w:rsidRDefault="008512C8" w:rsidP="004444B5">
            <w:pPr>
              <w:jc w:val="right"/>
              <w:rPr>
                <w:rFonts w:cs="Arial"/>
                <w:color w:val="000000"/>
                <w:sz w:val="22"/>
                <w:szCs w:val="22"/>
                <w:lang w:eastAsia="en-AU"/>
              </w:rPr>
            </w:pPr>
            <w:r w:rsidRPr="00DE0D1F">
              <w:rPr>
                <w:rFonts w:cs="Arial"/>
                <w:color w:val="000000"/>
                <w:sz w:val="22"/>
                <w:szCs w:val="22"/>
                <w:lang w:eastAsia="en-AU"/>
              </w:rPr>
              <w:t>2,626</w:t>
            </w:r>
          </w:p>
        </w:tc>
      </w:tr>
      <w:tr w:rsidR="008512C8" w:rsidRPr="00DE0D1F" w14:paraId="5EA73EB8" w14:textId="77777777" w:rsidTr="0010110B">
        <w:trPr>
          <w:trHeight w:val="252"/>
        </w:trPr>
        <w:tc>
          <w:tcPr>
            <w:tcW w:w="5003" w:type="dxa"/>
            <w:shd w:val="clear" w:color="auto" w:fill="auto"/>
            <w:vAlign w:val="center"/>
            <w:hideMark/>
          </w:tcPr>
          <w:p w14:paraId="5EA73EB3" w14:textId="77777777" w:rsidR="008512C8" w:rsidRPr="00DE0D1F" w:rsidRDefault="008512C8" w:rsidP="00DE0D1F">
            <w:pPr>
              <w:rPr>
                <w:rFonts w:cs="Arial"/>
                <w:color w:val="000000"/>
                <w:sz w:val="22"/>
                <w:szCs w:val="22"/>
                <w:lang w:eastAsia="en-AU"/>
              </w:rPr>
            </w:pPr>
            <w:r w:rsidRPr="00DE0D1F">
              <w:rPr>
                <w:rFonts w:cs="Arial"/>
                <w:color w:val="000000"/>
                <w:sz w:val="22"/>
                <w:szCs w:val="22"/>
                <w:lang w:eastAsia="en-AU"/>
              </w:rPr>
              <w:t>Long service leave</w:t>
            </w:r>
          </w:p>
        </w:tc>
        <w:tc>
          <w:tcPr>
            <w:tcW w:w="524" w:type="dxa"/>
            <w:shd w:val="clear" w:color="auto" w:fill="auto"/>
            <w:vAlign w:val="center"/>
            <w:hideMark/>
          </w:tcPr>
          <w:p w14:paraId="5EA73EB4" w14:textId="77777777" w:rsidR="008512C8" w:rsidRPr="00DE0D1F" w:rsidRDefault="008512C8" w:rsidP="00DE0D1F">
            <w:pPr>
              <w:jc w:val="center"/>
              <w:rPr>
                <w:rFonts w:cs="Arial"/>
                <w:color w:val="000000"/>
                <w:sz w:val="22"/>
                <w:szCs w:val="22"/>
                <w:lang w:eastAsia="en-AU"/>
              </w:rPr>
            </w:pPr>
          </w:p>
        </w:tc>
        <w:tc>
          <w:tcPr>
            <w:tcW w:w="1261" w:type="dxa"/>
            <w:shd w:val="clear" w:color="auto" w:fill="auto"/>
            <w:noWrap/>
            <w:vAlign w:val="bottom"/>
            <w:hideMark/>
          </w:tcPr>
          <w:p w14:paraId="5EA73EB5" w14:textId="77777777" w:rsidR="008512C8" w:rsidRPr="00DE0D1F" w:rsidRDefault="008512C8" w:rsidP="00DE0D1F">
            <w:pPr>
              <w:rPr>
                <w:rFonts w:cs="Arial"/>
                <w:color w:val="000000"/>
                <w:sz w:val="22"/>
                <w:szCs w:val="22"/>
                <w:lang w:eastAsia="en-AU"/>
              </w:rPr>
            </w:pPr>
          </w:p>
        </w:tc>
        <w:tc>
          <w:tcPr>
            <w:tcW w:w="1264" w:type="dxa"/>
            <w:shd w:val="clear" w:color="000000" w:fill="BFBFBF" w:themeFill="background1" w:themeFillShade="BF"/>
            <w:vAlign w:val="center"/>
          </w:tcPr>
          <w:p w14:paraId="5EA73EB6" w14:textId="77777777" w:rsidR="008512C8" w:rsidRPr="00DE0D1F" w:rsidRDefault="00C0099B" w:rsidP="00DE0D1F">
            <w:pPr>
              <w:jc w:val="right"/>
              <w:rPr>
                <w:rFonts w:cs="Arial"/>
                <w:color w:val="000000"/>
                <w:sz w:val="22"/>
                <w:szCs w:val="22"/>
                <w:lang w:eastAsia="en-AU"/>
              </w:rPr>
            </w:pPr>
            <w:r>
              <w:rPr>
                <w:rFonts w:cs="Arial"/>
                <w:color w:val="000000"/>
                <w:sz w:val="22"/>
                <w:szCs w:val="22"/>
                <w:lang w:eastAsia="en-AU"/>
              </w:rPr>
              <w:t>4,661</w:t>
            </w:r>
          </w:p>
        </w:tc>
        <w:tc>
          <w:tcPr>
            <w:tcW w:w="1257" w:type="dxa"/>
            <w:shd w:val="clear" w:color="auto" w:fill="auto"/>
            <w:vAlign w:val="center"/>
            <w:hideMark/>
          </w:tcPr>
          <w:p w14:paraId="5EA73EB7" w14:textId="77777777" w:rsidR="008512C8" w:rsidRPr="00DE0D1F" w:rsidRDefault="008512C8" w:rsidP="00DE0D1F">
            <w:pPr>
              <w:jc w:val="right"/>
              <w:rPr>
                <w:rFonts w:cs="Arial"/>
                <w:color w:val="000000"/>
                <w:sz w:val="22"/>
                <w:szCs w:val="22"/>
                <w:lang w:eastAsia="en-AU"/>
              </w:rPr>
            </w:pPr>
            <w:r w:rsidRPr="00DE0D1F">
              <w:rPr>
                <w:rFonts w:cs="Arial"/>
                <w:color w:val="000000"/>
                <w:sz w:val="22"/>
                <w:szCs w:val="22"/>
                <w:lang w:eastAsia="en-AU"/>
              </w:rPr>
              <w:t>5,458</w:t>
            </w:r>
          </w:p>
        </w:tc>
      </w:tr>
      <w:tr w:rsidR="008512C8" w:rsidRPr="00DE0D1F" w14:paraId="5EA73EBE" w14:textId="77777777" w:rsidTr="0010110B">
        <w:trPr>
          <w:trHeight w:val="252"/>
        </w:trPr>
        <w:tc>
          <w:tcPr>
            <w:tcW w:w="5003" w:type="dxa"/>
            <w:shd w:val="clear" w:color="auto" w:fill="auto"/>
            <w:vAlign w:val="center"/>
            <w:hideMark/>
          </w:tcPr>
          <w:p w14:paraId="5EA73EB9" w14:textId="77777777" w:rsidR="008512C8" w:rsidRPr="00DE0D1F" w:rsidRDefault="008512C8" w:rsidP="00DE0D1F">
            <w:pPr>
              <w:rPr>
                <w:rFonts w:cs="Arial"/>
                <w:color w:val="000000"/>
                <w:sz w:val="22"/>
                <w:szCs w:val="22"/>
                <w:lang w:eastAsia="en-AU"/>
              </w:rPr>
            </w:pPr>
            <w:r w:rsidRPr="00DE0D1F">
              <w:rPr>
                <w:rFonts w:cs="Arial"/>
                <w:color w:val="000000"/>
                <w:sz w:val="22"/>
                <w:szCs w:val="22"/>
                <w:lang w:eastAsia="en-AU"/>
              </w:rPr>
              <w:t>Other leave</w:t>
            </w:r>
          </w:p>
        </w:tc>
        <w:tc>
          <w:tcPr>
            <w:tcW w:w="524" w:type="dxa"/>
            <w:shd w:val="clear" w:color="auto" w:fill="auto"/>
            <w:vAlign w:val="center"/>
            <w:hideMark/>
          </w:tcPr>
          <w:p w14:paraId="5EA73EBA" w14:textId="77777777" w:rsidR="008512C8" w:rsidRPr="00DE0D1F" w:rsidRDefault="008512C8" w:rsidP="00DE0D1F">
            <w:pPr>
              <w:jc w:val="center"/>
              <w:rPr>
                <w:rFonts w:cs="Arial"/>
                <w:color w:val="000000"/>
                <w:sz w:val="22"/>
                <w:szCs w:val="22"/>
                <w:lang w:eastAsia="en-AU"/>
              </w:rPr>
            </w:pPr>
          </w:p>
        </w:tc>
        <w:tc>
          <w:tcPr>
            <w:tcW w:w="1261" w:type="dxa"/>
            <w:shd w:val="clear" w:color="auto" w:fill="auto"/>
            <w:noWrap/>
            <w:vAlign w:val="bottom"/>
            <w:hideMark/>
          </w:tcPr>
          <w:p w14:paraId="5EA73EBB" w14:textId="77777777" w:rsidR="008512C8" w:rsidRPr="00DE0D1F" w:rsidRDefault="008512C8" w:rsidP="00DE0D1F">
            <w:pPr>
              <w:rPr>
                <w:rFonts w:cs="Arial"/>
                <w:color w:val="000000"/>
                <w:sz w:val="22"/>
                <w:szCs w:val="22"/>
                <w:lang w:eastAsia="en-AU"/>
              </w:rPr>
            </w:pPr>
          </w:p>
        </w:tc>
        <w:tc>
          <w:tcPr>
            <w:tcW w:w="1264" w:type="dxa"/>
            <w:shd w:val="clear" w:color="000000" w:fill="BFBFBF" w:themeFill="background1" w:themeFillShade="BF"/>
            <w:vAlign w:val="center"/>
          </w:tcPr>
          <w:p w14:paraId="5EA73EBC" w14:textId="77777777" w:rsidR="008512C8" w:rsidRPr="00DE0D1F" w:rsidRDefault="00C0099B" w:rsidP="00DE0D1F">
            <w:pPr>
              <w:jc w:val="right"/>
              <w:rPr>
                <w:rFonts w:cs="Arial"/>
                <w:color w:val="000000"/>
                <w:sz w:val="22"/>
                <w:szCs w:val="22"/>
                <w:lang w:eastAsia="en-AU"/>
              </w:rPr>
            </w:pPr>
            <w:r>
              <w:rPr>
                <w:rFonts w:cs="Arial"/>
                <w:color w:val="000000"/>
                <w:sz w:val="22"/>
                <w:szCs w:val="22"/>
                <w:lang w:eastAsia="en-AU"/>
              </w:rPr>
              <w:t>89</w:t>
            </w:r>
          </w:p>
        </w:tc>
        <w:tc>
          <w:tcPr>
            <w:tcW w:w="1257" w:type="dxa"/>
            <w:shd w:val="clear" w:color="auto" w:fill="auto"/>
            <w:vAlign w:val="center"/>
            <w:hideMark/>
          </w:tcPr>
          <w:p w14:paraId="5EA73EBD" w14:textId="77777777" w:rsidR="008512C8" w:rsidRPr="00DE0D1F" w:rsidRDefault="008512C8" w:rsidP="004444B5">
            <w:pPr>
              <w:jc w:val="right"/>
              <w:rPr>
                <w:rFonts w:cs="Arial"/>
                <w:color w:val="000000"/>
                <w:sz w:val="22"/>
                <w:szCs w:val="22"/>
                <w:lang w:eastAsia="en-AU"/>
              </w:rPr>
            </w:pPr>
            <w:r w:rsidRPr="00DE0D1F">
              <w:rPr>
                <w:rFonts w:cs="Arial"/>
                <w:color w:val="000000"/>
                <w:sz w:val="22"/>
                <w:szCs w:val="22"/>
                <w:lang w:eastAsia="en-AU"/>
              </w:rPr>
              <w:t>114</w:t>
            </w:r>
          </w:p>
        </w:tc>
      </w:tr>
      <w:tr w:rsidR="008512C8" w:rsidRPr="00DE0D1F" w14:paraId="5EA73EC4" w14:textId="77777777" w:rsidTr="0010110B">
        <w:trPr>
          <w:trHeight w:val="252"/>
        </w:trPr>
        <w:tc>
          <w:tcPr>
            <w:tcW w:w="5003" w:type="dxa"/>
            <w:shd w:val="clear" w:color="auto" w:fill="auto"/>
            <w:vAlign w:val="center"/>
            <w:hideMark/>
          </w:tcPr>
          <w:p w14:paraId="5EA73EBF" w14:textId="77777777" w:rsidR="008512C8" w:rsidRPr="00DE0D1F" w:rsidRDefault="008512C8" w:rsidP="00DE0D1F">
            <w:pPr>
              <w:rPr>
                <w:rFonts w:cs="Arial"/>
                <w:color w:val="000000"/>
                <w:sz w:val="22"/>
                <w:szCs w:val="22"/>
                <w:lang w:eastAsia="en-AU"/>
              </w:rPr>
            </w:pPr>
            <w:r w:rsidRPr="00DE0D1F">
              <w:rPr>
                <w:rFonts w:cs="Arial"/>
                <w:color w:val="000000"/>
                <w:sz w:val="22"/>
                <w:szCs w:val="22"/>
                <w:lang w:eastAsia="en-AU"/>
              </w:rPr>
              <w:t>Total current employee benefits</w:t>
            </w:r>
            <w:r w:rsidRPr="00DE0D1F">
              <w:rPr>
                <w:rFonts w:cs="Arial"/>
                <w:color w:val="000000"/>
                <w:sz w:val="22"/>
                <w:szCs w:val="22"/>
                <w:vertAlign w:val="superscript"/>
                <w:lang w:eastAsia="en-AU"/>
              </w:rPr>
              <w:t>(</w:t>
            </w:r>
            <w:proofErr w:type="spellStart"/>
            <w:r w:rsidRPr="00DE0D1F">
              <w:rPr>
                <w:rFonts w:cs="Arial"/>
                <w:color w:val="000000"/>
                <w:sz w:val="22"/>
                <w:szCs w:val="22"/>
                <w:vertAlign w:val="superscript"/>
                <w:lang w:eastAsia="en-AU"/>
              </w:rPr>
              <w:t>i</w:t>
            </w:r>
            <w:proofErr w:type="spellEnd"/>
            <w:r w:rsidRPr="00DE0D1F">
              <w:rPr>
                <w:rFonts w:cs="Arial"/>
                <w:color w:val="000000"/>
                <w:sz w:val="22"/>
                <w:szCs w:val="22"/>
                <w:vertAlign w:val="superscript"/>
                <w:lang w:eastAsia="en-AU"/>
              </w:rPr>
              <w:t>)</w:t>
            </w:r>
          </w:p>
        </w:tc>
        <w:tc>
          <w:tcPr>
            <w:tcW w:w="524" w:type="dxa"/>
            <w:shd w:val="clear" w:color="auto" w:fill="auto"/>
            <w:vAlign w:val="center"/>
            <w:hideMark/>
          </w:tcPr>
          <w:p w14:paraId="5EA73EC0" w14:textId="77777777" w:rsidR="008512C8" w:rsidRPr="00DE0D1F" w:rsidRDefault="008512C8" w:rsidP="00DE0D1F">
            <w:pPr>
              <w:jc w:val="center"/>
              <w:rPr>
                <w:rFonts w:cs="Arial"/>
                <w:color w:val="000000"/>
                <w:sz w:val="22"/>
                <w:szCs w:val="22"/>
                <w:lang w:eastAsia="en-AU"/>
              </w:rPr>
            </w:pPr>
          </w:p>
        </w:tc>
        <w:tc>
          <w:tcPr>
            <w:tcW w:w="1261" w:type="dxa"/>
            <w:shd w:val="clear" w:color="auto" w:fill="auto"/>
            <w:noWrap/>
            <w:vAlign w:val="bottom"/>
            <w:hideMark/>
          </w:tcPr>
          <w:p w14:paraId="5EA73EC1" w14:textId="77777777" w:rsidR="008512C8" w:rsidRPr="00DE0D1F" w:rsidRDefault="008512C8" w:rsidP="00DE0D1F">
            <w:pPr>
              <w:rPr>
                <w:rFonts w:cs="Arial"/>
                <w:color w:val="000000"/>
                <w:sz w:val="22"/>
                <w:szCs w:val="22"/>
                <w:lang w:eastAsia="en-AU"/>
              </w:rPr>
            </w:pPr>
          </w:p>
        </w:tc>
        <w:tc>
          <w:tcPr>
            <w:tcW w:w="1264" w:type="dxa"/>
            <w:shd w:val="clear" w:color="000000" w:fill="BFBFBF" w:themeFill="background1" w:themeFillShade="BF"/>
            <w:vAlign w:val="center"/>
          </w:tcPr>
          <w:p w14:paraId="5EA73EC2" w14:textId="77777777" w:rsidR="008512C8" w:rsidRPr="00DE0D1F" w:rsidRDefault="00C0099B" w:rsidP="00DE0D1F">
            <w:pPr>
              <w:jc w:val="right"/>
              <w:rPr>
                <w:rFonts w:cs="Arial"/>
                <w:color w:val="000000"/>
                <w:sz w:val="22"/>
                <w:szCs w:val="22"/>
                <w:lang w:eastAsia="en-AU"/>
              </w:rPr>
            </w:pPr>
            <w:r>
              <w:rPr>
                <w:rFonts w:cs="Arial"/>
                <w:color w:val="000000"/>
                <w:sz w:val="22"/>
                <w:szCs w:val="22"/>
                <w:lang w:eastAsia="en-AU"/>
              </w:rPr>
              <w:t>7,288</w:t>
            </w:r>
          </w:p>
        </w:tc>
        <w:tc>
          <w:tcPr>
            <w:tcW w:w="1257" w:type="dxa"/>
            <w:shd w:val="clear" w:color="auto" w:fill="auto"/>
            <w:vAlign w:val="center"/>
            <w:hideMark/>
          </w:tcPr>
          <w:p w14:paraId="5EA73EC3" w14:textId="77777777" w:rsidR="008512C8" w:rsidRPr="00DE0D1F" w:rsidRDefault="008512C8" w:rsidP="00DE0D1F">
            <w:pPr>
              <w:jc w:val="right"/>
              <w:rPr>
                <w:rFonts w:cs="Arial"/>
                <w:color w:val="000000"/>
                <w:sz w:val="22"/>
                <w:szCs w:val="22"/>
                <w:lang w:eastAsia="en-AU"/>
              </w:rPr>
            </w:pPr>
            <w:r w:rsidRPr="00DE0D1F">
              <w:rPr>
                <w:rFonts w:cs="Arial"/>
                <w:color w:val="000000"/>
                <w:sz w:val="22"/>
                <w:szCs w:val="22"/>
                <w:lang w:eastAsia="en-AU"/>
              </w:rPr>
              <w:t>8,198</w:t>
            </w:r>
          </w:p>
        </w:tc>
      </w:tr>
    </w:tbl>
    <w:p w14:paraId="47D31811" w14:textId="77777777" w:rsidR="007E2B09" w:rsidRDefault="007E2B09"/>
    <w:tbl>
      <w:tblPr>
        <w:tblW w:w="9309" w:type="dxa"/>
        <w:tblInd w:w="108" w:type="dxa"/>
        <w:tblLook w:val="04A0" w:firstRow="1" w:lastRow="0" w:firstColumn="1" w:lastColumn="0" w:noHBand="0" w:noVBand="1"/>
      </w:tblPr>
      <w:tblGrid>
        <w:gridCol w:w="5003"/>
        <w:gridCol w:w="524"/>
        <w:gridCol w:w="1261"/>
        <w:gridCol w:w="1264"/>
        <w:gridCol w:w="1257"/>
      </w:tblGrid>
      <w:tr w:rsidR="007E2B09" w:rsidRPr="00DE0D1F" w14:paraId="5EA73ECB" w14:textId="77777777" w:rsidTr="007E2B09">
        <w:trPr>
          <w:trHeight w:val="252"/>
          <w:tblHeader/>
        </w:trPr>
        <w:tc>
          <w:tcPr>
            <w:tcW w:w="5003" w:type="dxa"/>
            <w:shd w:val="clear" w:color="auto" w:fill="auto"/>
            <w:vAlign w:val="center"/>
            <w:hideMark/>
          </w:tcPr>
          <w:p w14:paraId="5EA73EC6" w14:textId="77777777" w:rsidR="007E2B09" w:rsidRPr="00DE0D1F" w:rsidRDefault="007E2B09" w:rsidP="00DE0D1F">
            <w:pPr>
              <w:rPr>
                <w:rFonts w:cs="Arial"/>
                <w:color w:val="000000"/>
                <w:sz w:val="22"/>
                <w:szCs w:val="22"/>
                <w:u w:val="single"/>
                <w:lang w:eastAsia="en-AU"/>
              </w:rPr>
            </w:pPr>
            <w:bookmarkStart w:id="324" w:name="Table_49"/>
            <w:bookmarkEnd w:id="324"/>
            <w:r w:rsidRPr="00DE0D1F">
              <w:rPr>
                <w:rFonts w:cs="Arial"/>
                <w:color w:val="000000"/>
                <w:sz w:val="22"/>
                <w:szCs w:val="22"/>
                <w:u w:val="single"/>
                <w:lang w:eastAsia="en-AU"/>
              </w:rPr>
              <w:t>Non-current</w:t>
            </w:r>
          </w:p>
        </w:tc>
        <w:tc>
          <w:tcPr>
            <w:tcW w:w="524" w:type="dxa"/>
            <w:shd w:val="clear" w:color="auto" w:fill="auto"/>
            <w:vAlign w:val="center"/>
            <w:hideMark/>
          </w:tcPr>
          <w:p w14:paraId="5EA73EC7" w14:textId="77777777" w:rsidR="007E2B09" w:rsidRPr="00DE0D1F" w:rsidRDefault="007E2B09" w:rsidP="00DE0D1F">
            <w:pPr>
              <w:jc w:val="center"/>
              <w:rPr>
                <w:rFonts w:cs="Arial"/>
                <w:color w:val="000000"/>
                <w:sz w:val="22"/>
                <w:szCs w:val="22"/>
                <w:lang w:eastAsia="en-AU"/>
              </w:rPr>
            </w:pPr>
          </w:p>
        </w:tc>
        <w:tc>
          <w:tcPr>
            <w:tcW w:w="1261" w:type="dxa"/>
            <w:shd w:val="clear" w:color="auto" w:fill="auto"/>
            <w:noWrap/>
            <w:vAlign w:val="bottom"/>
            <w:hideMark/>
          </w:tcPr>
          <w:p w14:paraId="5EA73EC8" w14:textId="77777777" w:rsidR="007E2B09" w:rsidRPr="00DE0D1F" w:rsidRDefault="007E2B09" w:rsidP="00DE0D1F">
            <w:pPr>
              <w:rPr>
                <w:rFonts w:cs="Arial"/>
                <w:color w:val="000000"/>
                <w:sz w:val="22"/>
                <w:szCs w:val="22"/>
                <w:lang w:eastAsia="en-AU"/>
              </w:rPr>
            </w:pPr>
          </w:p>
        </w:tc>
        <w:tc>
          <w:tcPr>
            <w:tcW w:w="1264" w:type="dxa"/>
            <w:shd w:val="clear" w:color="000000" w:fill="BFBFBF" w:themeFill="background1" w:themeFillShade="BF"/>
            <w:vAlign w:val="center"/>
          </w:tcPr>
          <w:p w14:paraId="5EA73EC9" w14:textId="682B5AB1" w:rsidR="007E2B09" w:rsidRPr="007E2B09" w:rsidRDefault="007E2B09" w:rsidP="00DE0D1F">
            <w:pPr>
              <w:jc w:val="right"/>
              <w:rPr>
                <w:rFonts w:cs="Arial"/>
                <w:b/>
                <w:color w:val="000000"/>
                <w:sz w:val="22"/>
                <w:szCs w:val="22"/>
                <w:lang w:eastAsia="en-AU"/>
              </w:rPr>
            </w:pPr>
            <w:r w:rsidRPr="007E2B09">
              <w:rPr>
                <w:rFonts w:cs="Arial"/>
                <w:b/>
                <w:color w:val="000000"/>
                <w:sz w:val="22"/>
                <w:szCs w:val="22"/>
                <w:lang w:eastAsia="en-AU"/>
              </w:rPr>
              <w:t>2015</w:t>
            </w:r>
          </w:p>
        </w:tc>
        <w:tc>
          <w:tcPr>
            <w:tcW w:w="1257" w:type="dxa"/>
            <w:shd w:val="clear" w:color="auto" w:fill="auto"/>
            <w:vAlign w:val="center"/>
            <w:hideMark/>
          </w:tcPr>
          <w:p w14:paraId="5EA73ECA" w14:textId="461B12B6" w:rsidR="007E2B09" w:rsidRPr="00DE0D1F" w:rsidRDefault="007E2B09" w:rsidP="00DE0D1F">
            <w:pPr>
              <w:jc w:val="right"/>
              <w:rPr>
                <w:rFonts w:cs="Arial"/>
                <w:color w:val="000000"/>
                <w:sz w:val="22"/>
                <w:szCs w:val="22"/>
                <w:lang w:eastAsia="en-AU"/>
              </w:rPr>
            </w:pPr>
            <w:r>
              <w:rPr>
                <w:rFonts w:cs="Arial"/>
                <w:color w:val="000000"/>
                <w:sz w:val="22"/>
                <w:szCs w:val="22"/>
                <w:lang w:eastAsia="en-AU"/>
              </w:rPr>
              <w:t>2014</w:t>
            </w:r>
          </w:p>
        </w:tc>
      </w:tr>
      <w:tr w:rsidR="007E2B09" w:rsidRPr="00DE0D1F" w14:paraId="5EA73ED2" w14:textId="77777777" w:rsidTr="0010110B">
        <w:trPr>
          <w:trHeight w:val="288"/>
        </w:trPr>
        <w:tc>
          <w:tcPr>
            <w:tcW w:w="5003" w:type="dxa"/>
            <w:shd w:val="clear" w:color="auto" w:fill="auto"/>
            <w:vAlign w:val="center"/>
            <w:hideMark/>
          </w:tcPr>
          <w:p w14:paraId="5EA73ECD" w14:textId="77777777" w:rsidR="007E2B09" w:rsidRPr="00DE0D1F" w:rsidRDefault="007E2B09" w:rsidP="00DE0D1F">
            <w:pPr>
              <w:rPr>
                <w:rFonts w:cs="Arial"/>
                <w:color w:val="000000"/>
                <w:sz w:val="22"/>
                <w:szCs w:val="22"/>
                <w:lang w:eastAsia="en-AU"/>
              </w:rPr>
            </w:pPr>
            <w:r w:rsidRPr="00DE0D1F">
              <w:rPr>
                <w:rFonts w:cs="Arial"/>
                <w:color w:val="000000"/>
                <w:sz w:val="22"/>
                <w:szCs w:val="22"/>
                <w:lang w:eastAsia="en-AU"/>
              </w:rPr>
              <w:t>Employee benefits – Long Service Leave</w:t>
            </w:r>
          </w:p>
        </w:tc>
        <w:tc>
          <w:tcPr>
            <w:tcW w:w="524" w:type="dxa"/>
            <w:shd w:val="clear" w:color="auto" w:fill="auto"/>
            <w:vAlign w:val="center"/>
            <w:hideMark/>
          </w:tcPr>
          <w:p w14:paraId="5EA73ECE" w14:textId="77777777" w:rsidR="007E2B09" w:rsidRPr="00DE0D1F" w:rsidRDefault="007E2B09" w:rsidP="00DE0D1F">
            <w:pPr>
              <w:jc w:val="center"/>
              <w:rPr>
                <w:rFonts w:cs="Arial"/>
                <w:color w:val="000000"/>
                <w:sz w:val="22"/>
                <w:szCs w:val="22"/>
                <w:lang w:eastAsia="en-AU"/>
              </w:rPr>
            </w:pPr>
          </w:p>
        </w:tc>
        <w:tc>
          <w:tcPr>
            <w:tcW w:w="1261" w:type="dxa"/>
            <w:shd w:val="clear" w:color="auto" w:fill="auto"/>
            <w:noWrap/>
            <w:vAlign w:val="bottom"/>
            <w:hideMark/>
          </w:tcPr>
          <w:p w14:paraId="5EA73ECF" w14:textId="77777777" w:rsidR="007E2B09" w:rsidRPr="00DE0D1F" w:rsidRDefault="007E2B09" w:rsidP="00DE0D1F">
            <w:pPr>
              <w:rPr>
                <w:rFonts w:cs="Arial"/>
                <w:color w:val="000000"/>
                <w:sz w:val="22"/>
                <w:szCs w:val="22"/>
                <w:lang w:eastAsia="en-AU"/>
              </w:rPr>
            </w:pPr>
          </w:p>
        </w:tc>
        <w:tc>
          <w:tcPr>
            <w:tcW w:w="1264" w:type="dxa"/>
            <w:shd w:val="clear" w:color="000000" w:fill="BFBFBF" w:themeFill="background1" w:themeFillShade="BF"/>
            <w:vAlign w:val="bottom"/>
          </w:tcPr>
          <w:p w14:paraId="5EA73ED0" w14:textId="77777777" w:rsidR="007E2B09" w:rsidRPr="00DE0D1F" w:rsidRDefault="007E2B09" w:rsidP="004444B5">
            <w:pPr>
              <w:jc w:val="right"/>
              <w:rPr>
                <w:rFonts w:cs="Arial"/>
                <w:color w:val="000000"/>
                <w:sz w:val="22"/>
                <w:szCs w:val="22"/>
                <w:lang w:eastAsia="en-AU"/>
              </w:rPr>
            </w:pPr>
            <w:r>
              <w:rPr>
                <w:rFonts w:cs="Arial"/>
                <w:color w:val="000000"/>
                <w:sz w:val="22"/>
                <w:szCs w:val="22"/>
                <w:lang w:eastAsia="en-AU"/>
              </w:rPr>
              <w:t>1,356</w:t>
            </w:r>
          </w:p>
        </w:tc>
        <w:tc>
          <w:tcPr>
            <w:tcW w:w="1257" w:type="dxa"/>
            <w:shd w:val="clear" w:color="auto" w:fill="auto"/>
            <w:vAlign w:val="bottom"/>
            <w:hideMark/>
          </w:tcPr>
          <w:p w14:paraId="5EA73ED1" w14:textId="77777777" w:rsidR="007E2B09" w:rsidRPr="00DE0D1F" w:rsidRDefault="007E2B09" w:rsidP="004444B5">
            <w:pPr>
              <w:jc w:val="right"/>
              <w:rPr>
                <w:rFonts w:cs="Arial"/>
                <w:color w:val="000000"/>
                <w:sz w:val="22"/>
                <w:szCs w:val="22"/>
                <w:lang w:eastAsia="en-AU"/>
              </w:rPr>
            </w:pPr>
            <w:r w:rsidRPr="00DE0D1F">
              <w:rPr>
                <w:rFonts w:cs="Arial"/>
                <w:color w:val="000000"/>
                <w:sz w:val="22"/>
                <w:szCs w:val="22"/>
                <w:lang w:eastAsia="en-AU"/>
              </w:rPr>
              <w:t>1,402</w:t>
            </w:r>
          </w:p>
        </w:tc>
      </w:tr>
    </w:tbl>
    <w:p w14:paraId="7E9C0194" w14:textId="77777777" w:rsidR="007E2B09" w:rsidRDefault="007E2B09"/>
    <w:p w14:paraId="77578638" w14:textId="77777777" w:rsidR="007E2B09" w:rsidRPr="00DE0D1F" w:rsidRDefault="007E2B09" w:rsidP="007E2B09">
      <w:pPr>
        <w:rPr>
          <w:rFonts w:cs="Arial"/>
          <w:color w:val="000000"/>
          <w:sz w:val="22"/>
          <w:szCs w:val="22"/>
          <w:lang w:eastAsia="en-AU"/>
        </w:rPr>
      </w:pPr>
      <w:r w:rsidRPr="00DE0D1F">
        <w:rPr>
          <w:rFonts w:cs="Arial"/>
          <w:color w:val="000000"/>
          <w:sz w:val="22"/>
          <w:szCs w:val="22"/>
          <w:lang w:eastAsia="en-AU"/>
        </w:rPr>
        <w:t>(</w:t>
      </w:r>
      <w:proofErr w:type="spellStart"/>
      <w:r w:rsidRPr="00DE0D1F">
        <w:rPr>
          <w:rFonts w:cs="Arial"/>
          <w:color w:val="000000"/>
          <w:sz w:val="22"/>
          <w:szCs w:val="22"/>
          <w:lang w:eastAsia="en-AU"/>
        </w:rPr>
        <w:t>i</w:t>
      </w:r>
      <w:proofErr w:type="spellEnd"/>
      <w:r w:rsidRPr="00DE0D1F">
        <w:rPr>
          <w:rFonts w:cs="Arial"/>
          <w:color w:val="000000"/>
          <w:sz w:val="22"/>
          <w:szCs w:val="22"/>
          <w:lang w:eastAsia="en-AU"/>
        </w:rPr>
        <w:t xml:space="preserve">) The current provision for employee benefits </w:t>
      </w:r>
      <w:r w:rsidRPr="00C0099B">
        <w:rPr>
          <w:rFonts w:cs="Arial"/>
          <w:color w:val="000000"/>
          <w:sz w:val="22"/>
          <w:szCs w:val="22"/>
          <w:lang w:eastAsia="en-AU"/>
        </w:rPr>
        <w:t>includes $3,827,000</w:t>
      </w:r>
      <w:r w:rsidRPr="00DE0D1F">
        <w:rPr>
          <w:rFonts w:cs="Arial"/>
          <w:color w:val="000000"/>
          <w:sz w:val="22"/>
          <w:szCs w:val="22"/>
          <w:lang w:eastAsia="en-AU"/>
        </w:rPr>
        <w:t xml:space="preserve"> (201</w:t>
      </w:r>
      <w:r>
        <w:rPr>
          <w:rFonts w:cs="Arial"/>
          <w:color w:val="000000"/>
          <w:sz w:val="22"/>
          <w:szCs w:val="22"/>
          <w:lang w:eastAsia="en-AU"/>
        </w:rPr>
        <w:t>4</w:t>
      </w:r>
      <w:r w:rsidRPr="00DE0D1F">
        <w:rPr>
          <w:rFonts w:cs="Arial"/>
          <w:color w:val="000000"/>
          <w:sz w:val="22"/>
          <w:szCs w:val="22"/>
          <w:lang w:eastAsia="en-AU"/>
        </w:rPr>
        <w:t>: $4,4</w:t>
      </w:r>
      <w:r>
        <w:rPr>
          <w:rFonts w:cs="Arial"/>
          <w:color w:val="000000"/>
          <w:sz w:val="22"/>
          <w:szCs w:val="22"/>
          <w:lang w:eastAsia="en-AU"/>
        </w:rPr>
        <w:t>90</w:t>
      </w:r>
      <w:r w:rsidRPr="00DE0D1F">
        <w:rPr>
          <w:rFonts w:cs="Arial"/>
          <w:color w:val="000000"/>
          <w:sz w:val="22"/>
          <w:szCs w:val="22"/>
          <w:lang w:eastAsia="en-AU"/>
        </w:rPr>
        <w:t>,000) of vested long service leave entitlements accrued but not expected to be taken within 12 months.</w:t>
      </w:r>
    </w:p>
    <w:p w14:paraId="5EA73EDB" w14:textId="77777777" w:rsidR="00EC6DF4" w:rsidRPr="007540D9" w:rsidRDefault="003C2DD4" w:rsidP="00534FE3">
      <w:pPr>
        <w:rPr>
          <w:rFonts w:cs="Arial"/>
          <w:b/>
          <w:bCs/>
          <w:sz w:val="4"/>
          <w:szCs w:val="22"/>
        </w:rPr>
      </w:pPr>
      <w:r w:rsidRPr="007540D9">
        <w:rPr>
          <w:rFonts w:cs="Arial"/>
          <w:b/>
          <w:sz w:val="22"/>
          <w:szCs w:val="22"/>
        </w:rPr>
        <w:br w:type="page"/>
      </w:r>
    </w:p>
    <w:p w14:paraId="5EA73EDC" w14:textId="77777777" w:rsidR="001D6916" w:rsidRDefault="001D6916" w:rsidP="002F58D1">
      <w:pPr>
        <w:rPr>
          <w:rFonts w:ascii="Times New Roman" w:hAnsi="Times New Roman"/>
          <w:sz w:val="20"/>
          <w:szCs w:val="20"/>
          <w:lang w:eastAsia="en-AU"/>
        </w:rPr>
      </w:pPr>
    </w:p>
    <w:p w14:paraId="22BB01DC" w14:textId="7B431642" w:rsidR="0010110B" w:rsidRDefault="0010110B" w:rsidP="00BF287B">
      <w:pPr>
        <w:pStyle w:val="Heading1"/>
      </w:pPr>
      <w:bookmarkStart w:id="325" w:name="_Toc430613770"/>
      <w:r w:rsidRPr="0010110B">
        <w:t>Note 17: Other current liabilities</w:t>
      </w:r>
      <w:bookmarkEnd w:id="325"/>
    </w:p>
    <w:p w14:paraId="251C4D55" w14:textId="77777777" w:rsidR="0010110B" w:rsidRPr="0010110B" w:rsidRDefault="0010110B" w:rsidP="0010110B"/>
    <w:tbl>
      <w:tblPr>
        <w:tblW w:w="8060" w:type="dxa"/>
        <w:tblInd w:w="108" w:type="dxa"/>
        <w:tblLook w:val="04A0" w:firstRow="1" w:lastRow="0" w:firstColumn="1" w:lastColumn="0" w:noHBand="0" w:noVBand="1"/>
      </w:tblPr>
      <w:tblGrid>
        <w:gridCol w:w="5267"/>
        <w:gridCol w:w="1470"/>
        <w:gridCol w:w="1323"/>
      </w:tblGrid>
      <w:tr w:rsidR="007E2B09" w:rsidRPr="0037207C" w14:paraId="5925ADCA" w14:textId="77777777" w:rsidTr="007E2B09">
        <w:trPr>
          <w:trHeight w:val="229"/>
          <w:tblHeader/>
        </w:trPr>
        <w:tc>
          <w:tcPr>
            <w:tcW w:w="5267" w:type="dxa"/>
            <w:shd w:val="clear" w:color="auto" w:fill="auto"/>
            <w:vAlign w:val="center"/>
          </w:tcPr>
          <w:p w14:paraId="08AC44C0" w14:textId="77777777" w:rsidR="007E2B09" w:rsidRPr="0037207C" w:rsidRDefault="007E2B09" w:rsidP="0037207C">
            <w:pPr>
              <w:rPr>
                <w:rFonts w:cs="Arial"/>
                <w:color w:val="000000"/>
                <w:sz w:val="22"/>
                <w:szCs w:val="22"/>
                <w:lang w:eastAsia="en-AU"/>
              </w:rPr>
            </w:pPr>
            <w:bookmarkStart w:id="326" w:name="Table_50"/>
            <w:bookmarkEnd w:id="326"/>
          </w:p>
        </w:tc>
        <w:tc>
          <w:tcPr>
            <w:tcW w:w="1470" w:type="dxa"/>
            <w:shd w:val="clear" w:color="000000" w:fill="BFBFBF" w:themeFill="background1" w:themeFillShade="BF"/>
            <w:vAlign w:val="center"/>
          </w:tcPr>
          <w:p w14:paraId="5D3B1D17" w14:textId="2B10E3FD" w:rsidR="007E2B09" w:rsidRDefault="007E2B09" w:rsidP="0037207C">
            <w:pPr>
              <w:jc w:val="right"/>
              <w:rPr>
                <w:rFonts w:cs="Arial"/>
                <w:color w:val="000000"/>
                <w:sz w:val="22"/>
                <w:szCs w:val="22"/>
                <w:lang w:eastAsia="en-AU"/>
              </w:rPr>
            </w:pPr>
            <w:r>
              <w:rPr>
                <w:rFonts w:cs="Arial"/>
                <w:color w:val="000000"/>
                <w:sz w:val="22"/>
                <w:szCs w:val="22"/>
                <w:lang w:eastAsia="en-AU"/>
              </w:rPr>
              <w:t>2015</w:t>
            </w:r>
          </w:p>
        </w:tc>
        <w:tc>
          <w:tcPr>
            <w:tcW w:w="1323" w:type="dxa"/>
            <w:shd w:val="clear" w:color="auto" w:fill="auto"/>
            <w:vAlign w:val="center"/>
          </w:tcPr>
          <w:p w14:paraId="3FD7E980" w14:textId="420726AB" w:rsidR="007E2B09" w:rsidRDefault="007E2B09" w:rsidP="0037207C">
            <w:pPr>
              <w:jc w:val="right"/>
              <w:rPr>
                <w:rFonts w:cs="Arial"/>
                <w:color w:val="000000"/>
                <w:sz w:val="22"/>
                <w:szCs w:val="22"/>
                <w:lang w:eastAsia="en-AU"/>
              </w:rPr>
            </w:pPr>
            <w:r>
              <w:rPr>
                <w:rFonts w:cs="Arial"/>
                <w:color w:val="000000"/>
                <w:sz w:val="22"/>
                <w:szCs w:val="22"/>
                <w:lang w:eastAsia="en-AU"/>
              </w:rPr>
              <w:t>2014</w:t>
            </w:r>
          </w:p>
        </w:tc>
      </w:tr>
      <w:tr w:rsidR="007E2B09" w:rsidRPr="0037207C" w14:paraId="5EA73EF5" w14:textId="77777777" w:rsidTr="007E2B09">
        <w:trPr>
          <w:trHeight w:val="361"/>
        </w:trPr>
        <w:tc>
          <w:tcPr>
            <w:tcW w:w="5267" w:type="dxa"/>
            <w:shd w:val="clear" w:color="auto" w:fill="auto"/>
            <w:vAlign w:val="center"/>
            <w:hideMark/>
          </w:tcPr>
          <w:p w14:paraId="5EA73EF1" w14:textId="77777777" w:rsidR="007E2B09" w:rsidRPr="0037207C" w:rsidRDefault="007E2B09" w:rsidP="0037207C">
            <w:pPr>
              <w:rPr>
                <w:rFonts w:cs="Arial"/>
                <w:color w:val="000000"/>
                <w:sz w:val="22"/>
                <w:szCs w:val="22"/>
                <w:lang w:eastAsia="en-AU"/>
              </w:rPr>
            </w:pPr>
            <w:r w:rsidRPr="0037207C">
              <w:rPr>
                <w:rFonts w:cs="Arial"/>
                <w:color w:val="000000"/>
                <w:sz w:val="22"/>
                <w:szCs w:val="22"/>
                <w:lang w:eastAsia="en-AU"/>
              </w:rPr>
              <w:t>Grant and other income received in advance</w:t>
            </w:r>
          </w:p>
        </w:tc>
        <w:tc>
          <w:tcPr>
            <w:tcW w:w="1470" w:type="dxa"/>
            <w:shd w:val="clear" w:color="000000" w:fill="BFBFBF" w:themeFill="background1" w:themeFillShade="BF"/>
            <w:vAlign w:val="center"/>
          </w:tcPr>
          <w:p w14:paraId="5EA73EF3" w14:textId="77777777" w:rsidR="007E2B09" w:rsidRPr="0037207C" w:rsidRDefault="007E2B09" w:rsidP="0037207C">
            <w:pPr>
              <w:jc w:val="right"/>
              <w:rPr>
                <w:rFonts w:cs="Arial"/>
                <w:color w:val="000000"/>
                <w:sz w:val="22"/>
                <w:szCs w:val="22"/>
                <w:lang w:eastAsia="en-AU"/>
              </w:rPr>
            </w:pPr>
            <w:r>
              <w:rPr>
                <w:rFonts w:cs="Arial"/>
                <w:color w:val="000000"/>
                <w:sz w:val="22"/>
                <w:szCs w:val="22"/>
                <w:lang w:eastAsia="en-AU"/>
              </w:rPr>
              <w:t>2,339</w:t>
            </w:r>
          </w:p>
        </w:tc>
        <w:tc>
          <w:tcPr>
            <w:tcW w:w="1323" w:type="dxa"/>
            <w:shd w:val="clear" w:color="auto" w:fill="auto"/>
            <w:vAlign w:val="center"/>
            <w:hideMark/>
          </w:tcPr>
          <w:p w14:paraId="5EA73EF4" w14:textId="77777777" w:rsidR="007E2B09" w:rsidRPr="0037207C" w:rsidRDefault="007E2B09" w:rsidP="0037207C">
            <w:pPr>
              <w:jc w:val="right"/>
              <w:rPr>
                <w:rFonts w:cs="Arial"/>
                <w:color w:val="000000"/>
                <w:sz w:val="22"/>
                <w:szCs w:val="22"/>
                <w:lang w:eastAsia="en-AU"/>
              </w:rPr>
            </w:pPr>
            <w:r>
              <w:rPr>
                <w:rFonts w:cs="Arial"/>
                <w:color w:val="000000"/>
                <w:sz w:val="22"/>
                <w:szCs w:val="22"/>
                <w:lang w:eastAsia="en-AU"/>
              </w:rPr>
              <w:t>2,947</w:t>
            </w:r>
          </w:p>
        </w:tc>
      </w:tr>
      <w:tr w:rsidR="007E2B09" w:rsidRPr="0037207C" w14:paraId="5EA73EFA" w14:textId="77777777" w:rsidTr="007E2B09">
        <w:trPr>
          <w:trHeight w:val="224"/>
        </w:trPr>
        <w:tc>
          <w:tcPr>
            <w:tcW w:w="5267" w:type="dxa"/>
            <w:shd w:val="clear" w:color="auto" w:fill="auto"/>
            <w:vAlign w:val="center"/>
            <w:hideMark/>
          </w:tcPr>
          <w:p w14:paraId="5EA73EF6" w14:textId="27634C15" w:rsidR="007E2B09" w:rsidRPr="0037207C" w:rsidRDefault="007E2B09" w:rsidP="0037207C">
            <w:pPr>
              <w:rPr>
                <w:rFonts w:cs="Arial"/>
                <w:color w:val="000000"/>
                <w:sz w:val="22"/>
                <w:szCs w:val="22"/>
                <w:lang w:eastAsia="en-AU"/>
              </w:rPr>
            </w:pPr>
            <w:r>
              <w:rPr>
                <w:rFonts w:cs="Arial"/>
                <w:color w:val="000000"/>
                <w:sz w:val="22"/>
                <w:szCs w:val="22"/>
                <w:lang w:eastAsia="en-AU"/>
              </w:rPr>
              <w:t>Total</w:t>
            </w:r>
          </w:p>
        </w:tc>
        <w:tc>
          <w:tcPr>
            <w:tcW w:w="1470" w:type="dxa"/>
            <w:shd w:val="clear" w:color="000000" w:fill="BFBFBF" w:themeFill="background1" w:themeFillShade="BF"/>
            <w:vAlign w:val="center"/>
          </w:tcPr>
          <w:p w14:paraId="5EA73EF8" w14:textId="77777777" w:rsidR="007E2B09" w:rsidRPr="0037207C" w:rsidRDefault="007E2B09" w:rsidP="0037207C">
            <w:pPr>
              <w:jc w:val="right"/>
              <w:rPr>
                <w:rFonts w:cs="Arial"/>
                <w:color w:val="000000"/>
                <w:sz w:val="22"/>
                <w:szCs w:val="22"/>
                <w:lang w:eastAsia="en-AU"/>
              </w:rPr>
            </w:pPr>
            <w:r>
              <w:rPr>
                <w:rFonts w:cs="Arial"/>
                <w:color w:val="000000"/>
                <w:sz w:val="22"/>
                <w:szCs w:val="22"/>
                <w:lang w:eastAsia="en-AU"/>
              </w:rPr>
              <w:t>2,339</w:t>
            </w:r>
          </w:p>
        </w:tc>
        <w:tc>
          <w:tcPr>
            <w:tcW w:w="1323" w:type="dxa"/>
            <w:shd w:val="clear" w:color="auto" w:fill="auto"/>
            <w:vAlign w:val="center"/>
            <w:hideMark/>
          </w:tcPr>
          <w:p w14:paraId="5EA73EF9" w14:textId="77777777" w:rsidR="007E2B09" w:rsidRPr="0037207C" w:rsidRDefault="007E2B09" w:rsidP="0037207C">
            <w:pPr>
              <w:jc w:val="right"/>
              <w:rPr>
                <w:rFonts w:cs="Arial"/>
                <w:color w:val="000000"/>
                <w:sz w:val="22"/>
                <w:szCs w:val="22"/>
                <w:lang w:eastAsia="en-AU"/>
              </w:rPr>
            </w:pPr>
            <w:r>
              <w:rPr>
                <w:rFonts w:cs="Arial"/>
                <w:color w:val="000000"/>
                <w:sz w:val="22"/>
                <w:szCs w:val="22"/>
                <w:lang w:eastAsia="en-AU"/>
              </w:rPr>
              <w:t>2,947</w:t>
            </w:r>
          </w:p>
        </w:tc>
      </w:tr>
    </w:tbl>
    <w:p w14:paraId="5EA73EFB" w14:textId="77777777" w:rsidR="00CF0E2B" w:rsidRPr="007540D9" w:rsidRDefault="00CF0E2B" w:rsidP="002F58D1">
      <w:pPr>
        <w:rPr>
          <w:rFonts w:cs="Arial"/>
          <w:b/>
          <w:bCs/>
          <w:sz w:val="8"/>
          <w:szCs w:val="22"/>
        </w:rPr>
      </w:pPr>
    </w:p>
    <w:p w14:paraId="5EA73EFC" w14:textId="77777777" w:rsidR="00DC59FD" w:rsidRPr="003D240E" w:rsidRDefault="006621AC" w:rsidP="00BF287B">
      <w:pPr>
        <w:pStyle w:val="Heading1"/>
      </w:pPr>
      <w:bookmarkStart w:id="327" w:name="_Toc430613771"/>
      <w:r w:rsidRPr="003D240E">
        <w:t>Note 1</w:t>
      </w:r>
      <w:r w:rsidR="00FC2EA5" w:rsidRPr="003D240E">
        <w:t>8</w:t>
      </w:r>
      <w:r w:rsidRPr="003D240E">
        <w:t xml:space="preserve">:  </w:t>
      </w:r>
      <w:r w:rsidR="00DC59FD" w:rsidRPr="003D240E">
        <w:t>Retirement Benefit Plans</w:t>
      </w:r>
      <w:bookmarkEnd w:id="327"/>
      <w:r w:rsidR="00DC59FD" w:rsidRPr="003D240E">
        <w:t xml:space="preserve"> </w:t>
      </w:r>
    </w:p>
    <w:p w14:paraId="5EA73EFD" w14:textId="77777777" w:rsidR="00DC59FD" w:rsidRPr="003D240E" w:rsidRDefault="00DC59FD" w:rsidP="00DC59FD">
      <w:pPr>
        <w:pStyle w:val="TextPara"/>
        <w:rPr>
          <w:rFonts w:cs="Arial"/>
          <w:b/>
          <w:bCs/>
          <w:sz w:val="22"/>
          <w:szCs w:val="22"/>
        </w:rPr>
      </w:pPr>
    </w:p>
    <w:p w14:paraId="5EA73EFE" w14:textId="77777777" w:rsidR="00DC59FD" w:rsidRDefault="00DC59FD" w:rsidP="004D62B7">
      <w:pPr>
        <w:pStyle w:val="TextPara"/>
        <w:rPr>
          <w:rFonts w:cs="Arial"/>
          <w:sz w:val="22"/>
          <w:szCs w:val="22"/>
        </w:rPr>
      </w:pPr>
      <w:r w:rsidRPr="00B0325A">
        <w:rPr>
          <w:rFonts w:cs="Arial"/>
          <w:sz w:val="22"/>
          <w:szCs w:val="22"/>
        </w:rPr>
        <w:t>Vision Australia</w:t>
      </w:r>
      <w:r w:rsidR="00A124A1" w:rsidRPr="00B0325A">
        <w:rPr>
          <w:rFonts w:cs="Arial"/>
          <w:sz w:val="22"/>
          <w:szCs w:val="22"/>
        </w:rPr>
        <w:t xml:space="preserve"> Limited</w:t>
      </w:r>
      <w:r w:rsidRPr="00B0325A">
        <w:rPr>
          <w:rFonts w:cs="Arial"/>
          <w:sz w:val="22"/>
          <w:szCs w:val="22"/>
        </w:rPr>
        <w:t xml:space="preserve"> is a member of Health Super Pty Ltd multi-employer defined benefit superannuation plan and is required to contribute a specified percentage of payroll costs to fu</w:t>
      </w:r>
      <w:r w:rsidR="008D6A81" w:rsidRPr="00B0325A">
        <w:rPr>
          <w:rFonts w:cs="Arial"/>
          <w:sz w:val="22"/>
          <w:szCs w:val="22"/>
        </w:rPr>
        <w:t xml:space="preserve">nd </w:t>
      </w:r>
      <w:r w:rsidR="008D6A81" w:rsidRPr="00351B14">
        <w:rPr>
          <w:rFonts w:cs="Arial"/>
          <w:sz w:val="22"/>
          <w:szCs w:val="22"/>
        </w:rPr>
        <w:t xml:space="preserve">the retirement benefits of </w:t>
      </w:r>
      <w:r w:rsidR="00351B14" w:rsidRPr="00351B14">
        <w:rPr>
          <w:rFonts w:cs="Arial"/>
          <w:sz w:val="22"/>
          <w:szCs w:val="22"/>
        </w:rPr>
        <w:t>4</w:t>
      </w:r>
      <w:r w:rsidR="007304E5" w:rsidRPr="00351B14">
        <w:rPr>
          <w:rFonts w:cs="Arial"/>
          <w:sz w:val="22"/>
          <w:szCs w:val="22"/>
        </w:rPr>
        <w:t xml:space="preserve"> (201</w:t>
      </w:r>
      <w:r w:rsidR="008512C8" w:rsidRPr="00351B14">
        <w:rPr>
          <w:rFonts w:cs="Arial"/>
          <w:sz w:val="22"/>
          <w:szCs w:val="22"/>
        </w:rPr>
        <w:t>4</w:t>
      </w:r>
      <w:r w:rsidR="007304E5" w:rsidRPr="00B0325A">
        <w:rPr>
          <w:rFonts w:cs="Arial"/>
          <w:sz w:val="22"/>
          <w:szCs w:val="22"/>
        </w:rPr>
        <w:t xml:space="preserve">: </w:t>
      </w:r>
      <w:r w:rsidR="000C5996">
        <w:rPr>
          <w:rFonts w:cs="Arial"/>
          <w:sz w:val="22"/>
          <w:szCs w:val="22"/>
        </w:rPr>
        <w:t>6</w:t>
      </w:r>
      <w:r w:rsidR="007304E5" w:rsidRPr="00B0325A">
        <w:rPr>
          <w:rFonts w:cs="Arial"/>
          <w:sz w:val="22"/>
          <w:szCs w:val="22"/>
        </w:rPr>
        <w:t>)</w:t>
      </w:r>
      <w:r w:rsidRPr="00B0325A">
        <w:rPr>
          <w:rFonts w:cs="Arial"/>
          <w:sz w:val="22"/>
          <w:szCs w:val="22"/>
        </w:rPr>
        <w:t xml:space="preserve"> employees. </w:t>
      </w:r>
    </w:p>
    <w:p w14:paraId="5EA73EFF" w14:textId="77777777" w:rsidR="000C5996" w:rsidRPr="00B0325A" w:rsidRDefault="000C5996" w:rsidP="004D62B7">
      <w:pPr>
        <w:pStyle w:val="TextPara"/>
        <w:rPr>
          <w:rFonts w:cs="Arial"/>
          <w:sz w:val="22"/>
          <w:szCs w:val="22"/>
        </w:rPr>
      </w:pPr>
    </w:p>
    <w:p w14:paraId="5EA73F00" w14:textId="77777777" w:rsidR="00DC59FD" w:rsidRPr="00B0325A" w:rsidRDefault="00DC59FD" w:rsidP="004D62B7">
      <w:pPr>
        <w:pStyle w:val="TextPara"/>
        <w:rPr>
          <w:rFonts w:cs="Arial"/>
          <w:sz w:val="22"/>
          <w:szCs w:val="22"/>
        </w:rPr>
      </w:pPr>
      <w:r w:rsidRPr="00B0325A">
        <w:rPr>
          <w:rFonts w:cs="Arial"/>
          <w:sz w:val="22"/>
          <w:szCs w:val="22"/>
        </w:rPr>
        <w:t xml:space="preserve">As some members of the fund are current and former members of other employers, for the purposes of applying AASB 119 Employee Benefits, the fund actuary does not believe there is sufficient information available to allocate obligations, assets and costs between the members of the fund. </w:t>
      </w:r>
    </w:p>
    <w:p w14:paraId="5EA73F01" w14:textId="77777777" w:rsidR="00DC59FD" w:rsidRPr="00B0325A" w:rsidRDefault="00DC59FD" w:rsidP="004D62B7">
      <w:pPr>
        <w:pStyle w:val="TextPara"/>
        <w:rPr>
          <w:rFonts w:cs="Arial"/>
          <w:sz w:val="22"/>
          <w:szCs w:val="22"/>
        </w:rPr>
      </w:pPr>
    </w:p>
    <w:p w14:paraId="5EA73F02" w14:textId="77777777" w:rsidR="00DC59FD" w:rsidRDefault="00DC59FD" w:rsidP="004D62B7">
      <w:pPr>
        <w:pStyle w:val="TextPara"/>
        <w:rPr>
          <w:rFonts w:cs="Arial"/>
          <w:sz w:val="22"/>
          <w:szCs w:val="22"/>
        </w:rPr>
      </w:pPr>
      <w:r w:rsidRPr="00B0325A">
        <w:rPr>
          <w:rFonts w:cs="Arial"/>
          <w:sz w:val="22"/>
          <w:szCs w:val="22"/>
        </w:rPr>
        <w:t>In accordance with the requirements of AASB 119, given the lack of sufficient information available, the plan is accounted for as if it were a defined contribution plan. Vision Australia</w:t>
      </w:r>
      <w:r w:rsidR="00A124A1" w:rsidRPr="00B0325A">
        <w:rPr>
          <w:rFonts w:cs="Arial"/>
          <w:sz w:val="22"/>
          <w:szCs w:val="22"/>
        </w:rPr>
        <w:t xml:space="preserve"> </w:t>
      </w:r>
      <w:r w:rsidR="00A124A1" w:rsidRPr="004E5DE7">
        <w:rPr>
          <w:rFonts w:cs="Arial"/>
          <w:sz w:val="22"/>
          <w:szCs w:val="22"/>
        </w:rPr>
        <w:t>Limited</w:t>
      </w:r>
      <w:r w:rsidRPr="004E5DE7">
        <w:rPr>
          <w:rFonts w:cs="Arial"/>
          <w:sz w:val="22"/>
          <w:szCs w:val="22"/>
        </w:rPr>
        <w:t xml:space="preserve"> made total contributions to the plan of </w:t>
      </w:r>
      <w:r w:rsidR="003C676D" w:rsidRPr="004E5DE7">
        <w:rPr>
          <w:rFonts w:cs="Arial"/>
          <w:sz w:val="22"/>
          <w:szCs w:val="22"/>
        </w:rPr>
        <w:t>$</w:t>
      </w:r>
      <w:r w:rsidR="004E5DE7" w:rsidRPr="004E5DE7">
        <w:rPr>
          <w:rFonts w:cs="Arial"/>
          <w:sz w:val="22"/>
          <w:szCs w:val="22"/>
        </w:rPr>
        <w:t>21,000</w:t>
      </w:r>
      <w:r w:rsidR="008D6A81" w:rsidRPr="004E5DE7">
        <w:rPr>
          <w:rFonts w:cs="Arial"/>
          <w:sz w:val="22"/>
          <w:szCs w:val="22"/>
        </w:rPr>
        <w:t xml:space="preserve"> </w:t>
      </w:r>
      <w:r w:rsidR="005A37F5" w:rsidRPr="004E5DE7">
        <w:rPr>
          <w:rFonts w:cs="Arial"/>
          <w:sz w:val="22"/>
          <w:szCs w:val="22"/>
        </w:rPr>
        <w:t>(20</w:t>
      </w:r>
      <w:r w:rsidR="00A44E8A" w:rsidRPr="004E5DE7">
        <w:rPr>
          <w:rFonts w:cs="Arial"/>
          <w:sz w:val="22"/>
          <w:szCs w:val="22"/>
        </w:rPr>
        <w:t>1</w:t>
      </w:r>
      <w:r w:rsidR="00723E6D" w:rsidRPr="004E5DE7">
        <w:rPr>
          <w:rFonts w:cs="Arial"/>
          <w:sz w:val="22"/>
          <w:szCs w:val="22"/>
        </w:rPr>
        <w:t>4</w:t>
      </w:r>
      <w:r w:rsidR="005A37F5" w:rsidRPr="004E5DE7">
        <w:rPr>
          <w:rFonts w:cs="Arial"/>
          <w:sz w:val="22"/>
          <w:szCs w:val="22"/>
        </w:rPr>
        <w:t>:</w:t>
      </w:r>
      <w:r w:rsidR="00A44E8A" w:rsidRPr="004E5DE7">
        <w:rPr>
          <w:rFonts w:cs="Arial"/>
          <w:sz w:val="22"/>
          <w:szCs w:val="22"/>
        </w:rPr>
        <w:t xml:space="preserve"> </w:t>
      </w:r>
      <w:r w:rsidR="00723E6D" w:rsidRPr="004E5DE7">
        <w:rPr>
          <w:rFonts w:cs="Arial"/>
          <w:sz w:val="22"/>
          <w:szCs w:val="22"/>
        </w:rPr>
        <w:t>$25</w:t>
      </w:r>
      <w:r w:rsidR="00250E08" w:rsidRPr="004E5DE7">
        <w:rPr>
          <w:rFonts w:cs="Arial"/>
          <w:sz w:val="22"/>
          <w:szCs w:val="22"/>
        </w:rPr>
        <w:t>,000</w:t>
      </w:r>
      <w:r w:rsidR="00AF6439" w:rsidRPr="004E5DE7">
        <w:rPr>
          <w:rFonts w:cs="Arial"/>
          <w:sz w:val="22"/>
          <w:szCs w:val="22"/>
        </w:rPr>
        <w:t xml:space="preserve">) </w:t>
      </w:r>
      <w:r w:rsidR="008D6A81" w:rsidRPr="004E5DE7">
        <w:rPr>
          <w:rFonts w:cs="Arial"/>
          <w:sz w:val="22"/>
          <w:szCs w:val="22"/>
        </w:rPr>
        <w:t>during the year</w:t>
      </w:r>
      <w:r w:rsidRPr="00B0325A">
        <w:rPr>
          <w:rFonts w:cs="Arial"/>
          <w:sz w:val="22"/>
          <w:szCs w:val="22"/>
        </w:rPr>
        <w:t xml:space="preserve"> which are recognised as an expense in the </w:t>
      </w:r>
      <w:r w:rsidR="00AF6439" w:rsidRPr="00B0325A">
        <w:rPr>
          <w:rFonts w:cs="Arial"/>
          <w:sz w:val="22"/>
          <w:szCs w:val="22"/>
        </w:rPr>
        <w:t xml:space="preserve">statement of </w:t>
      </w:r>
      <w:r w:rsidR="00F20867" w:rsidRPr="00B0325A">
        <w:rPr>
          <w:rFonts w:cs="Arial"/>
          <w:sz w:val="22"/>
          <w:szCs w:val="22"/>
        </w:rPr>
        <w:t xml:space="preserve">profit or loss and other </w:t>
      </w:r>
      <w:r w:rsidR="00AF6439" w:rsidRPr="00B0325A">
        <w:rPr>
          <w:rFonts w:cs="Arial"/>
          <w:sz w:val="22"/>
          <w:szCs w:val="22"/>
        </w:rPr>
        <w:t>comprehensive income.</w:t>
      </w:r>
      <w:r w:rsidRPr="00B0325A">
        <w:rPr>
          <w:rFonts w:cs="Arial"/>
          <w:sz w:val="22"/>
          <w:szCs w:val="22"/>
        </w:rPr>
        <w:t xml:space="preserve"> </w:t>
      </w:r>
    </w:p>
    <w:p w14:paraId="799C956B" w14:textId="77777777" w:rsidR="003D240E" w:rsidRDefault="003D240E" w:rsidP="004D62B7">
      <w:pPr>
        <w:pStyle w:val="TextPara"/>
        <w:rPr>
          <w:rFonts w:cs="Arial"/>
          <w:sz w:val="22"/>
          <w:szCs w:val="22"/>
        </w:rPr>
      </w:pPr>
    </w:p>
    <w:p w14:paraId="071D1446" w14:textId="019F7236" w:rsidR="003D240E" w:rsidRPr="003D240E" w:rsidRDefault="003D240E" w:rsidP="00BF287B">
      <w:pPr>
        <w:pStyle w:val="Heading1"/>
      </w:pPr>
      <w:bookmarkStart w:id="328" w:name="_Toc430613772"/>
      <w:r w:rsidRPr="003D240E">
        <w:t>Note 19: Reserves</w:t>
      </w:r>
      <w:bookmarkEnd w:id="328"/>
    </w:p>
    <w:p w14:paraId="5EA73F03" w14:textId="77777777" w:rsidR="001D6916" w:rsidRDefault="001D6916" w:rsidP="0071410D">
      <w:pPr>
        <w:pStyle w:val="TextPara"/>
        <w:jc w:val="both"/>
        <w:rPr>
          <w:rFonts w:ascii="Times New Roman" w:hAnsi="Times New Roman"/>
          <w:lang w:eastAsia="en-AU"/>
        </w:rPr>
      </w:pPr>
    </w:p>
    <w:tbl>
      <w:tblPr>
        <w:tblW w:w="8673" w:type="dxa"/>
        <w:tblInd w:w="108" w:type="dxa"/>
        <w:tblLook w:val="04A0" w:firstRow="1" w:lastRow="0" w:firstColumn="1" w:lastColumn="0" w:noHBand="0" w:noVBand="1"/>
      </w:tblPr>
      <w:tblGrid>
        <w:gridCol w:w="5954"/>
        <w:gridCol w:w="1443"/>
        <w:gridCol w:w="1276"/>
      </w:tblGrid>
      <w:tr w:rsidR="00083D2F" w:rsidRPr="0037207C" w14:paraId="5EA73F12" w14:textId="77777777" w:rsidTr="00083D2F">
        <w:trPr>
          <w:trHeight w:val="102"/>
          <w:tblHeader/>
        </w:trPr>
        <w:tc>
          <w:tcPr>
            <w:tcW w:w="5954" w:type="dxa"/>
            <w:tcBorders>
              <w:top w:val="nil"/>
              <w:left w:val="nil"/>
              <w:bottom w:val="nil"/>
              <w:right w:val="nil"/>
            </w:tcBorders>
            <w:shd w:val="clear" w:color="auto" w:fill="auto"/>
            <w:vAlign w:val="center"/>
            <w:hideMark/>
          </w:tcPr>
          <w:p w14:paraId="5EA73F0E" w14:textId="77777777" w:rsidR="00083D2F" w:rsidRPr="0037207C" w:rsidRDefault="00083D2F" w:rsidP="0037207C">
            <w:pPr>
              <w:rPr>
                <w:rFonts w:cs="Arial"/>
                <w:color w:val="000000"/>
                <w:sz w:val="22"/>
                <w:szCs w:val="22"/>
                <w:lang w:eastAsia="en-AU"/>
              </w:rPr>
            </w:pPr>
            <w:bookmarkStart w:id="329" w:name="Table_51"/>
            <w:bookmarkEnd w:id="329"/>
            <w:r w:rsidRPr="0037207C">
              <w:rPr>
                <w:rFonts w:cs="Arial"/>
                <w:color w:val="000000"/>
                <w:sz w:val="22"/>
                <w:szCs w:val="22"/>
                <w:u w:val="single"/>
                <w:lang w:eastAsia="en-AU"/>
              </w:rPr>
              <w:t>Asset Revaluation Reserve</w:t>
            </w:r>
            <w:r w:rsidRPr="0037207C">
              <w:rPr>
                <w:rFonts w:cs="Arial"/>
                <w:color w:val="000000"/>
                <w:sz w:val="22"/>
                <w:szCs w:val="22"/>
                <w:lang w:eastAsia="en-AU"/>
              </w:rPr>
              <w:t xml:space="preserve"> </w:t>
            </w:r>
            <w:r w:rsidRPr="0037207C">
              <w:rPr>
                <w:rFonts w:cs="Arial"/>
                <w:color w:val="000000"/>
                <w:sz w:val="22"/>
                <w:szCs w:val="22"/>
                <w:vertAlign w:val="superscript"/>
                <w:lang w:eastAsia="en-AU"/>
              </w:rPr>
              <w:t>(</w:t>
            </w:r>
            <w:proofErr w:type="spellStart"/>
            <w:r w:rsidRPr="0037207C">
              <w:rPr>
                <w:rFonts w:cs="Arial"/>
                <w:color w:val="000000"/>
                <w:sz w:val="22"/>
                <w:szCs w:val="22"/>
                <w:vertAlign w:val="superscript"/>
                <w:lang w:eastAsia="en-AU"/>
              </w:rPr>
              <w:t>i</w:t>
            </w:r>
            <w:proofErr w:type="spellEnd"/>
            <w:r w:rsidRPr="0037207C">
              <w:rPr>
                <w:rFonts w:cs="Arial"/>
                <w:color w:val="000000"/>
                <w:sz w:val="22"/>
                <w:szCs w:val="22"/>
                <w:vertAlign w:val="superscript"/>
                <w:lang w:eastAsia="en-AU"/>
              </w:rPr>
              <w:t>)</w:t>
            </w:r>
          </w:p>
        </w:tc>
        <w:tc>
          <w:tcPr>
            <w:tcW w:w="1443" w:type="dxa"/>
            <w:tcBorders>
              <w:top w:val="nil"/>
              <w:left w:val="nil"/>
              <w:bottom w:val="nil"/>
              <w:right w:val="nil"/>
            </w:tcBorders>
            <w:shd w:val="clear" w:color="auto" w:fill="BFBFBF" w:themeFill="background1" w:themeFillShade="BF"/>
            <w:vAlign w:val="center"/>
            <w:hideMark/>
          </w:tcPr>
          <w:p w14:paraId="5EA73F10" w14:textId="1BA56D91" w:rsidR="00083D2F" w:rsidRPr="0037207C" w:rsidRDefault="00083D2F" w:rsidP="0037207C">
            <w:pPr>
              <w:jc w:val="right"/>
              <w:rPr>
                <w:rFonts w:cs="Arial"/>
                <w:color w:val="000000"/>
                <w:sz w:val="22"/>
                <w:szCs w:val="22"/>
                <w:lang w:eastAsia="en-AU"/>
              </w:rPr>
            </w:pPr>
            <w:r>
              <w:rPr>
                <w:rFonts w:cs="Arial"/>
                <w:color w:val="000000"/>
                <w:sz w:val="22"/>
                <w:szCs w:val="22"/>
                <w:lang w:eastAsia="en-AU"/>
              </w:rPr>
              <w:t>2015</w:t>
            </w:r>
          </w:p>
        </w:tc>
        <w:tc>
          <w:tcPr>
            <w:tcW w:w="1276" w:type="dxa"/>
            <w:tcBorders>
              <w:top w:val="nil"/>
              <w:left w:val="nil"/>
              <w:bottom w:val="nil"/>
              <w:right w:val="nil"/>
            </w:tcBorders>
            <w:shd w:val="clear" w:color="auto" w:fill="auto"/>
            <w:vAlign w:val="center"/>
            <w:hideMark/>
          </w:tcPr>
          <w:p w14:paraId="5EA73F11" w14:textId="346910AB" w:rsidR="00083D2F" w:rsidRPr="0037207C" w:rsidRDefault="00083D2F" w:rsidP="0037207C">
            <w:pPr>
              <w:jc w:val="right"/>
              <w:rPr>
                <w:rFonts w:cs="Arial"/>
                <w:color w:val="000000"/>
                <w:sz w:val="22"/>
                <w:szCs w:val="22"/>
                <w:lang w:eastAsia="en-AU"/>
              </w:rPr>
            </w:pPr>
            <w:r>
              <w:rPr>
                <w:rFonts w:cs="Arial"/>
                <w:color w:val="000000"/>
                <w:sz w:val="22"/>
                <w:szCs w:val="22"/>
                <w:lang w:eastAsia="en-AU"/>
              </w:rPr>
              <w:t>2014</w:t>
            </w:r>
          </w:p>
        </w:tc>
      </w:tr>
      <w:tr w:rsidR="00083D2F" w:rsidRPr="0037207C" w14:paraId="5EA73F17" w14:textId="77777777" w:rsidTr="00083D2F">
        <w:trPr>
          <w:trHeight w:val="102"/>
        </w:trPr>
        <w:tc>
          <w:tcPr>
            <w:tcW w:w="5954" w:type="dxa"/>
            <w:tcBorders>
              <w:top w:val="nil"/>
              <w:left w:val="nil"/>
              <w:bottom w:val="nil"/>
              <w:right w:val="nil"/>
            </w:tcBorders>
            <w:shd w:val="clear" w:color="auto" w:fill="auto"/>
            <w:vAlign w:val="center"/>
            <w:hideMark/>
          </w:tcPr>
          <w:p w14:paraId="5EA73F13" w14:textId="77777777" w:rsidR="00083D2F" w:rsidRPr="0037207C" w:rsidRDefault="00083D2F" w:rsidP="0037207C">
            <w:pPr>
              <w:rPr>
                <w:rFonts w:cs="Arial"/>
                <w:color w:val="000000"/>
                <w:sz w:val="22"/>
                <w:szCs w:val="22"/>
                <w:lang w:eastAsia="en-AU"/>
              </w:rPr>
            </w:pPr>
            <w:r w:rsidRPr="0037207C">
              <w:rPr>
                <w:rFonts w:cs="Arial"/>
                <w:color w:val="000000"/>
                <w:sz w:val="22"/>
                <w:szCs w:val="22"/>
                <w:lang w:eastAsia="en-AU"/>
              </w:rPr>
              <w:t>Balance at beginning of financial year</w:t>
            </w:r>
          </w:p>
        </w:tc>
        <w:tc>
          <w:tcPr>
            <w:tcW w:w="1443" w:type="dxa"/>
            <w:tcBorders>
              <w:top w:val="nil"/>
              <w:left w:val="nil"/>
              <w:bottom w:val="nil"/>
              <w:right w:val="nil"/>
            </w:tcBorders>
            <w:shd w:val="clear" w:color="auto" w:fill="BFBFBF" w:themeFill="background1" w:themeFillShade="BF"/>
            <w:vAlign w:val="bottom"/>
          </w:tcPr>
          <w:p w14:paraId="5EA73F15" w14:textId="77777777" w:rsidR="00083D2F" w:rsidRPr="0037207C" w:rsidRDefault="00083D2F" w:rsidP="008512C8">
            <w:pPr>
              <w:jc w:val="right"/>
              <w:rPr>
                <w:rFonts w:cs="Arial"/>
                <w:color w:val="000000"/>
                <w:sz w:val="22"/>
                <w:szCs w:val="22"/>
                <w:lang w:eastAsia="en-AU"/>
              </w:rPr>
            </w:pPr>
            <w:r>
              <w:rPr>
                <w:rFonts w:cs="Arial"/>
                <w:color w:val="000000"/>
                <w:sz w:val="22"/>
                <w:szCs w:val="22"/>
                <w:lang w:eastAsia="en-AU"/>
              </w:rPr>
              <w:t>6,733</w:t>
            </w:r>
          </w:p>
        </w:tc>
        <w:tc>
          <w:tcPr>
            <w:tcW w:w="1276" w:type="dxa"/>
            <w:tcBorders>
              <w:top w:val="nil"/>
              <w:left w:val="nil"/>
              <w:bottom w:val="nil"/>
              <w:right w:val="nil"/>
            </w:tcBorders>
            <w:shd w:val="clear" w:color="auto" w:fill="auto"/>
            <w:vAlign w:val="bottom"/>
            <w:hideMark/>
          </w:tcPr>
          <w:p w14:paraId="5EA73F16" w14:textId="77777777" w:rsidR="00083D2F" w:rsidRPr="0037207C" w:rsidRDefault="00083D2F" w:rsidP="008512C8">
            <w:pPr>
              <w:jc w:val="right"/>
              <w:rPr>
                <w:rFonts w:cs="Arial"/>
                <w:color w:val="000000"/>
                <w:sz w:val="22"/>
                <w:szCs w:val="22"/>
                <w:lang w:eastAsia="en-AU"/>
              </w:rPr>
            </w:pPr>
            <w:r w:rsidRPr="0037207C">
              <w:rPr>
                <w:rFonts w:cs="Arial"/>
                <w:color w:val="000000"/>
                <w:sz w:val="22"/>
                <w:szCs w:val="22"/>
                <w:lang w:eastAsia="en-AU"/>
              </w:rPr>
              <w:t xml:space="preserve">         4,653 </w:t>
            </w:r>
          </w:p>
        </w:tc>
      </w:tr>
      <w:tr w:rsidR="00083D2F" w:rsidRPr="0037207C" w14:paraId="5EA73F1C" w14:textId="77777777" w:rsidTr="00083D2F">
        <w:trPr>
          <w:trHeight w:val="253"/>
        </w:trPr>
        <w:tc>
          <w:tcPr>
            <w:tcW w:w="5954" w:type="dxa"/>
            <w:tcBorders>
              <w:top w:val="nil"/>
              <w:left w:val="nil"/>
              <w:bottom w:val="nil"/>
              <w:right w:val="nil"/>
            </w:tcBorders>
            <w:shd w:val="clear" w:color="auto" w:fill="auto"/>
            <w:vAlign w:val="center"/>
          </w:tcPr>
          <w:p w14:paraId="5EA73F18" w14:textId="77777777" w:rsidR="00083D2F" w:rsidRPr="0037207C" w:rsidRDefault="00083D2F" w:rsidP="004218C3">
            <w:pPr>
              <w:rPr>
                <w:rFonts w:cs="Arial"/>
                <w:color w:val="000000"/>
                <w:sz w:val="22"/>
                <w:szCs w:val="22"/>
                <w:lang w:eastAsia="en-AU"/>
              </w:rPr>
            </w:pPr>
            <w:r w:rsidRPr="0037207C">
              <w:rPr>
                <w:rFonts w:cs="Arial"/>
                <w:color w:val="000000"/>
                <w:sz w:val="22"/>
                <w:szCs w:val="22"/>
                <w:lang w:eastAsia="en-AU"/>
              </w:rPr>
              <w:t>Mark to market revaluation on available for sale investments</w:t>
            </w:r>
          </w:p>
        </w:tc>
        <w:tc>
          <w:tcPr>
            <w:tcW w:w="1443" w:type="dxa"/>
            <w:tcBorders>
              <w:top w:val="nil"/>
              <w:left w:val="nil"/>
              <w:bottom w:val="nil"/>
              <w:right w:val="nil"/>
            </w:tcBorders>
            <w:shd w:val="clear" w:color="auto" w:fill="BFBFBF" w:themeFill="background1" w:themeFillShade="BF"/>
            <w:vAlign w:val="bottom"/>
          </w:tcPr>
          <w:p w14:paraId="5EA73F1A" w14:textId="77777777" w:rsidR="00083D2F" w:rsidRPr="0037207C" w:rsidRDefault="00083D2F" w:rsidP="008512C8">
            <w:pPr>
              <w:jc w:val="right"/>
              <w:rPr>
                <w:rFonts w:cs="Arial"/>
                <w:color w:val="000000"/>
                <w:sz w:val="22"/>
                <w:szCs w:val="22"/>
                <w:lang w:eastAsia="en-AU"/>
              </w:rPr>
            </w:pPr>
            <w:r>
              <w:rPr>
                <w:rFonts w:cs="Arial"/>
                <w:color w:val="000000"/>
                <w:sz w:val="22"/>
                <w:szCs w:val="22"/>
                <w:lang w:eastAsia="en-AU"/>
              </w:rPr>
              <w:t>(3,166)</w:t>
            </w:r>
          </w:p>
        </w:tc>
        <w:tc>
          <w:tcPr>
            <w:tcW w:w="1276" w:type="dxa"/>
            <w:tcBorders>
              <w:top w:val="nil"/>
              <w:left w:val="nil"/>
              <w:bottom w:val="nil"/>
              <w:right w:val="nil"/>
            </w:tcBorders>
            <w:shd w:val="clear" w:color="auto" w:fill="auto"/>
            <w:vAlign w:val="bottom"/>
          </w:tcPr>
          <w:p w14:paraId="5EA73F1B" w14:textId="77777777" w:rsidR="00083D2F" w:rsidRPr="0037207C" w:rsidRDefault="00083D2F" w:rsidP="008512C8">
            <w:pPr>
              <w:jc w:val="right"/>
              <w:rPr>
                <w:rFonts w:cs="Arial"/>
                <w:color w:val="000000"/>
                <w:sz w:val="22"/>
                <w:szCs w:val="22"/>
                <w:lang w:eastAsia="en-AU"/>
              </w:rPr>
            </w:pPr>
            <w:r w:rsidRPr="0037207C">
              <w:rPr>
                <w:rFonts w:cs="Arial"/>
                <w:color w:val="000000"/>
                <w:sz w:val="22"/>
                <w:szCs w:val="22"/>
                <w:lang w:eastAsia="en-AU"/>
              </w:rPr>
              <w:t xml:space="preserve">         3,029 </w:t>
            </w:r>
          </w:p>
        </w:tc>
      </w:tr>
      <w:tr w:rsidR="00083D2F" w:rsidRPr="0037207C" w14:paraId="5EA73F21" w14:textId="77777777" w:rsidTr="00083D2F">
        <w:trPr>
          <w:trHeight w:val="253"/>
        </w:trPr>
        <w:tc>
          <w:tcPr>
            <w:tcW w:w="5954" w:type="dxa"/>
            <w:vMerge w:val="restart"/>
            <w:tcBorders>
              <w:top w:val="nil"/>
              <w:left w:val="nil"/>
              <w:bottom w:val="nil"/>
              <w:right w:val="nil"/>
            </w:tcBorders>
            <w:shd w:val="clear" w:color="auto" w:fill="auto"/>
            <w:vAlign w:val="center"/>
            <w:hideMark/>
          </w:tcPr>
          <w:p w14:paraId="5EA73F1D" w14:textId="77777777" w:rsidR="00083D2F" w:rsidRPr="0037207C" w:rsidRDefault="00083D2F" w:rsidP="0037207C">
            <w:pPr>
              <w:rPr>
                <w:rFonts w:cs="Arial"/>
                <w:color w:val="000000"/>
                <w:sz w:val="22"/>
                <w:szCs w:val="22"/>
                <w:lang w:eastAsia="en-AU"/>
              </w:rPr>
            </w:pPr>
            <w:r w:rsidRPr="0037207C">
              <w:rPr>
                <w:rFonts w:cs="Arial"/>
                <w:color w:val="000000"/>
                <w:sz w:val="22"/>
                <w:szCs w:val="22"/>
                <w:lang w:eastAsia="en-AU"/>
              </w:rPr>
              <w:t>Impairment loss on available for sale investments reclassified to Statement of Comprehensive Income</w:t>
            </w:r>
          </w:p>
        </w:tc>
        <w:tc>
          <w:tcPr>
            <w:tcW w:w="1443" w:type="dxa"/>
            <w:vMerge w:val="restart"/>
            <w:tcBorders>
              <w:top w:val="nil"/>
              <w:left w:val="nil"/>
              <w:bottom w:val="nil"/>
              <w:right w:val="nil"/>
            </w:tcBorders>
            <w:shd w:val="clear" w:color="auto" w:fill="BFBFBF" w:themeFill="background1" w:themeFillShade="BF"/>
            <w:vAlign w:val="bottom"/>
          </w:tcPr>
          <w:p w14:paraId="5EA73F1F" w14:textId="77777777" w:rsidR="00083D2F" w:rsidRPr="0037207C" w:rsidRDefault="00083D2F" w:rsidP="008512C8">
            <w:pPr>
              <w:jc w:val="right"/>
              <w:rPr>
                <w:rFonts w:cs="Arial"/>
                <w:color w:val="000000"/>
                <w:sz w:val="22"/>
                <w:szCs w:val="22"/>
                <w:lang w:eastAsia="en-AU"/>
              </w:rPr>
            </w:pPr>
            <w:r>
              <w:rPr>
                <w:rFonts w:cs="Arial"/>
                <w:color w:val="000000"/>
                <w:sz w:val="22"/>
                <w:szCs w:val="22"/>
                <w:lang w:eastAsia="en-AU"/>
              </w:rPr>
              <w:t>244</w:t>
            </w:r>
          </w:p>
        </w:tc>
        <w:tc>
          <w:tcPr>
            <w:tcW w:w="1276" w:type="dxa"/>
            <w:vMerge w:val="restart"/>
            <w:tcBorders>
              <w:top w:val="nil"/>
              <w:left w:val="nil"/>
              <w:bottom w:val="nil"/>
              <w:right w:val="nil"/>
            </w:tcBorders>
            <w:shd w:val="clear" w:color="auto" w:fill="auto"/>
            <w:vAlign w:val="center"/>
            <w:hideMark/>
          </w:tcPr>
          <w:p w14:paraId="5EA73F20" w14:textId="77777777" w:rsidR="00083D2F" w:rsidRPr="0037207C" w:rsidRDefault="00083D2F" w:rsidP="0037207C">
            <w:pPr>
              <w:jc w:val="right"/>
              <w:rPr>
                <w:rFonts w:cs="Arial"/>
                <w:color w:val="000000"/>
                <w:sz w:val="22"/>
                <w:szCs w:val="22"/>
                <w:lang w:eastAsia="en-AU"/>
              </w:rPr>
            </w:pPr>
            <w:r w:rsidRPr="0037207C">
              <w:rPr>
                <w:rFonts w:cs="Arial"/>
                <w:color w:val="000000"/>
                <w:sz w:val="22"/>
                <w:szCs w:val="22"/>
                <w:lang w:eastAsia="en-AU"/>
              </w:rPr>
              <w:t xml:space="preserve">            445 </w:t>
            </w:r>
          </w:p>
        </w:tc>
      </w:tr>
      <w:tr w:rsidR="00083D2F" w:rsidRPr="0037207C" w14:paraId="5EA73F26" w14:textId="77777777" w:rsidTr="00083D2F">
        <w:trPr>
          <w:trHeight w:val="253"/>
        </w:trPr>
        <w:tc>
          <w:tcPr>
            <w:tcW w:w="5954" w:type="dxa"/>
            <w:vMerge/>
            <w:tcBorders>
              <w:top w:val="nil"/>
              <w:left w:val="nil"/>
              <w:bottom w:val="nil"/>
              <w:right w:val="nil"/>
            </w:tcBorders>
            <w:vAlign w:val="center"/>
            <w:hideMark/>
          </w:tcPr>
          <w:p w14:paraId="5EA73F22" w14:textId="77777777" w:rsidR="00083D2F" w:rsidRPr="0037207C" w:rsidRDefault="00083D2F" w:rsidP="0037207C">
            <w:pPr>
              <w:rPr>
                <w:rFonts w:cs="Arial"/>
                <w:color w:val="000000"/>
                <w:sz w:val="22"/>
                <w:szCs w:val="22"/>
                <w:lang w:eastAsia="en-AU"/>
              </w:rPr>
            </w:pPr>
          </w:p>
        </w:tc>
        <w:tc>
          <w:tcPr>
            <w:tcW w:w="1443" w:type="dxa"/>
            <w:vMerge/>
            <w:tcBorders>
              <w:top w:val="nil"/>
              <w:left w:val="nil"/>
              <w:bottom w:val="nil"/>
              <w:right w:val="nil"/>
            </w:tcBorders>
            <w:shd w:val="clear" w:color="auto" w:fill="BFBFBF" w:themeFill="background1" w:themeFillShade="BF"/>
            <w:vAlign w:val="bottom"/>
          </w:tcPr>
          <w:p w14:paraId="5EA73F24" w14:textId="77777777" w:rsidR="00083D2F" w:rsidRPr="0037207C" w:rsidRDefault="00083D2F" w:rsidP="008512C8">
            <w:pPr>
              <w:jc w:val="right"/>
              <w:rPr>
                <w:rFonts w:cs="Arial"/>
                <w:color w:val="000000"/>
                <w:sz w:val="22"/>
                <w:szCs w:val="22"/>
                <w:lang w:eastAsia="en-AU"/>
              </w:rPr>
            </w:pPr>
          </w:p>
        </w:tc>
        <w:tc>
          <w:tcPr>
            <w:tcW w:w="1276" w:type="dxa"/>
            <w:vMerge/>
            <w:tcBorders>
              <w:top w:val="nil"/>
              <w:left w:val="nil"/>
              <w:bottom w:val="nil"/>
              <w:right w:val="nil"/>
            </w:tcBorders>
            <w:vAlign w:val="center"/>
            <w:hideMark/>
          </w:tcPr>
          <w:p w14:paraId="5EA73F25" w14:textId="77777777" w:rsidR="00083D2F" w:rsidRPr="0037207C" w:rsidRDefault="00083D2F" w:rsidP="0037207C">
            <w:pPr>
              <w:rPr>
                <w:rFonts w:cs="Arial"/>
                <w:color w:val="000000"/>
                <w:sz w:val="22"/>
                <w:szCs w:val="22"/>
                <w:lang w:eastAsia="en-AU"/>
              </w:rPr>
            </w:pPr>
          </w:p>
        </w:tc>
      </w:tr>
      <w:tr w:rsidR="00083D2F" w:rsidRPr="0037207C" w14:paraId="5EA73F2B" w14:textId="77777777" w:rsidTr="00083D2F">
        <w:trPr>
          <w:trHeight w:val="253"/>
        </w:trPr>
        <w:tc>
          <w:tcPr>
            <w:tcW w:w="5954" w:type="dxa"/>
            <w:vMerge w:val="restart"/>
            <w:tcBorders>
              <w:top w:val="nil"/>
              <w:left w:val="nil"/>
              <w:bottom w:val="nil"/>
              <w:right w:val="nil"/>
            </w:tcBorders>
            <w:shd w:val="clear" w:color="auto" w:fill="auto"/>
            <w:vAlign w:val="center"/>
            <w:hideMark/>
          </w:tcPr>
          <w:p w14:paraId="5EA73F27" w14:textId="77777777" w:rsidR="00083D2F" w:rsidRPr="0037207C" w:rsidRDefault="00083D2F" w:rsidP="0037207C">
            <w:pPr>
              <w:rPr>
                <w:rFonts w:cs="Arial"/>
                <w:color w:val="000000"/>
                <w:sz w:val="22"/>
                <w:szCs w:val="22"/>
                <w:lang w:eastAsia="en-AU"/>
              </w:rPr>
            </w:pPr>
            <w:r w:rsidRPr="0037207C">
              <w:rPr>
                <w:rFonts w:cs="Arial"/>
                <w:color w:val="000000"/>
                <w:sz w:val="22"/>
                <w:szCs w:val="22"/>
                <w:lang w:eastAsia="en-AU"/>
              </w:rPr>
              <w:t>Impairment loss derecognised on disposal of available for sale investments</w:t>
            </w:r>
          </w:p>
        </w:tc>
        <w:tc>
          <w:tcPr>
            <w:tcW w:w="1443" w:type="dxa"/>
            <w:vMerge w:val="restart"/>
            <w:tcBorders>
              <w:top w:val="nil"/>
              <w:left w:val="nil"/>
              <w:bottom w:val="nil"/>
              <w:right w:val="nil"/>
            </w:tcBorders>
            <w:shd w:val="clear" w:color="auto" w:fill="BFBFBF" w:themeFill="background1" w:themeFillShade="BF"/>
            <w:vAlign w:val="bottom"/>
          </w:tcPr>
          <w:p w14:paraId="5EA73F29" w14:textId="77777777" w:rsidR="00083D2F" w:rsidRPr="0037207C" w:rsidRDefault="00083D2F" w:rsidP="006525D2">
            <w:pPr>
              <w:jc w:val="right"/>
              <w:rPr>
                <w:rFonts w:cs="Arial"/>
                <w:color w:val="000000"/>
                <w:sz w:val="22"/>
                <w:szCs w:val="22"/>
                <w:lang w:eastAsia="en-AU"/>
              </w:rPr>
            </w:pPr>
            <w:r>
              <w:rPr>
                <w:rFonts w:cs="Arial"/>
                <w:color w:val="000000"/>
                <w:sz w:val="22"/>
                <w:szCs w:val="22"/>
                <w:lang w:eastAsia="en-AU"/>
              </w:rPr>
              <w:t>(935)</w:t>
            </w:r>
          </w:p>
        </w:tc>
        <w:tc>
          <w:tcPr>
            <w:tcW w:w="1276" w:type="dxa"/>
            <w:vMerge w:val="restart"/>
            <w:tcBorders>
              <w:top w:val="nil"/>
              <w:left w:val="nil"/>
              <w:bottom w:val="nil"/>
              <w:right w:val="nil"/>
            </w:tcBorders>
            <w:shd w:val="clear" w:color="auto" w:fill="auto"/>
            <w:vAlign w:val="center"/>
            <w:hideMark/>
          </w:tcPr>
          <w:p w14:paraId="5EA73F2A" w14:textId="77777777" w:rsidR="00083D2F" w:rsidRPr="0037207C" w:rsidRDefault="00083D2F" w:rsidP="0037207C">
            <w:pPr>
              <w:jc w:val="right"/>
              <w:rPr>
                <w:rFonts w:cs="Arial"/>
                <w:color w:val="000000"/>
                <w:sz w:val="22"/>
                <w:szCs w:val="22"/>
                <w:lang w:eastAsia="en-AU"/>
              </w:rPr>
            </w:pPr>
            <w:r w:rsidRPr="0037207C">
              <w:rPr>
                <w:rFonts w:cs="Arial"/>
                <w:color w:val="000000"/>
                <w:sz w:val="22"/>
                <w:szCs w:val="22"/>
                <w:lang w:eastAsia="en-AU"/>
              </w:rPr>
              <w:t xml:space="preserve">        (1,394)</w:t>
            </w:r>
          </w:p>
        </w:tc>
      </w:tr>
      <w:tr w:rsidR="00083D2F" w:rsidRPr="0037207C" w14:paraId="5EA73F30" w14:textId="77777777" w:rsidTr="00083D2F">
        <w:trPr>
          <w:trHeight w:val="253"/>
        </w:trPr>
        <w:tc>
          <w:tcPr>
            <w:tcW w:w="5954" w:type="dxa"/>
            <w:vMerge/>
            <w:tcBorders>
              <w:top w:val="nil"/>
              <w:left w:val="nil"/>
              <w:bottom w:val="nil"/>
              <w:right w:val="nil"/>
            </w:tcBorders>
            <w:vAlign w:val="center"/>
            <w:hideMark/>
          </w:tcPr>
          <w:p w14:paraId="5EA73F2C" w14:textId="77777777" w:rsidR="00083D2F" w:rsidRPr="0037207C" w:rsidRDefault="00083D2F" w:rsidP="0037207C">
            <w:pPr>
              <w:rPr>
                <w:rFonts w:cs="Arial"/>
                <w:color w:val="000000"/>
                <w:sz w:val="22"/>
                <w:szCs w:val="22"/>
                <w:lang w:eastAsia="en-AU"/>
              </w:rPr>
            </w:pPr>
          </w:p>
        </w:tc>
        <w:tc>
          <w:tcPr>
            <w:tcW w:w="1443" w:type="dxa"/>
            <w:vMerge/>
            <w:tcBorders>
              <w:top w:val="nil"/>
              <w:left w:val="nil"/>
              <w:bottom w:val="single" w:sz="8" w:space="0" w:color="auto"/>
              <w:right w:val="nil"/>
            </w:tcBorders>
            <w:shd w:val="clear" w:color="auto" w:fill="BFBFBF" w:themeFill="background1" w:themeFillShade="BF"/>
            <w:vAlign w:val="center"/>
          </w:tcPr>
          <w:p w14:paraId="5EA73F2E" w14:textId="77777777" w:rsidR="00083D2F" w:rsidRPr="0037207C" w:rsidRDefault="00083D2F" w:rsidP="0037207C">
            <w:pPr>
              <w:rPr>
                <w:rFonts w:cs="Arial"/>
                <w:color w:val="000000"/>
                <w:sz w:val="22"/>
                <w:szCs w:val="22"/>
                <w:lang w:eastAsia="en-AU"/>
              </w:rPr>
            </w:pPr>
          </w:p>
        </w:tc>
        <w:tc>
          <w:tcPr>
            <w:tcW w:w="1276" w:type="dxa"/>
            <w:vMerge/>
            <w:tcBorders>
              <w:top w:val="nil"/>
              <w:left w:val="nil"/>
              <w:bottom w:val="single" w:sz="8" w:space="0" w:color="auto"/>
              <w:right w:val="nil"/>
            </w:tcBorders>
            <w:vAlign w:val="center"/>
            <w:hideMark/>
          </w:tcPr>
          <w:p w14:paraId="5EA73F2F" w14:textId="77777777" w:rsidR="00083D2F" w:rsidRPr="0037207C" w:rsidRDefault="00083D2F" w:rsidP="0037207C">
            <w:pPr>
              <w:rPr>
                <w:rFonts w:cs="Arial"/>
                <w:color w:val="000000"/>
                <w:sz w:val="22"/>
                <w:szCs w:val="22"/>
                <w:lang w:eastAsia="en-AU"/>
              </w:rPr>
            </w:pPr>
          </w:p>
        </w:tc>
      </w:tr>
      <w:tr w:rsidR="00083D2F" w:rsidRPr="0037207C" w14:paraId="5EA73F35" w14:textId="77777777" w:rsidTr="00083D2F">
        <w:trPr>
          <w:trHeight w:val="98"/>
        </w:trPr>
        <w:tc>
          <w:tcPr>
            <w:tcW w:w="5954" w:type="dxa"/>
            <w:tcBorders>
              <w:top w:val="nil"/>
              <w:left w:val="nil"/>
              <w:bottom w:val="nil"/>
              <w:right w:val="nil"/>
            </w:tcBorders>
            <w:shd w:val="clear" w:color="auto" w:fill="auto"/>
            <w:vAlign w:val="center"/>
            <w:hideMark/>
          </w:tcPr>
          <w:p w14:paraId="5EA73F31" w14:textId="77777777" w:rsidR="00083D2F" w:rsidRPr="0037207C" w:rsidRDefault="00083D2F" w:rsidP="0037207C">
            <w:pPr>
              <w:rPr>
                <w:rFonts w:cs="Arial"/>
                <w:color w:val="000000"/>
                <w:sz w:val="22"/>
                <w:szCs w:val="22"/>
                <w:lang w:eastAsia="en-AU"/>
              </w:rPr>
            </w:pPr>
            <w:r w:rsidRPr="0037207C">
              <w:rPr>
                <w:rFonts w:cs="Arial"/>
                <w:color w:val="000000"/>
                <w:sz w:val="22"/>
                <w:szCs w:val="22"/>
                <w:lang w:eastAsia="en-AU"/>
              </w:rPr>
              <w:t>Balance at end of financial year</w:t>
            </w:r>
          </w:p>
        </w:tc>
        <w:tc>
          <w:tcPr>
            <w:tcW w:w="1443" w:type="dxa"/>
            <w:tcBorders>
              <w:top w:val="single" w:sz="8" w:space="0" w:color="auto"/>
              <w:left w:val="nil"/>
              <w:bottom w:val="single" w:sz="8" w:space="0" w:color="auto"/>
              <w:right w:val="nil"/>
            </w:tcBorders>
            <w:shd w:val="clear" w:color="auto" w:fill="BFBFBF" w:themeFill="background1" w:themeFillShade="BF"/>
            <w:vAlign w:val="center"/>
          </w:tcPr>
          <w:p w14:paraId="5EA73F33" w14:textId="77777777" w:rsidR="00083D2F" w:rsidRPr="0037207C" w:rsidRDefault="00083D2F" w:rsidP="0037207C">
            <w:pPr>
              <w:jc w:val="right"/>
              <w:rPr>
                <w:rFonts w:cs="Arial"/>
                <w:color w:val="000000"/>
                <w:sz w:val="22"/>
                <w:szCs w:val="22"/>
                <w:lang w:eastAsia="en-AU"/>
              </w:rPr>
            </w:pPr>
            <w:r>
              <w:rPr>
                <w:rFonts w:cs="Arial"/>
                <w:color w:val="000000"/>
                <w:sz w:val="22"/>
                <w:szCs w:val="22"/>
                <w:lang w:eastAsia="en-AU"/>
              </w:rPr>
              <w:t>2,876</w:t>
            </w:r>
          </w:p>
        </w:tc>
        <w:tc>
          <w:tcPr>
            <w:tcW w:w="1276" w:type="dxa"/>
            <w:tcBorders>
              <w:top w:val="single" w:sz="8" w:space="0" w:color="auto"/>
              <w:left w:val="nil"/>
              <w:bottom w:val="single" w:sz="8" w:space="0" w:color="auto"/>
              <w:right w:val="nil"/>
            </w:tcBorders>
            <w:shd w:val="clear" w:color="auto" w:fill="auto"/>
            <w:vAlign w:val="center"/>
            <w:hideMark/>
          </w:tcPr>
          <w:p w14:paraId="5EA73F34" w14:textId="77777777" w:rsidR="00083D2F" w:rsidRPr="0037207C" w:rsidRDefault="00083D2F" w:rsidP="0037207C">
            <w:pPr>
              <w:jc w:val="right"/>
              <w:rPr>
                <w:rFonts w:cs="Arial"/>
                <w:color w:val="000000"/>
                <w:sz w:val="22"/>
                <w:szCs w:val="22"/>
                <w:lang w:eastAsia="en-AU"/>
              </w:rPr>
            </w:pPr>
            <w:r w:rsidRPr="0037207C">
              <w:rPr>
                <w:rFonts w:cs="Arial"/>
                <w:color w:val="000000"/>
                <w:sz w:val="22"/>
                <w:szCs w:val="22"/>
                <w:lang w:eastAsia="en-AU"/>
              </w:rPr>
              <w:t>6,733</w:t>
            </w:r>
          </w:p>
        </w:tc>
      </w:tr>
    </w:tbl>
    <w:p w14:paraId="7E00313B" w14:textId="77777777" w:rsidR="00083D2F" w:rsidRDefault="00083D2F"/>
    <w:tbl>
      <w:tblPr>
        <w:tblW w:w="8673" w:type="dxa"/>
        <w:tblInd w:w="108" w:type="dxa"/>
        <w:tblLook w:val="04A0" w:firstRow="1" w:lastRow="0" w:firstColumn="1" w:lastColumn="0" w:noHBand="0" w:noVBand="1"/>
      </w:tblPr>
      <w:tblGrid>
        <w:gridCol w:w="5954"/>
        <w:gridCol w:w="1443"/>
        <w:gridCol w:w="1276"/>
      </w:tblGrid>
      <w:tr w:rsidR="00083D2F" w:rsidRPr="0037207C" w14:paraId="5EA73F3F" w14:textId="77777777" w:rsidTr="00083D2F">
        <w:trPr>
          <w:trHeight w:val="102"/>
          <w:tblHeader/>
        </w:trPr>
        <w:tc>
          <w:tcPr>
            <w:tcW w:w="5954" w:type="dxa"/>
            <w:tcBorders>
              <w:top w:val="nil"/>
              <w:left w:val="nil"/>
              <w:bottom w:val="nil"/>
              <w:right w:val="nil"/>
            </w:tcBorders>
            <w:shd w:val="clear" w:color="auto" w:fill="auto"/>
            <w:vAlign w:val="center"/>
            <w:hideMark/>
          </w:tcPr>
          <w:p w14:paraId="5EA73F3B" w14:textId="77777777" w:rsidR="00083D2F" w:rsidRPr="0037207C" w:rsidRDefault="00083D2F" w:rsidP="0037207C">
            <w:pPr>
              <w:rPr>
                <w:rFonts w:cs="Arial"/>
                <w:color w:val="000000"/>
                <w:sz w:val="22"/>
                <w:szCs w:val="22"/>
                <w:lang w:eastAsia="en-AU"/>
              </w:rPr>
            </w:pPr>
            <w:bookmarkStart w:id="330" w:name="Table_52"/>
            <w:bookmarkEnd w:id="330"/>
            <w:r w:rsidRPr="0037207C">
              <w:rPr>
                <w:rFonts w:cs="Arial"/>
                <w:color w:val="000000"/>
                <w:sz w:val="22"/>
                <w:szCs w:val="22"/>
                <w:u w:val="single"/>
                <w:lang w:eastAsia="en-AU"/>
              </w:rPr>
              <w:t>General Reserve</w:t>
            </w:r>
            <w:r w:rsidRPr="0037207C">
              <w:rPr>
                <w:rFonts w:cs="Arial"/>
                <w:color w:val="000000"/>
                <w:sz w:val="22"/>
                <w:szCs w:val="22"/>
                <w:lang w:eastAsia="en-AU"/>
              </w:rPr>
              <w:t xml:space="preserve"> </w:t>
            </w:r>
            <w:r w:rsidRPr="0037207C">
              <w:rPr>
                <w:rFonts w:cs="Arial"/>
                <w:color w:val="000000"/>
                <w:sz w:val="22"/>
                <w:szCs w:val="22"/>
                <w:vertAlign w:val="superscript"/>
                <w:lang w:eastAsia="en-AU"/>
              </w:rPr>
              <w:t>(ii)</w:t>
            </w:r>
          </w:p>
        </w:tc>
        <w:tc>
          <w:tcPr>
            <w:tcW w:w="1443" w:type="dxa"/>
            <w:tcBorders>
              <w:top w:val="nil"/>
              <w:left w:val="nil"/>
              <w:bottom w:val="nil"/>
              <w:right w:val="nil"/>
            </w:tcBorders>
            <w:shd w:val="clear" w:color="auto" w:fill="BFBFBF" w:themeFill="background1" w:themeFillShade="BF"/>
            <w:noWrap/>
            <w:vAlign w:val="bottom"/>
          </w:tcPr>
          <w:p w14:paraId="5EA73F3D" w14:textId="797AAA77" w:rsidR="00083D2F" w:rsidRPr="0037207C" w:rsidRDefault="00083D2F" w:rsidP="0037207C">
            <w:pPr>
              <w:rPr>
                <w:rFonts w:cs="Arial"/>
                <w:color w:val="000000"/>
                <w:sz w:val="22"/>
                <w:szCs w:val="22"/>
                <w:lang w:eastAsia="en-AU"/>
              </w:rPr>
            </w:pPr>
            <w:r>
              <w:rPr>
                <w:rFonts w:cs="Arial"/>
                <w:color w:val="000000"/>
                <w:sz w:val="22"/>
                <w:szCs w:val="22"/>
                <w:lang w:eastAsia="en-AU"/>
              </w:rPr>
              <w:t>2015</w:t>
            </w:r>
          </w:p>
        </w:tc>
        <w:tc>
          <w:tcPr>
            <w:tcW w:w="1276" w:type="dxa"/>
            <w:tcBorders>
              <w:top w:val="nil"/>
              <w:left w:val="nil"/>
              <w:bottom w:val="nil"/>
              <w:right w:val="nil"/>
            </w:tcBorders>
            <w:shd w:val="clear" w:color="auto" w:fill="auto"/>
            <w:noWrap/>
            <w:vAlign w:val="bottom"/>
            <w:hideMark/>
          </w:tcPr>
          <w:p w14:paraId="5EA73F3E" w14:textId="71EA9F5F" w:rsidR="00083D2F" w:rsidRPr="0037207C" w:rsidRDefault="00083D2F" w:rsidP="0037207C">
            <w:pPr>
              <w:rPr>
                <w:rFonts w:cs="Arial"/>
                <w:color w:val="000000"/>
                <w:sz w:val="22"/>
                <w:szCs w:val="22"/>
                <w:lang w:eastAsia="en-AU"/>
              </w:rPr>
            </w:pPr>
            <w:r>
              <w:rPr>
                <w:rFonts w:cs="Arial"/>
                <w:color w:val="000000"/>
                <w:sz w:val="22"/>
                <w:szCs w:val="22"/>
                <w:lang w:eastAsia="en-AU"/>
              </w:rPr>
              <w:t>2014</w:t>
            </w:r>
            <w:r w:rsidRPr="0037207C">
              <w:rPr>
                <w:rFonts w:cs="Arial"/>
                <w:color w:val="000000"/>
                <w:sz w:val="22"/>
                <w:szCs w:val="22"/>
                <w:lang w:eastAsia="en-AU"/>
              </w:rPr>
              <w:t> </w:t>
            </w:r>
          </w:p>
        </w:tc>
      </w:tr>
      <w:tr w:rsidR="00083D2F" w:rsidRPr="0037207C" w14:paraId="5EA73F44" w14:textId="77777777" w:rsidTr="00083D2F">
        <w:trPr>
          <w:trHeight w:val="102"/>
        </w:trPr>
        <w:tc>
          <w:tcPr>
            <w:tcW w:w="5954" w:type="dxa"/>
            <w:tcBorders>
              <w:top w:val="nil"/>
              <w:left w:val="nil"/>
              <w:bottom w:val="nil"/>
              <w:right w:val="nil"/>
            </w:tcBorders>
            <w:shd w:val="clear" w:color="auto" w:fill="auto"/>
            <w:vAlign w:val="center"/>
            <w:hideMark/>
          </w:tcPr>
          <w:p w14:paraId="5EA73F40" w14:textId="77777777" w:rsidR="00083D2F" w:rsidRPr="0037207C" w:rsidRDefault="00083D2F" w:rsidP="0037207C">
            <w:pPr>
              <w:rPr>
                <w:rFonts w:cs="Arial"/>
                <w:color w:val="000000"/>
                <w:sz w:val="22"/>
                <w:szCs w:val="22"/>
                <w:lang w:eastAsia="en-AU"/>
              </w:rPr>
            </w:pPr>
            <w:r w:rsidRPr="0037207C">
              <w:rPr>
                <w:rFonts w:cs="Arial"/>
                <w:color w:val="000000"/>
                <w:sz w:val="22"/>
                <w:szCs w:val="22"/>
                <w:lang w:eastAsia="en-AU"/>
              </w:rPr>
              <w:t>Balance at beginning of financial year</w:t>
            </w:r>
          </w:p>
        </w:tc>
        <w:tc>
          <w:tcPr>
            <w:tcW w:w="1443" w:type="dxa"/>
            <w:tcBorders>
              <w:top w:val="nil"/>
              <w:left w:val="nil"/>
              <w:bottom w:val="nil"/>
              <w:right w:val="nil"/>
            </w:tcBorders>
            <w:shd w:val="clear" w:color="auto" w:fill="BFBFBF" w:themeFill="background1" w:themeFillShade="BF"/>
            <w:vAlign w:val="center"/>
          </w:tcPr>
          <w:p w14:paraId="5EA73F42" w14:textId="77777777" w:rsidR="00083D2F" w:rsidRPr="0037207C" w:rsidRDefault="00083D2F" w:rsidP="0037207C">
            <w:pPr>
              <w:jc w:val="right"/>
              <w:rPr>
                <w:rFonts w:cs="Arial"/>
                <w:color w:val="000000"/>
                <w:sz w:val="22"/>
                <w:szCs w:val="22"/>
                <w:lang w:eastAsia="en-AU"/>
              </w:rPr>
            </w:pPr>
            <w:r>
              <w:rPr>
                <w:rFonts w:cs="Arial"/>
                <w:color w:val="000000"/>
                <w:sz w:val="22"/>
                <w:szCs w:val="22"/>
                <w:lang w:eastAsia="en-AU"/>
              </w:rPr>
              <w:t>3,500</w:t>
            </w:r>
          </w:p>
        </w:tc>
        <w:tc>
          <w:tcPr>
            <w:tcW w:w="1276" w:type="dxa"/>
            <w:tcBorders>
              <w:top w:val="nil"/>
              <w:left w:val="nil"/>
              <w:bottom w:val="nil"/>
              <w:right w:val="nil"/>
            </w:tcBorders>
            <w:shd w:val="clear" w:color="auto" w:fill="auto"/>
            <w:noWrap/>
            <w:vAlign w:val="center"/>
            <w:hideMark/>
          </w:tcPr>
          <w:p w14:paraId="5EA73F43" w14:textId="20086B11" w:rsidR="00083D2F" w:rsidRPr="0037207C" w:rsidRDefault="00083D2F" w:rsidP="0037207C">
            <w:pPr>
              <w:jc w:val="right"/>
              <w:rPr>
                <w:rFonts w:cs="Arial"/>
                <w:color w:val="000000"/>
                <w:sz w:val="22"/>
                <w:szCs w:val="22"/>
                <w:lang w:eastAsia="en-AU"/>
              </w:rPr>
            </w:pPr>
            <w:r w:rsidRPr="0037207C">
              <w:rPr>
                <w:rFonts w:cs="Arial"/>
                <w:color w:val="000000"/>
                <w:sz w:val="22"/>
                <w:szCs w:val="22"/>
                <w:lang w:eastAsia="en-AU"/>
              </w:rPr>
              <w:t xml:space="preserve">850 </w:t>
            </w:r>
          </w:p>
        </w:tc>
      </w:tr>
      <w:tr w:rsidR="00083D2F" w:rsidRPr="0037207C" w14:paraId="5EA73F49" w14:textId="77777777" w:rsidTr="00083D2F">
        <w:trPr>
          <w:trHeight w:val="125"/>
        </w:trPr>
        <w:tc>
          <w:tcPr>
            <w:tcW w:w="5954" w:type="dxa"/>
            <w:tcBorders>
              <w:top w:val="nil"/>
              <w:left w:val="nil"/>
              <w:bottom w:val="nil"/>
              <w:right w:val="nil"/>
            </w:tcBorders>
            <w:shd w:val="clear" w:color="auto" w:fill="auto"/>
            <w:vAlign w:val="center"/>
            <w:hideMark/>
          </w:tcPr>
          <w:p w14:paraId="5EA73F45" w14:textId="77777777" w:rsidR="00083D2F" w:rsidRPr="0037207C" w:rsidRDefault="00083D2F" w:rsidP="0037207C">
            <w:pPr>
              <w:rPr>
                <w:rFonts w:cs="Arial"/>
                <w:color w:val="000000"/>
                <w:sz w:val="22"/>
                <w:szCs w:val="22"/>
                <w:lang w:eastAsia="en-AU"/>
              </w:rPr>
            </w:pPr>
            <w:r w:rsidRPr="0037207C">
              <w:rPr>
                <w:rFonts w:cs="Arial"/>
                <w:color w:val="000000"/>
                <w:sz w:val="22"/>
                <w:szCs w:val="22"/>
                <w:lang w:eastAsia="en-AU"/>
              </w:rPr>
              <w:t>Transfer of endowment fund from retained earnings</w:t>
            </w:r>
          </w:p>
        </w:tc>
        <w:tc>
          <w:tcPr>
            <w:tcW w:w="1443" w:type="dxa"/>
            <w:tcBorders>
              <w:top w:val="nil"/>
              <w:left w:val="nil"/>
              <w:bottom w:val="single" w:sz="8" w:space="0" w:color="auto"/>
              <w:right w:val="nil"/>
            </w:tcBorders>
            <w:shd w:val="clear" w:color="auto" w:fill="BFBFBF" w:themeFill="background1" w:themeFillShade="BF"/>
            <w:noWrap/>
            <w:vAlign w:val="center"/>
          </w:tcPr>
          <w:p w14:paraId="5EA73F47" w14:textId="77777777" w:rsidR="00083D2F" w:rsidRPr="0037207C" w:rsidRDefault="00083D2F" w:rsidP="00E75726">
            <w:pPr>
              <w:jc w:val="right"/>
              <w:rPr>
                <w:rFonts w:cs="Arial"/>
                <w:color w:val="000000"/>
                <w:sz w:val="22"/>
                <w:szCs w:val="22"/>
                <w:lang w:eastAsia="en-AU"/>
              </w:rPr>
            </w:pPr>
            <w:r>
              <w:rPr>
                <w:rFonts w:cs="Arial"/>
                <w:color w:val="000000"/>
                <w:sz w:val="22"/>
                <w:szCs w:val="22"/>
                <w:lang w:eastAsia="en-AU"/>
              </w:rPr>
              <w:t>447</w:t>
            </w:r>
          </w:p>
        </w:tc>
        <w:tc>
          <w:tcPr>
            <w:tcW w:w="1276" w:type="dxa"/>
            <w:tcBorders>
              <w:top w:val="nil"/>
              <w:left w:val="nil"/>
              <w:bottom w:val="single" w:sz="8" w:space="0" w:color="auto"/>
              <w:right w:val="nil"/>
            </w:tcBorders>
            <w:shd w:val="clear" w:color="auto" w:fill="auto"/>
            <w:noWrap/>
            <w:vAlign w:val="center"/>
            <w:hideMark/>
          </w:tcPr>
          <w:p w14:paraId="5EA73F48" w14:textId="77777777" w:rsidR="00083D2F" w:rsidRPr="0037207C" w:rsidRDefault="00083D2F" w:rsidP="00E75726">
            <w:pPr>
              <w:jc w:val="right"/>
              <w:rPr>
                <w:rFonts w:cs="Arial"/>
                <w:color w:val="000000"/>
                <w:sz w:val="22"/>
                <w:szCs w:val="22"/>
                <w:lang w:eastAsia="en-AU"/>
              </w:rPr>
            </w:pPr>
            <w:r w:rsidRPr="0037207C">
              <w:rPr>
                <w:rFonts w:cs="Arial"/>
                <w:color w:val="000000"/>
                <w:sz w:val="22"/>
                <w:szCs w:val="22"/>
                <w:lang w:eastAsia="en-AU"/>
              </w:rPr>
              <w:t>2,650</w:t>
            </w:r>
          </w:p>
        </w:tc>
      </w:tr>
      <w:tr w:rsidR="00083D2F" w:rsidRPr="0037207C" w14:paraId="5EA73F4E" w14:textId="77777777" w:rsidTr="00083D2F">
        <w:trPr>
          <w:trHeight w:val="102"/>
        </w:trPr>
        <w:tc>
          <w:tcPr>
            <w:tcW w:w="5954" w:type="dxa"/>
            <w:tcBorders>
              <w:top w:val="nil"/>
              <w:left w:val="nil"/>
              <w:bottom w:val="nil"/>
              <w:right w:val="nil"/>
            </w:tcBorders>
            <w:shd w:val="clear" w:color="auto" w:fill="auto"/>
            <w:vAlign w:val="center"/>
            <w:hideMark/>
          </w:tcPr>
          <w:p w14:paraId="5EA73F4A" w14:textId="77777777" w:rsidR="00083D2F" w:rsidRPr="0037207C" w:rsidRDefault="00083D2F" w:rsidP="0037207C">
            <w:pPr>
              <w:rPr>
                <w:rFonts w:cs="Arial"/>
                <w:color w:val="000000"/>
                <w:sz w:val="22"/>
                <w:szCs w:val="22"/>
                <w:lang w:eastAsia="en-AU"/>
              </w:rPr>
            </w:pPr>
            <w:r w:rsidRPr="0037207C">
              <w:rPr>
                <w:rFonts w:cs="Arial"/>
                <w:color w:val="000000"/>
                <w:sz w:val="22"/>
                <w:szCs w:val="22"/>
                <w:lang w:eastAsia="en-AU"/>
              </w:rPr>
              <w:t>Balance at end of financial year</w:t>
            </w:r>
          </w:p>
        </w:tc>
        <w:tc>
          <w:tcPr>
            <w:tcW w:w="1443" w:type="dxa"/>
            <w:tcBorders>
              <w:top w:val="nil"/>
              <w:left w:val="nil"/>
              <w:bottom w:val="single" w:sz="8" w:space="0" w:color="auto"/>
              <w:right w:val="nil"/>
            </w:tcBorders>
            <w:shd w:val="clear" w:color="auto" w:fill="BFBFBF" w:themeFill="background1" w:themeFillShade="BF"/>
            <w:noWrap/>
            <w:vAlign w:val="bottom"/>
          </w:tcPr>
          <w:p w14:paraId="5EA73F4C" w14:textId="77777777" w:rsidR="00083D2F" w:rsidRPr="0037207C" w:rsidRDefault="00083D2F" w:rsidP="0037207C">
            <w:pPr>
              <w:jc w:val="right"/>
              <w:rPr>
                <w:rFonts w:cs="Arial"/>
                <w:color w:val="000000"/>
                <w:sz w:val="22"/>
                <w:szCs w:val="22"/>
                <w:lang w:eastAsia="en-AU"/>
              </w:rPr>
            </w:pPr>
            <w:r>
              <w:rPr>
                <w:rFonts w:cs="Arial"/>
                <w:color w:val="000000"/>
                <w:sz w:val="22"/>
                <w:szCs w:val="22"/>
                <w:lang w:eastAsia="en-AU"/>
              </w:rPr>
              <w:t>3,947</w:t>
            </w:r>
          </w:p>
        </w:tc>
        <w:tc>
          <w:tcPr>
            <w:tcW w:w="1276" w:type="dxa"/>
            <w:tcBorders>
              <w:top w:val="nil"/>
              <w:left w:val="nil"/>
              <w:bottom w:val="single" w:sz="8" w:space="0" w:color="auto"/>
              <w:right w:val="nil"/>
            </w:tcBorders>
            <w:shd w:val="clear" w:color="auto" w:fill="auto"/>
            <w:noWrap/>
            <w:vAlign w:val="bottom"/>
            <w:hideMark/>
          </w:tcPr>
          <w:p w14:paraId="5EA73F4D" w14:textId="77777777" w:rsidR="00083D2F" w:rsidRPr="0037207C" w:rsidRDefault="00083D2F" w:rsidP="0037207C">
            <w:pPr>
              <w:jc w:val="right"/>
              <w:rPr>
                <w:rFonts w:cs="Arial"/>
                <w:color w:val="000000"/>
                <w:sz w:val="22"/>
                <w:szCs w:val="22"/>
                <w:lang w:eastAsia="en-AU"/>
              </w:rPr>
            </w:pPr>
            <w:r w:rsidRPr="0037207C">
              <w:rPr>
                <w:rFonts w:cs="Arial"/>
                <w:color w:val="000000"/>
                <w:sz w:val="22"/>
                <w:szCs w:val="22"/>
                <w:lang w:eastAsia="en-AU"/>
              </w:rPr>
              <w:t>3,500</w:t>
            </w:r>
          </w:p>
        </w:tc>
      </w:tr>
      <w:tr w:rsidR="00083D2F" w:rsidRPr="0037207C" w14:paraId="5EA73F58" w14:textId="77777777" w:rsidTr="00083D2F">
        <w:trPr>
          <w:trHeight w:val="102"/>
        </w:trPr>
        <w:tc>
          <w:tcPr>
            <w:tcW w:w="5954" w:type="dxa"/>
            <w:tcBorders>
              <w:top w:val="nil"/>
              <w:left w:val="nil"/>
              <w:bottom w:val="nil"/>
              <w:right w:val="nil"/>
            </w:tcBorders>
            <w:shd w:val="clear" w:color="auto" w:fill="auto"/>
            <w:vAlign w:val="center"/>
            <w:hideMark/>
          </w:tcPr>
          <w:p w14:paraId="5EA73F54" w14:textId="03BB5664" w:rsidR="00083D2F" w:rsidRPr="0037207C" w:rsidRDefault="00083D2F" w:rsidP="0037207C">
            <w:pPr>
              <w:rPr>
                <w:rFonts w:cs="Arial"/>
                <w:color w:val="000000"/>
                <w:sz w:val="22"/>
                <w:szCs w:val="22"/>
                <w:lang w:eastAsia="en-AU"/>
              </w:rPr>
            </w:pPr>
            <w:r>
              <w:rPr>
                <w:rFonts w:cs="Arial"/>
                <w:color w:val="000000"/>
                <w:sz w:val="22"/>
                <w:szCs w:val="22"/>
                <w:lang w:eastAsia="en-AU"/>
              </w:rPr>
              <w:t xml:space="preserve">Overall </w:t>
            </w:r>
            <w:r w:rsidRPr="0037207C">
              <w:rPr>
                <w:rFonts w:cs="Arial"/>
                <w:color w:val="000000"/>
                <w:sz w:val="22"/>
                <w:szCs w:val="22"/>
                <w:lang w:eastAsia="en-AU"/>
              </w:rPr>
              <w:t>Balance at end of financial year</w:t>
            </w:r>
          </w:p>
        </w:tc>
        <w:tc>
          <w:tcPr>
            <w:tcW w:w="1443" w:type="dxa"/>
            <w:tcBorders>
              <w:top w:val="nil"/>
              <w:left w:val="nil"/>
              <w:bottom w:val="single" w:sz="8" w:space="0" w:color="auto"/>
              <w:right w:val="nil"/>
            </w:tcBorders>
            <w:shd w:val="clear" w:color="auto" w:fill="BFBFBF" w:themeFill="background1" w:themeFillShade="BF"/>
            <w:noWrap/>
            <w:vAlign w:val="bottom"/>
            <w:hideMark/>
          </w:tcPr>
          <w:p w14:paraId="5EA73F56" w14:textId="77777777" w:rsidR="00083D2F" w:rsidRPr="0037207C" w:rsidRDefault="00083D2F" w:rsidP="0037207C">
            <w:pPr>
              <w:jc w:val="right"/>
              <w:rPr>
                <w:rFonts w:cs="Arial"/>
                <w:color w:val="000000"/>
                <w:sz w:val="22"/>
                <w:szCs w:val="22"/>
                <w:lang w:eastAsia="en-AU"/>
              </w:rPr>
            </w:pPr>
            <w:r>
              <w:rPr>
                <w:rFonts w:cs="Arial"/>
                <w:color w:val="000000"/>
                <w:sz w:val="22"/>
                <w:szCs w:val="22"/>
                <w:lang w:eastAsia="en-AU"/>
              </w:rPr>
              <w:t>6,823</w:t>
            </w:r>
          </w:p>
        </w:tc>
        <w:tc>
          <w:tcPr>
            <w:tcW w:w="1276" w:type="dxa"/>
            <w:tcBorders>
              <w:top w:val="nil"/>
              <w:left w:val="nil"/>
              <w:bottom w:val="single" w:sz="8" w:space="0" w:color="auto"/>
              <w:right w:val="nil"/>
            </w:tcBorders>
            <w:shd w:val="clear" w:color="auto" w:fill="auto"/>
            <w:noWrap/>
            <w:vAlign w:val="bottom"/>
            <w:hideMark/>
          </w:tcPr>
          <w:p w14:paraId="5EA73F57" w14:textId="77777777" w:rsidR="00083D2F" w:rsidRPr="0037207C" w:rsidRDefault="00083D2F" w:rsidP="0037207C">
            <w:pPr>
              <w:jc w:val="right"/>
              <w:rPr>
                <w:rFonts w:cs="Arial"/>
                <w:color w:val="000000"/>
                <w:sz w:val="22"/>
                <w:szCs w:val="22"/>
                <w:lang w:eastAsia="en-AU"/>
              </w:rPr>
            </w:pPr>
            <w:r w:rsidRPr="0037207C">
              <w:rPr>
                <w:rFonts w:cs="Arial"/>
                <w:color w:val="000000"/>
                <w:sz w:val="22"/>
                <w:szCs w:val="22"/>
                <w:lang w:eastAsia="en-AU"/>
              </w:rPr>
              <w:t>10,233</w:t>
            </w:r>
          </w:p>
        </w:tc>
      </w:tr>
    </w:tbl>
    <w:p w14:paraId="5EA73F6C" w14:textId="77777777" w:rsidR="004444B5" w:rsidRDefault="004444B5" w:rsidP="00096921">
      <w:pPr>
        <w:pStyle w:val="TextPara"/>
        <w:jc w:val="both"/>
        <w:rPr>
          <w:rFonts w:cs="Arial"/>
          <w:sz w:val="22"/>
          <w:szCs w:val="22"/>
        </w:rPr>
      </w:pPr>
    </w:p>
    <w:p w14:paraId="146FF8DC" w14:textId="77777777" w:rsidR="00083D2F" w:rsidRPr="00083D2F" w:rsidRDefault="00083D2F" w:rsidP="00083D2F">
      <w:pPr>
        <w:pStyle w:val="TextPara"/>
        <w:jc w:val="both"/>
        <w:rPr>
          <w:rFonts w:cs="Arial"/>
          <w:sz w:val="22"/>
          <w:szCs w:val="22"/>
        </w:rPr>
      </w:pPr>
      <w:r w:rsidRPr="00083D2F">
        <w:rPr>
          <w:rFonts w:cs="Arial"/>
          <w:sz w:val="22"/>
          <w:szCs w:val="22"/>
        </w:rPr>
        <w:t>(</w:t>
      </w:r>
      <w:proofErr w:type="spellStart"/>
      <w:r w:rsidRPr="00083D2F">
        <w:rPr>
          <w:rFonts w:cs="Arial"/>
          <w:sz w:val="22"/>
          <w:szCs w:val="22"/>
        </w:rPr>
        <w:t>i</w:t>
      </w:r>
      <w:proofErr w:type="spellEnd"/>
      <w:r w:rsidRPr="00083D2F">
        <w:rPr>
          <w:rFonts w:cs="Arial"/>
          <w:sz w:val="22"/>
          <w:szCs w:val="22"/>
        </w:rPr>
        <w:t>)</w:t>
      </w:r>
      <w:r w:rsidRPr="00083D2F">
        <w:rPr>
          <w:rFonts w:cs="Arial"/>
          <w:sz w:val="22"/>
          <w:szCs w:val="22"/>
        </w:rPr>
        <w:tab/>
        <w:t>The asset revaluation reserve arises on the revaluation of investments to fair value.</w:t>
      </w:r>
    </w:p>
    <w:p w14:paraId="1B0031B6" w14:textId="789192D8" w:rsidR="00083D2F" w:rsidRDefault="00083D2F" w:rsidP="00083D2F">
      <w:pPr>
        <w:pStyle w:val="TextPara"/>
        <w:jc w:val="both"/>
        <w:rPr>
          <w:rFonts w:cs="Arial"/>
          <w:sz w:val="22"/>
          <w:szCs w:val="22"/>
        </w:rPr>
      </w:pPr>
      <w:r w:rsidRPr="00083D2F">
        <w:rPr>
          <w:rFonts w:cs="Arial"/>
          <w:sz w:val="22"/>
          <w:szCs w:val="22"/>
        </w:rPr>
        <w:t>(ii)</w:t>
      </w:r>
      <w:r w:rsidRPr="00083D2F">
        <w:rPr>
          <w:rFonts w:cs="Arial"/>
          <w:sz w:val="22"/>
          <w:szCs w:val="22"/>
        </w:rPr>
        <w:tab/>
        <w:t>The general reserve relates to designated donatio</w:t>
      </w:r>
      <w:r>
        <w:rPr>
          <w:rFonts w:cs="Arial"/>
          <w:sz w:val="22"/>
          <w:szCs w:val="22"/>
        </w:rPr>
        <w:t xml:space="preserve">ns received during the year for </w:t>
      </w:r>
      <w:r w:rsidRPr="00083D2F">
        <w:rPr>
          <w:rFonts w:cs="Arial"/>
          <w:sz w:val="22"/>
          <w:szCs w:val="22"/>
        </w:rPr>
        <w:t>which there is no obligation to repay the funds.</w:t>
      </w:r>
    </w:p>
    <w:p w14:paraId="717FCE28" w14:textId="77777777" w:rsidR="00083D2F" w:rsidRDefault="00083D2F" w:rsidP="00096921">
      <w:pPr>
        <w:pStyle w:val="TextPara"/>
        <w:jc w:val="both"/>
        <w:rPr>
          <w:rFonts w:cs="Arial"/>
          <w:sz w:val="22"/>
          <w:szCs w:val="22"/>
        </w:rPr>
      </w:pPr>
    </w:p>
    <w:p w14:paraId="5EA73F6D" w14:textId="77777777" w:rsidR="007122F9" w:rsidRDefault="004444B5" w:rsidP="00096921">
      <w:pPr>
        <w:pStyle w:val="TextPara"/>
        <w:jc w:val="both"/>
        <w:rPr>
          <w:rFonts w:cs="Arial"/>
          <w:sz w:val="22"/>
          <w:szCs w:val="22"/>
        </w:rPr>
      </w:pPr>
      <w:r>
        <w:rPr>
          <w:rFonts w:cs="Arial"/>
          <w:sz w:val="22"/>
          <w:szCs w:val="22"/>
        </w:rPr>
        <w:br w:type="page"/>
      </w:r>
    </w:p>
    <w:p w14:paraId="1BF8A6F0" w14:textId="2D291028" w:rsidR="003D240E" w:rsidRDefault="003D240E"/>
    <w:p w14:paraId="1B5D8AE3" w14:textId="19AF6192" w:rsidR="003D240E" w:rsidRDefault="003D240E" w:rsidP="00BF287B">
      <w:pPr>
        <w:pStyle w:val="Heading1"/>
      </w:pPr>
      <w:bookmarkStart w:id="331" w:name="_Toc430613773"/>
      <w:r w:rsidRPr="003D240E">
        <w:t>Note 20: Retained surplus</w:t>
      </w:r>
      <w:bookmarkEnd w:id="331"/>
    </w:p>
    <w:p w14:paraId="3A5F26BC" w14:textId="77777777" w:rsidR="003D240E" w:rsidRPr="003D240E" w:rsidRDefault="003D240E" w:rsidP="003D240E"/>
    <w:tbl>
      <w:tblPr>
        <w:tblW w:w="8505" w:type="dxa"/>
        <w:tblInd w:w="108" w:type="dxa"/>
        <w:tblLook w:val="04A0" w:firstRow="1" w:lastRow="0" w:firstColumn="1" w:lastColumn="0" w:noHBand="0" w:noVBand="1"/>
      </w:tblPr>
      <w:tblGrid>
        <w:gridCol w:w="5670"/>
        <w:gridCol w:w="1418"/>
        <w:gridCol w:w="1417"/>
      </w:tblGrid>
      <w:tr w:rsidR="00083D2F" w:rsidRPr="00713D2C" w14:paraId="6F01F403" w14:textId="77777777" w:rsidTr="00083D2F">
        <w:trPr>
          <w:trHeight w:val="288"/>
          <w:tblHeader/>
        </w:trPr>
        <w:tc>
          <w:tcPr>
            <w:tcW w:w="5670" w:type="dxa"/>
            <w:shd w:val="clear" w:color="auto" w:fill="auto"/>
            <w:vAlign w:val="center"/>
          </w:tcPr>
          <w:p w14:paraId="798DCA67" w14:textId="77777777" w:rsidR="00083D2F" w:rsidRPr="00713D2C" w:rsidRDefault="00083D2F" w:rsidP="00713D2C">
            <w:pPr>
              <w:rPr>
                <w:rFonts w:cs="Arial"/>
                <w:color w:val="000000"/>
                <w:sz w:val="22"/>
                <w:szCs w:val="22"/>
                <w:lang w:eastAsia="en-AU"/>
              </w:rPr>
            </w:pPr>
            <w:bookmarkStart w:id="332" w:name="Table_53"/>
            <w:bookmarkEnd w:id="332"/>
          </w:p>
        </w:tc>
        <w:tc>
          <w:tcPr>
            <w:tcW w:w="1418" w:type="dxa"/>
            <w:shd w:val="clear" w:color="000000" w:fill="BFBFBF" w:themeFill="background1" w:themeFillShade="BF"/>
            <w:vAlign w:val="center"/>
          </w:tcPr>
          <w:p w14:paraId="0317BF1D" w14:textId="38FB0310" w:rsidR="00083D2F" w:rsidRPr="00083D2F" w:rsidRDefault="00083D2F" w:rsidP="00713D2C">
            <w:pPr>
              <w:jc w:val="right"/>
              <w:rPr>
                <w:rFonts w:cs="Arial"/>
                <w:b/>
                <w:color w:val="000000"/>
                <w:sz w:val="22"/>
                <w:szCs w:val="22"/>
                <w:lang w:eastAsia="en-AU"/>
              </w:rPr>
            </w:pPr>
            <w:r w:rsidRPr="00083D2F">
              <w:rPr>
                <w:rFonts w:cs="Arial"/>
                <w:b/>
                <w:color w:val="000000"/>
                <w:sz w:val="22"/>
                <w:szCs w:val="22"/>
                <w:lang w:eastAsia="en-AU"/>
              </w:rPr>
              <w:t>2015</w:t>
            </w:r>
          </w:p>
        </w:tc>
        <w:tc>
          <w:tcPr>
            <w:tcW w:w="1417" w:type="dxa"/>
            <w:shd w:val="clear" w:color="auto" w:fill="auto"/>
            <w:vAlign w:val="center"/>
          </w:tcPr>
          <w:p w14:paraId="410B712F" w14:textId="10B14CEA" w:rsidR="00083D2F" w:rsidRPr="00713D2C" w:rsidRDefault="00083D2F" w:rsidP="00713D2C">
            <w:pPr>
              <w:jc w:val="right"/>
              <w:rPr>
                <w:rFonts w:cs="Arial"/>
                <w:color w:val="000000"/>
                <w:sz w:val="22"/>
                <w:szCs w:val="22"/>
                <w:lang w:eastAsia="en-AU"/>
              </w:rPr>
            </w:pPr>
            <w:r>
              <w:rPr>
                <w:rFonts w:cs="Arial"/>
                <w:color w:val="000000"/>
                <w:sz w:val="22"/>
                <w:szCs w:val="22"/>
                <w:lang w:eastAsia="en-AU"/>
              </w:rPr>
              <w:t>2014</w:t>
            </w:r>
          </w:p>
        </w:tc>
      </w:tr>
      <w:tr w:rsidR="00083D2F" w:rsidRPr="00713D2C" w14:paraId="5EA73F8B" w14:textId="77777777" w:rsidTr="00083D2F">
        <w:trPr>
          <w:trHeight w:val="288"/>
        </w:trPr>
        <w:tc>
          <w:tcPr>
            <w:tcW w:w="5670" w:type="dxa"/>
            <w:shd w:val="clear" w:color="auto" w:fill="auto"/>
            <w:vAlign w:val="center"/>
            <w:hideMark/>
          </w:tcPr>
          <w:p w14:paraId="5EA73F87" w14:textId="77777777" w:rsidR="00083D2F" w:rsidRPr="00713D2C" w:rsidRDefault="00083D2F" w:rsidP="00713D2C">
            <w:pPr>
              <w:rPr>
                <w:rFonts w:cs="Arial"/>
                <w:color w:val="000000"/>
                <w:sz w:val="22"/>
                <w:szCs w:val="22"/>
                <w:lang w:eastAsia="en-AU"/>
              </w:rPr>
            </w:pPr>
            <w:r w:rsidRPr="00713D2C">
              <w:rPr>
                <w:rFonts w:cs="Arial"/>
                <w:color w:val="000000"/>
                <w:sz w:val="22"/>
                <w:szCs w:val="22"/>
                <w:lang w:eastAsia="en-AU"/>
              </w:rPr>
              <w:t>Balance at beginning of financial year</w:t>
            </w:r>
          </w:p>
        </w:tc>
        <w:tc>
          <w:tcPr>
            <w:tcW w:w="1418" w:type="dxa"/>
            <w:shd w:val="clear" w:color="000000" w:fill="BFBFBF" w:themeFill="background1" w:themeFillShade="BF"/>
            <w:vAlign w:val="center"/>
          </w:tcPr>
          <w:p w14:paraId="5EA73F89" w14:textId="77777777" w:rsidR="00083D2F" w:rsidRPr="00713D2C" w:rsidRDefault="00083D2F" w:rsidP="00713D2C">
            <w:pPr>
              <w:jc w:val="right"/>
              <w:rPr>
                <w:rFonts w:cs="Arial"/>
                <w:color w:val="000000"/>
                <w:sz w:val="22"/>
                <w:szCs w:val="22"/>
                <w:lang w:eastAsia="en-AU"/>
              </w:rPr>
            </w:pPr>
            <w:r>
              <w:rPr>
                <w:rFonts w:cs="Arial"/>
                <w:color w:val="000000"/>
                <w:sz w:val="22"/>
                <w:szCs w:val="22"/>
                <w:lang w:eastAsia="en-AU"/>
              </w:rPr>
              <w:t>184,205</w:t>
            </w:r>
          </w:p>
        </w:tc>
        <w:tc>
          <w:tcPr>
            <w:tcW w:w="1417" w:type="dxa"/>
            <w:shd w:val="clear" w:color="auto" w:fill="auto"/>
            <w:vAlign w:val="center"/>
            <w:hideMark/>
          </w:tcPr>
          <w:p w14:paraId="5EA73F8A" w14:textId="77777777" w:rsidR="00083D2F" w:rsidRPr="00713D2C" w:rsidRDefault="00083D2F" w:rsidP="00713D2C">
            <w:pPr>
              <w:jc w:val="right"/>
              <w:rPr>
                <w:rFonts w:cs="Arial"/>
                <w:color w:val="000000"/>
                <w:sz w:val="22"/>
                <w:szCs w:val="22"/>
                <w:lang w:eastAsia="en-AU"/>
              </w:rPr>
            </w:pPr>
            <w:r w:rsidRPr="00713D2C">
              <w:rPr>
                <w:rFonts w:cs="Arial"/>
                <w:color w:val="000000"/>
                <w:sz w:val="22"/>
                <w:szCs w:val="22"/>
                <w:lang w:eastAsia="en-AU"/>
              </w:rPr>
              <w:t>179,342</w:t>
            </w:r>
          </w:p>
        </w:tc>
      </w:tr>
      <w:tr w:rsidR="00083D2F" w:rsidRPr="00713D2C" w14:paraId="5EA73F90" w14:textId="77777777" w:rsidTr="00083D2F">
        <w:trPr>
          <w:trHeight w:val="379"/>
        </w:trPr>
        <w:tc>
          <w:tcPr>
            <w:tcW w:w="5670" w:type="dxa"/>
            <w:shd w:val="clear" w:color="auto" w:fill="auto"/>
            <w:vAlign w:val="center"/>
            <w:hideMark/>
          </w:tcPr>
          <w:p w14:paraId="5EA73F8C" w14:textId="77777777" w:rsidR="00083D2F" w:rsidRPr="00713D2C" w:rsidRDefault="00083D2F" w:rsidP="00713D2C">
            <w:pPr>
              <w:rPr>
                <w:rFonts w:cs="Arial"/>
                <w:color w:val="000000"/>
                <w:sz w:val="22"/>
                <w:szCs w:val="22"/>
                <w:lang w:eastAsia="en-AU"/>
              </w:rPr>
            </w:pPr>
            <w:r w:rsidRPr="00713D2C">
              <w:rPr>
                <w:rFonts w:cs="Arial"/>
                <w:color w:val="000000"/>
                <w:sz w:val="22"/>
                <w:szCs w:val="22"/>
                <w:lang w:eastAsia="en-AU"/>
              </w:rPr>
              <w:t>Net surplus attributable to members of the parent entity</w:t>
            </w:r>
          </w:p>
        </w:tc>
        <w:tc>
          <w:tcPr>
            <w:tcW w:w="1418" w:type="dxa"/>
            <w:shd w:val="clear" w:color="000000" w:fill="BFBFBF" w:themeFill="background1" w:themeFillShade="BF"/>
            <w:vAlign w:val="center"/>
          </w:tcPr>
          <w:p w14:paraId="5EA73F8E" w14:textId="77777777" w:rsidR="00083D2F" w:rsidRPr="00713D2C" w:rsidRDefault="00083D2F" w:rsidP="00713D2C">
            <w:pPr>
              <w:jc w:val="right"/>
              <w:rPr>
                <w:rFonts w:cs="Arial"/>
                <w:color w:val="000000"/>
                <w:sz w:val="22"/>
                <w:szCs w:val="22"/>
                <w:lang w:eastAsia="en-AU"/>
              </w:rPr>
            </w:pPr>
            <w:r>
              <w:rPr>
                <w:rFonts w:cs="Arial"/>
                <w:color w:val="000000"/>
                <w:sz w:val="22"/>
                <w:szCs w:val="22"/>
                <w:lang w:eastAsia="en-AU"/>
              </w:rPr>
              <w:t>10,259</w:t>
            </w:r>
          </w:p>
        </w:tc>
        <w:tc>
          <w:tcPr>
            <w:tcW w:w="1417" w:type="dxa"/>
            <w:shd w:val="clear" w:color="auto" w:fill="auto"/>
            <w:vAlign w:val="center"/>
            <w:hideMark/>
          </w:tcPr>
          <w:p w14:paraId="5EA73F8F" w14:textId="77777777" w:rsidR="00083D2F" w:rsidRPr="00713D2C" w:rsidRDefault="00083D2F" w:rsidP="00713D2C">
            <w:pPr>
              <w:jc w:val="right"/>
              <w:rPr>
                <w:rFonts w:cs="Arial"/>
                <w:color w:val="000000"/>
                <w:sz w:val="22"/>
                <w:szCs w:val="22"/>
                <w:lang w:eastAsia="en-AU"/>
              </w:rPr>
            </w:pPr>
            <w:r w:rsidRPr="00713D2C">
              <w:rPr>
                <w:rFonts w:cs="Arial"/>
                <w:color w:val="000000"/>
                <w:sz w:val="22"/>
                <w:szCs w:val="22"/>
                <w:lang w:eastAsia="en-AU"/>
              </w:rPr>
              <w:t>7,513</w:t>
            </w:r>
          </w:p>
        </w:tc>
      </w:tr>
      <w:tr w:rsidR="00083D2F" w:rsidRPr="00713D2C" w14:paraId="5EA73F95" w14:textId="77777777" w:rsidTr="00083D2F">
        <w:trPr>
          <w:trHeight w:val="364"/>
        </w:trPr>
        <w:tc>
          <w:tcPr>
            <w:tcW w:w="5670" w:type="dxa"/>
            <w:shd w:val="clear" w:color="auto" w:fill="auto"/>
            <w:vAlign w:val="center"/>
            <w:hideMark/>
          </w:tcPr>
          <w:p w14:paraId="5EA73F91" w14:textId="77777777" w:rsidR="00083D2F" w:rsidRPr="00713D2C" w:rsidRDefault="00083D2F" w:rsidP="00713D2C">
            <w:pPr>
              <w:rPr>
                <w:rFonts w:cs="Arial"/>
                <w:color w:val="000000"/>
                <w:sz w:val="22"/>
                <w:szCs w:val="22"/>
                <w:lang w:eastAsia="en-AU"/>
              </w:rPr>
            </w:pPr>
            <w:r w:rsidRPr="00713D2C">
              <w:rPr>
                <w:rFonts w:cs="Arial"/>
                <w:color w:val="000000"/>
                <w:sz w:val="22"/>
                <w:szCs w:val="22"/>
                <w:lang w:eastAsia="en-AU"/>
              </w:rPr>
              <w:t xml:space="preserve">Transfer of endowment fund to </w:t>
            </w:r>
            <w:r>
              <w:rPr>
                <w:rFonts w:cs="Arial"/>
                <w:color w:val="000000"/>
                <w:sz w:val="22"/>
                <w:szCs w:val="22"/>
                <w:lang w:eastAsia="en-AU"/>
              </w:rPr>
              <w:t>general reserve</w:t>
            </w:r>
          </w:p>
        </w:tc>
        <w:tc>
          <w:tcPr>
            <w:tcW w:w="1418" w:type="dxa"/>
            <w:shd w:val="clear" w:color="000000" w:fill="BFBFBF" w:themeFill="background1" w:themeFillShade="BF"/>
            <w:vAlign w:val="center"/>
          </w:tcPr>
          <w:p w14:paraId="5EA73F93" w14:textId="77777777" w:rsidR="00083D2F" w:rsidRPr="00713D2C" w:rsidRDefault="00083D2F" w:rsidP="00713D2C">
            <w:pPr>
              <w:jc w:val="right"/>
              <w:rPr>
                <w:rFonts w:cs="Arial"/>
                <w:color w:val="000000"/>
                <w:sz w:val="22"/>
                <w:szCs w:val="22"/>
                <w:lang w:eastAsia="en-AU"/>
              </w:rPr>
            </w:pPr>
            <w:r>
              <w:rPr>
                <w:rFonts w:cs="Arial"/>
                <w:color w:val="000000"/>
                <w:sz w:val="22"/>
                <w:szCs w:val="22"/>
                <w:lang w:eastAsia="en-AU"/>
              </w:rPr>
              <w:t>(447)</w:t>
            </w:r>
          </w:p>
        </w:tc>
        <w:tc>
          <w:tcPr>
            <w:tcW w:w="1417" w:type="dxa"/>
            <w:shd w:val="clear" w:color="auto" w:fill="auto"/>
            <w:vAlign w:val="center"/>
            <w:hideMark/>
          </w:tcPr>
          <w:p w14:paraId="5EA73F94" w14:textId="77777777" w:rsidR="00083D2F" w:rsidRPr="00713D2C" w:rsidRDefault="00083D2F" w:rsidP="00713D2C">
            <w:pPr>
              <w:jc w:val="right"/>
              <w:rPr>
                <w:rFonts w:cs="Arial"/>
                <w:color w:val="000000"/>
                <w:sz w:val="22"/>
                <w:szCs w:val="22"/>
                <w:lang w:eastAsia="en-AU"/>
              </w:rPr>
            </w:pPr>
            <w:r w:rsidRPr="00713D2C">
              <w:rPr>
                <w:rFonts w:cs="Arial"/>
                <w:color w:val="000000"/>
                <w:sz w:val="22"/>
                <w:szCs w:val="22"/>
                <w:lang w:eastAsia="en-AU"/>
              </w:rPr>
              <w:t>(2,650)</w:t>
            </w:r>
          </w:p>
        </w:tc>
      </w:tr>
      <w:tr w:rsidR="00083D2F" w:rsidRPr="00713D2C" w14:paraId="5EA73F9A" w14:textId="77777777" w:rsidTr="00083D2F">
        <w:trPr>
          <w:trHeight w:val="288"/>
        </w:trPr>
        <w:tc>
          <w:tcPr>
            <w:tcW w:w="5670" w:type="dxa"/>
            <w:shd w:val="clear" w:color="auto" w:fill="auto"/>
            <w:vAlign w:val="center"/>
            <w:hideMark/>
          </w:tcPr>
          <w:p w14:paraId="5EA73F96" w14:textId="77777777" w:rsidR="00083D2F" w:rsidRPr="00713D2C" w:rsidRDefault="00083D2F" w:rsidP="00713D2C">
            <w:pPr>
              <w:rPr>
                <w:rFonts w:cs="Arial"/>
                <w:color w:val="000000"/>
                <w:sz w:val="22"/>
                <w:szCs w:val="22"/>
                <w:lang w:eastAsia="en-AU"/>
              </w:rPr>
            </w:pPr>
            <w:r w:rsidRPr="00713D2C">
              <w:rPr>
                <w:rFonts w:cs="Arial"/>
                <w:color w:val="000000"/>
                <w:sz w:val="22"/>
                <w:szCs w:val="22"/>
                <w:lang w:eastAsia="en-AU"/>
              </w:rPr>
              <w:t>Balance at end of financial year</w:t>
            </w:r>
          </w:p>
        </w:tc>
        <w:tc>
          <w:tcPr>
            <w:tcW w:w="1418" w:type="dxa"/>
            <w:shd w:val="clear" w:color="000000" w:fill="BFBFBF" w:themeFill="background1" w:themeFillShade="BF"/>
            <w:vAlign w:val="center"/>
          </w:tcPr>
          <w:p w14:paraId="5EA73F98" w14:textId="77777777" w:rsidR="00083D2F" w:rsidRPr="00713D2C" w:rsidRDefault="00083D2F" w:rsidP="00713D2C">
            <w:pPr>
              <w:jc w:val="right"/>
              <w:rPr>
                <w:rFonts w:cs="Arial"/>
                <w:color w:val="000000"/>
                <w:sz w:val="22"/>
                <w:szCs w:val="22"/>
                <w:lang w:eastAsia="en-AU"/>
              </w:rPr>
            </w:pPr>
            <w:r>
              <w:rPr>
                <w:rFonts w:cs="Arial"/>
                <w:color w:val="000000"/>
                <w:sz w:val="22"/>
                <w:szCs w:val="22"/>
                <w:lang w:eastAsia="en-AU"/>
              </w:rPr>
              <w:t>194,017</w:t>
            </w:r>
          </w:p>
        </w:tc>
        <w:tc>
          <w:tcPr>
            <w:tcW w:w="1417" w:type="dxa"/>
            <w:shd w:val="clear" w:color="auto" w:fill="auto"/>
            <w:vAlign w:val="center"/>
            <w:hideMark/>
          </w:tcPr>
          <w:p w14:paraId="5EA73F99" w14:textId="77777777" w:rsidR="00083D2F" w:rsidRPr="00713D2C" w:rsidRDefault="00083D2F" w:rsidP="00713D2C">
            <w:pPr>
              <w:jc w:val="right"/>
              <w:rPr>
                <w:rFonts w:cs="Arial"/>
                <w:color w:val="000000"/>
                <w:sz w:val="22"/>
                <w:szCs w:val="22"/>
                <w:lang w:eastAsia="en-AU"/>
              </w:rPr>
            </w:pPr>
            <w:r w:rsidRPr="00713D2C">
              <w:rPr>
                <w:rFonts w:cs="Arial"/>
                <w:color w:val="000000"/>
                <w:sz w:val="22"/>
                <w:szCs w:val="22"/>
                <w:lang w:eastAsia="en-AU"/>
              </w:rPr>
              <w:t xml:space="preserve">184,205 </w:t>
            </w:r>
          </w:p>
        </w:tc>
      </w:tr>
    </w:tbl>
    <w:p w14:paraId="5EA73F9B" w14:textId="77777777" w:rsidR="00713D2C" w:rsidRDefault="00713D2C" w:rsidP="00096921">
      <w:pPr>
        <w:pStyle w:val="TextPara"/>
        <w:jc w:val="both"/>
        <w:rPr>
          <w:rFonts w:cs="Arial"/>
          <w:sz w:val="22"/>
          <w:szCs w:val="22"/>
        </w:rPr>
      </w:pPr>
    </w:p>
    <w:p w14:paraId="5EA73F9C" w14:textId="77777777" w:rsidR="00713D2C" w:rsidRPr="007540D9" w:rsidRDefault="00713D2C" w:rsidP="00096921">
      <w:pPr>
        <w:pStyle w:val="TextPara"/>
        <w:jc w:val="both"/>
        <w:rPr>
          <w:rFonts w:cs="Arial"/>
          <w:sz w:val="22"/>
          <w:szCs w:val="22"/>
        </w:rPr>
      </w:pPr>
    </w:p>
    <w:p w14:paraId="5EA73F9D" w14:textId="77777777" w:rsidR="006621AC" w:rsidRPr="00045F1D" w:rsidRDefault="006621AC" w:rsidP="00BF287B">
      <w:pPr>
        <w:pStyle w:val="Heading1"/>
      </w:pPr>
      <w:bookmarkStart w:id="333" w:name="_Toc430613774"/>
      <w:r w:rsidRPr="00045F1D">
        <w:t xml:space="preserve">Note </w:t>
      </w:r>
      <w:r w:rsidR="00DD26E8" w:rsidRPr="00045F1D">
        <w:t>21</w:t>
      </w:r>
      <w:r w:rsidRPr="00045F1D">
        <w:t>:  Contingent liabilities</w:t>
      </w:r>
      <w:bookmarkEnd w:id="333"/>
    </w:p>
    <w:p w14:paraId="5EA73F9E" w14:textId="77777777" w:rsidR="006621AC" w:rsidRPr="007540D9" w:rsidRDefault="006621AC">
      <w:pPr>
        <w:pStyle w:val="TextPara"/>
        <w:autoSpaceDE/>
        <w:autoSpaceDN/>
        <w:adjustRightInd/>
        <w:rPr>
          <w:rFonts w:cs="Arial"/>
          <w:sz w:val="22"/>
          <w:szCs w:val="22"/>
        </w:rPr>
      </w:pPr>
    </w:p>
    <w:p w14:paraId="5EA73FA0" w14:textId="77777777" w:rsidR="008C208D" w:rsidRPr="007540D9" w:rsidRDefault="008C208D" w:rsidP="004D62B7">
      <w:pPr>
        <w:pStyle w:val="TextPara"/>
        <w:autoSpaceDE/>
        <w:autoSpaceDN/>
        <w:adjustRightInd/>
        <w:rPr>
          <w:rFonts w:cs="Arial"/>
          <w:sz w:val="22"/>
          <w:szCs w:val="22"/>
        </w:rPr>
      </w:pPr>
    </w:p>
    <w:p w14:paraId="5EA73FA1" w14:textId="77777777" w:rsidR="008C208D" w:rsidRPr="00D62334" w:rsidRDefault="008C208D" w:rsidP="0031284D">
      <w:pPr>
        <w:pStyle w:val="TextPara"/>
        <w:numPr>
          <w:ilvl w:val="0"/>
          <w:numId w:val="17"/>
        </w:numPr>
        <w:rPr>
          <w:rFonts w:cs="Arial"/>
          <w:sz w:val="22"/>
          <w:szCs w:val="22"/>
        </w:rPr>
      </w:pPr>
      <w:r w:rsidRPr="007540D9">
        <w:rPr>
          <w:rFonts w:cs="Arial"/>
          <w:sz w:val="22"/>
          <w:szCs w:val="22"/>
        </w:rPr>
        <w:t xml:space="preserve">At </w:t>
      </w:r>
      <w:r w:rsidR="00F175CD" w:rsidRPr="007540D9">
        <w:rPr>
          <w:rFonts w:cs="Arial"/>
          <w:sz w:val="22"/>
          <w:szCs w:val="22"/>
        </w:rPr>
        <w:t>30 June</w:t>
      </w:r>
      <w:r w:rsidR="008903DC" w:rsidRPr="007540D9">
        <w:rPr>
          <w:rFonts w:cs="Arial"/>
          <w:sz w:val="22"/>
          <w:szCs w:val="22"/>
        </w:rPr>
        <w:t xml:space="preserve"> 201</w:t>
      </w:r>
      <w:r w:rsidR="00D4447E">
        <w:rPr>
          <w:rFonts w:cs="Arial"/>
          <w:sz w:val="22"/>
          <w:szCs w:val="22"/>
        </w:rPr>
        <w:t>4</w:t>
      </w:r>
      <w:r w:rsidRPr="007540D9">
        <w:rPr>
          <w:rFonts w:cs="Arial"/>
          <w:sz w:val="22"/>
          <w:szCs w:val="22"/>
        </w:rPr>
        <w:t xml:space="preserve"> Vision Australia</w:t>
      </w:r>
      <w:r w:rsidR="00EB1A0C" w:rsidRPr="007540D9">
        <w:rPr>
          <w:rFonts w:cs="Arial"/>
          <w:sz w:val="22"/>
          <w:szCs w:val="22"/>
        </w:rPr>
        <w:t xml:space="preserve"> Limited</w:t>
      </w:r>
      <w:r w:rsidRPr="007540D9">
        <w:rPr>
          <w:rFonts w:cs="Arial"/>
          <w:sz w:val="22"/>
          <w:szCs w:val="22"/>
        </w:rPr>
        <w:t xml:space="preserve"> had </w:t>
      </w:r>
      <w:r w:rsidR="00DD26E8" w:rsidRPr="007540D9">
        <w:rPr>
          <w:rFonts w:cs="Arial"/>
          <w:sz w:val="22"/>
          <w:szCs w:val="22"/>
        </w:rPr>
        <w:t xml:space="preserve">a </w:t>
      </w:r>
      <w:r w:rsidRPr="007540D9">
        <w:rPr>
          <w:rFonts w:cs="Arial"/>
          <w:sz w:val="22"/>
          <w:szCs w:val="22"/>
        </w:rPr>
        <w:t>bank guarantee</w:t>
      </w:r>
      <w:r w:rsidR="00DD26E8" w:rsidRPr="007540D9">
        <w:rPr>
          <w:rFonts w:cs="Arial"/>
          <w:sz w:val="22"/>
          <w:szCs w:val="22"/>
        </w:rPr>
        <w:t xml:space="preserve"> </w:t>
      </w:r>
      <w:r w:rsidRPr="007540D9">
        <w:rPr>
          <w:rFonts w:cs="Arial"/>
          <w:sz w:val="22"/>
          <w:szCs w:val="22"/>
        </w:rPr>
        <w:t xml:space="preserve">relating to </w:t>
      </w:r>
      <w:r w:rsidR="00DD26E8" w:rsidRPr="007540D9">
        <w:rPr>
          <w:rFonts w:cs="Arial"/>
          <w:sz w:val="22"/>
          <w:szCs w:val="22"/>
        </w:rPr>
        <w:t xml:space="preserve">a </w:t>
      </w:r>
      <w:r w:rsidRPr="007540D9">
        <w:rPr>
          <w:rFonts w:cs="Arial"/>
          <w:sz w:val="22"/>
          <w:szCs w:val="22"/>
        </w:rPr>
        <w:t>lease</w:t>
      </w:r>
      <w:r w:rsidR="00DD26E8" w:rsidRPr="007540D9">
        <w:rPr>
          <w:rFonts w:cs="Arial"/>
          <w:sz w:val="22"/>
          <w:szCs w:val="22"/>
        </w:rPr>
        <w:t>d</w:t>
      </w:r>
      <w:r w:rsidRPr="007540D9">
        <w:rPr>
          <w:rFonts w:cs="Arial"/>
          <w:sz w:val="22"/>
          <w:szCs w:val="22"/>
        </w:rPr>
        <w:t xml:space="preserve"> </w:t>
      </w:r>
      <w:r w:rsidRPr="00D62334">
        <w:rPr>
          <w:rFonts w:cs="Arial"/>
          <w:sz w:val="22"/>
          <w:szCs w:val="22"/>
        </w:rPr>
        <w:t>propert</w:t>
      </w:r>
      <w:r w:rsidR="00DD26E8" w:rsidRPr="00D62334">
        <w:rPr>
          <w:rFonts w:cs="Arial"/>
          <w:sz w:val="22"/>
          <w:szCs w:val="22"/>
        </w:rPr>
        <w:t xml:space="preserve">y in Canberra of </w:t>
      </w:r>
      <w:r w:rsidR="00087837" w:rsidRPr="00D62334">
        <w:rPr>
          <w:rFonts w:cs="Arial"/>
          <w:sz w:val="22"/>
          <w:szCs w:val="22"/>
        </w:rPr>
        <w:t>$</w:t>
      </w:r>
      <w:r w:rsidR="00D62334" w:rsidRPr="00D62334">
        <w:rPr>
          <w:rFonts w:cs="Arial"/>
          <w:sz w:val="22"/>
          <w:szCs w:val="22"/>
        </w:rPr>
        <w:t>28,187</w:t>
      </w:r>
      <w:r w:rsidRPr="00D62334">
        <w:rPr>
          <w:rFonts w:cs="Arial"/>
          <w:sz w:val="22"/>
          <w:szCs w:val="22"/>
        </w:rPr>
        <w:t xml:space="preserve"> (20</w:t>
      </w:r>
      <w:r w:rsidR="00087837" w:rsidRPr="00D62334">
        <w:rPr>
          <w:rFonts w:cs="Arial"/>
          <w:sz w:val="22"/>
          <w:szCs w:val="22"/>
        </w:rPr>
        <w:t>1</w:t>
      </w:r>
      <w:r w:rsidR="005D1D23" w:rsidRPr="00D62334">
        <w:rPr>
          <w:rFonts w:cs="Arial"/>
          <w:sz w:val="22"/>
          <w:szCs w:val="22"/>
        </w:rPr>
        <w:t>4</w:t>
      </w:r>
      <w:r w:rsidRPr="00D62334">
        <w:rPr>
          <w:rFonts w:cs="Arial"/>
          <w:sz w:val="22"/>
          <w:szCs w:val="22"/>
        </w:rPr>
        <w:t xml:space="preserve">: </w:t>
      </w:r>
      <w:r w:rsidR="00D4447E" w:rsidRPr="00D62334">
        <w:rPr>
          <w:rFonts w:cs="Arial"/>
          <w:sz w:val="22"/>
          <w:szCs w:val="22"/>
        </w:rPr>
        <w:t>$</w:t>
      </w:r>
      <w:r w:rsidR="005D1D23" w:rsidRPr="00D62334">
        <w:rPr>
          <w:rFonts w:cs="Arial"/>
          <w:sz w:val="22"/>
          <w:szCs w:val="22"/>
        </w:rPr>
        <w:t>27,654</w:t>
      </w:r>
      <w:r w:rsidRPr="00D62334">
        <w:rPr>
          <w:rFonts w:cs="Arial"/>
          <w:sz w:val="22"/>
          <w:szCs w:val="22"/>
        </w:rPr>
        <w:t>).</w:t>
      </w:r>
    </w:p>
    <w:p w14:paraId="5EA73FA2" w14:textId="77777777" w:rsidR="00E17884" w:rsidRPr="007540D9" w:rsidRDefault="00E17884" w:rsidP="004D62B7">
      <w:pPr>
        <w:pStyle w:val="TextPara"/>
        <w:autoSpaceDE/>
        <w:autoSpaceDN/>
        <w:adjustRightInd/>
        <w:rPr>
          <w:rFonts w:cs="Arial"/>
          <w:sz w:val="22"/>
          <w:szCs w:val="22"/>
        </w:rPr>
      </w:pPr>
    </w:p>
    <w:p w14:paraId="5EA73FA3" w14:textId="77777777" w:rsidR="00E17884" w:rsidRPr="008279D4" w:rsidRDefault="00E17884" w:rsidP="0031284D">
      <w:pPr>
        <w:pStyle w:val="TextPara"/>
        <w:numPr>
          <w:ilvl w:val="0"/>
          <w:numId w:val="17"/>
        </w:numPr>
        <w:rPr>
          <w:rFonts w:cs="Arial"/>
          <w:sz w:val="22"/>
          <w:szCs w:val="22"/>
        </w:rPr>
      </w:pPr>
      <w:r w:rsidRPr="003D4EC1">
        <w:rPr>
          <w:rFonts w:cs="Arial"/>
          <w:sz w:val="22"/>
          <w:szCs w:val="22"/>
        </w:rPr>
        <w:t>A</w:t>
      </w:r>
      <w:r w:rsidR="00A121C0">
        <w:rPr>
          <w:rFonts w:cs="Arial"/>
          <w:sz w:val="22"/>
          <w:szCs w:val="22"/>
        </w:rPr>
        <w:t>n</w:t>
      </w:r>
      <w:r w:rsidRPr="003D4EC1">
        <w:rPr>
          <w:rFonts w:cs="Arial"/>
          <w:sz w:val="22"/>
          <w:szCs w:val="22"/>
        </w:rPr>
        <w:t xml:space="preserve"> </w:t>
      </w:r>
      <w:r w:rsidR="004755CE">
        <w:rPr>
          <w:rFonts w:cs="Arial"/>
          <w:sz w:val="22"/>
          <w:szCs w:val="22"/>
        </w:rPr>
        <w:t xml:space="preserve">additional </w:t>
      </w:r>
      <w:r w:rsidRPr="003D4EC1">
        <w:rPr>
          <w:rFonts w:cs="Arial"/>
          <w:sz w:val="22"/>
          <w:szCs w:val="22"/>
        </w:rPr>
        <w:t>bank guarantee facility is</w:t>
      </w:r>
      <w:r w:rsidRPr="008279D4">
        <w:rPr>
          <w:rFonts w:cs="Arial"/>
          <w:sz w:val="22"/>
          <w:szCs w:val="22"/>
        </w:rPr>
        <w:t xml:space="preserve"> available for leased properties as follows:</w:t>
      </w:r>
    </w:p>
    <w:p w14:paraId="5EA73FA4" w14:textId="77777777" w:rsidR="00FC2EA5" w:rsidRPr="007540D9" w:rsidRDefault="00FC2EA5" w:rsidP="00A02851">
      <w:pPr>
        <w:pStyle w:val="TextPara"/>
        <w:autoSpaceDE/>
        <w:autoSpaceDN/>
        <w:adjustRightInd/>
        <w:jc w:val="both"/>
        <w:rPr>
          <w:rFonts w:cs="Arial"/>
          <w:sz w:val="22"/>
          <w:szCs w:val="22"/>
        </w:rPr>
      </w:pPr>
    </w:p>
    <w:tbl>
      <w:tblPr>
        <w:tblpPr w:leftFromText="180" w:rightFromText="180" w:vertAnchor="text" w:horzAnchor="page" w:tblpX="1769" w:tblpY="-102"/>
        <w:tblW w:w="8733" w:type="dxa"/>
        <w:tblLook w:val="04A0" w:firstRow="1" w:lastRow="0" w:firstColumn="1" w:lastColumn="0" w:noHBand="0" w:noVBand="1"/>
      </w:tblPr>
      <w:tblGrid>
        <w:gridCol w:w="5919"/>
        <w:gridCol w:w="1277"/>
        <w:gridCol w:w="71"/>
        <w:gridCol w:w="1466"/>
      </w:tblGrid>
      <w:tr w:rsidR="00083D2F" w:rsidRPr="007540D9" w14:paraId="70DFDAE7" w14:textId="77777777" w:rsidTr="00083D2F">
        <w:trPr>
          <w:trHeight w:val="397"/>
          <w:tblHeader/>
        </w:trPr>
        <w:tc>
          <w:tcPr>
            <w:tcW w:w="5919" w:type="dxa"/>
            <w:tcBorders>
              <w:top w:val="nil"/>
              <w:left w:val="nil"/>
              <w:bottom w:val="nil"/>
              <w:right w:val="nil"/>
            </w:tcBorders>
            <w:shd w:val="clear" w:color="auto" w:fill="auto"/>
            <w:vAlign w:val="bottom"/>
          </w:tcPr>
          <w:p w14:paraId="266ACF18" w14:textId="77777777" w:rsidR="00083D2F" w:rsidRPr="007D0F50" w:rsidRDefault="00083D2F" w:rsidP="008512C8">
            <w:pPr>
              <w:rPr>
                <w:rFonts w:cs="Arial"/>
                <w:color w:val="000000"/>
                <w:sz w:val="22"/>
                <w:szCs w:val="22"/>
                <w:lang w:eastAsia="en-AU"/>
              </w:rPr>
            </w:pPr>
            <w:bookmarkStart w:id="334" w:name="Table_54"/>
            <w:bookmarkEnd w:id="334"/>
          </w:p>
        </w:tc>
        <w:tc>
          <w:tcPr>
            <w:tcW w:w="1348" w:type="dxa"/>
            <w:gridSpan w:val="2"/>
            <w:tcBorders>
              <w:top w:val="nil"/>
              <w:left w:val="nil"/>
              <w:bottom w:val="nil"/>
              <w:right w:val="nil"/>
            </w:tcBorders>
            <w:shd w:val="clear" w:color="000000" w:fill="BFBFBF" w:themeFill="background1" w:themeFillShade="BF"/>
            <w:vAlign w:val="bottom"/>
          </w:tcPr>
          <w:p w14:paraId="6A978D0E" w14:textId="56DDBD16" w:rsidR="00083D2F" w:rsidRPr="00083D2F" w:rsidRDefault="00083D2F" w:rsidP="008512C8">
            <w:pPr>
              <w:jc w:val="right"/>
              <w:rPr>
                <w:rFonts w:cs="Arial"/>
                <w:b/>
                <w:color w:val="000000"/>
                <w:sz w:val="22"/>
                <w:szCs w:val="22"/>
                <w:lang w:eastAsia="en-AU"/>
              </w:rPr>
            </w:pPr>
            <w:r w:rsidRPr="00083D2F">
              <w:rPr>
                <w:rFonts w:cs="Arial"/>
                <w:b/>
                <w:color w:val="000000"/>
                <w:sz w:val="22"/>
                <w:szCs w:val="22"/>
                <w:lang w:eastAsia="en-AU"/>
              </w:rPr>
              <w:t>2015</w:t>
            </w:r>
          </w:p>
        </w:tc>
        <w:tc>
          <w:tcPr>
            <w:tcW w:w="1466" w:type="dxa"/>
            <w:tcBorders>
              <w:top w:val="nil"/>
              <w:left w:val="nil"/>
              <w:bottom w:val="nil"/>
              <w:right w:val="nil"/>
            </w:tcBorders>
            <w:shd w:val="clear" w:color="auto" w:fill="auto"/>
            <w:vAlign w:val="bottom"/>
          </w:tcPr>
          <w:p w14:paraId="530B3AE9" w14:textId="13ABE7DC" w:rsidR="00083D2F" w:rsidRDefault="00083D2F" w:rsidP="008512C8">
            <w:pPr>
              <w:jc w:val="right"/>
              <w:rPr>
                <w:rFonts w:cs="Arial"/>
                <w:color w:val="000000"/>
                <w:sz w:val="22"/>
                <w:szCs w:val="22"/>
                <w:lang w:eastAsia="en-AU"/>
              </w:rPr>
            </w:pPr>
            <w:r>
              <w:rPr>
                <w:rFonts w:cs="Arial"/>
                <w:color w:val="000000"/>
                <w:sz w:val="22"/>
                <w:szCs w:val="22"/>
                <w:lang w:eastAsia="en-AU"/>
              </w:rPr>
              <w:t>2014</w:t>
            </w:r>
          </w:p>
        </w:tc>
      </w:tr>
      <w:tr w:rsidR="008512C8" w:rsidRPr="007540D9" w14:paraId="5EA73FA8" w14:textId="77777777" w:rsidTr="00083D2F">
        <w:trPr>
          <w:trHeight w:val="397"/>
        </w:trPr>
        <w:tc>
          <w:tcPr>
            <w:tcW w:w="5919" w:type="dxa"/>
            <w:tcBorders>
              <w:top w:val="nil"/>
              <w:left w:val="nil"/>
              <w:bottom w:val="nil"/>
              <w:right w:val="nil"/>
            </w:tcBorders>
            <w:shd w:val="clear" w:color="auto" w:fill="auto"/>
            <w:vAlign w:val="bottom"/>
            <w:hideMark/>
          </w:tcPr>
          <w:p w14:paraId="5EA73FA5" w14:textId="77777777" w:rsidR="008512C8" w:rsidRPr="007D0F50" w:rsidRDefault="008512C8" w:rsidP="008512C8">
            <w:pPr>
              <w:rPr>
                <w:rFonts w:cs="Arial"/>
                <w:color w:val="000000"/>
                <w:sz w:val="22"/>
                <w:szCs w:val="22"/>
                <w:lang w:eastAsia="en-AU"/>
              </w:rPr>
            </w:pPr>
            <w:r w:rsidRPr="007D0F50">
              <w:rPr>
                <w:rFonts w:cs="Arial"/>
                <w:color w:val="000000"/>
                <w:sz w:val="22"/>
                <w:szCs w:val="22"/>
                <w:lang w:eastAsia="en-AU"/>
              </w:rPr>
              <w:t xml:space="preserve">  Amount used</w:t>
            </w:r>
          </w:p>
        </w:tc>
        <w:tc>
          <w:tcPr>
            <w:tcW w:w="1348" w:type="dxa"/>
            <w:gridSpan w:val="2"/>
            <w:tcBorders>
              <w:top w:val="nil"/>
              <w:left w:val="nil"/>
              <w:bottom w:val="nil"/>
              <w:right w:val="nil"/>
            </w:tcBorders>
            <w:shd w:val="clear" w:color="000000" w:fill="BFBFBF" w:themeFill="background1" w:themeFillShade="BF"/>
            <w:vAlign w:val="bottom"/>
          </w:tcPr>
          <w:p w14:paraId="5EA73FA6" w14:textId="77777777" w:rsidR="008512C8" w:rsidRPr="007B2B61" w:rsidRDefault="00D62334" w:rsidP="008512C8">
            <w:pPr>
              <w:jc w:val="right"/>
              <w:rPr>
                <w:rFonts w:cs="Arial"/>
                <w:color w:val="000000"/>
                <w:sz w:val="22"/>
                <w:szCs w:val="22"/>
                <w:lang w:eastAsia="en-AU"/>
              </w:rPr>
            </w:pPr>
            <w:r>
              <w:rPr>
                <w:rFonts w:cs="Arial"/>
                <w:color w:val="000000"/>
                <w:sz w:val="22"/>
                <w:szCs w:val="22"/>
                <w:lang w:eastAsia="en-AU"/>
              </w:rPr>
              <w:t>23</w:t>
            </w:r>
          </w:p>
        </w:tc>
        <w:tc>
          <w:tcPr>
            <w:tcW w:w="1466" w:type="dxa"/>
            <w:tcBorders>
              <w:top w:val="nil"/>
              <w:left w:val="nil"/>
              <w:bottom w:val="nil"/>
              <w:right w:val="nil"/>
            </w:tcBorders>
            <w:shd w:val="clear" w:color="auto" w:fill="auto"/>
            <w:vAlign w:val="bottom"/>
            <w:hideMark/>
          </w:tcPr>
          <w:p w14:paraId="5EA73FA7" w14:textId="77777777" w:rsidR="008512C8" w:rsidRPr="00EC5BD6" w:rsidRDefault="008512C8" w:rsidP="008512C8">
            <w:pPr>
              <w:jc w:val="right"/>
              <w:rPr>
                <w:rFonts w:cs="Arial"/>
                <w:color w:val="000000"/>
                <w:sz w:val="22"/>
                <w:szCs w:val="22"/>
                <w:lang w:eastAsia="en-AU"/>
              </w:rPr>
            </w:pPr>
            <w:r>
              <w:rPr>
                <w:rFonts w:cs="Arial"/>
                <w:color w:val="000000"/>
                <w:sz w:val="22"/>
                <w:szCs w:val="22"/>
                <w:lang w:eastAsia="en-AU"/>
              </w:rPr>
              <w:t>36</w:t>
            </w:r>
          </w:p>
        </w:tc>
      </w:tr>
      <w:tr w:rsidR="008512C8" w:rsidRPr="007540D9" w14:paraId="5EA73FAC" w14:textId="77777777" w:rsidTr="00083D2F">
        <w:trPr>
          <w:trHeight w:val="397"/>
        </w:trPr>
        <w:tc>
          <w:tcPr>
            <w:tcW w:w="5919" w:type="dxa"/>
            <w:tcBorders>
              <w:top w:val="nil"/>
              <w:left w:val="nil"/>
              <w:bottom w:val="nil"/>
              <w:right w:val="nil"/>
            </w:tcBorders>
            <w:shd w:val="clear" w:color="auto" w:fill="auto"/>
            <w:vAlign w:val="bottom"/>
            <w:hideMark/>
          </w:tcPr>
          <w:p w14:paraId="5EA73FA9" w14:textId="77777777" w:rsidR="008512C8" w:rsidRPr="007D0F50" w:rsidRDefault="008512C8" w:rsidP="008512C8">
            <w:pPr>
              <w:rPr>
                <w:rFonts w:cs="Arial"/>
                <w:color w:val="000000"/>
                <w:sz w:val="22"/>
                <w:szCs w:val="22"/>
                <w:lang w:eastAsia="en-AU"/>
              </w:rPr>
            </w:pPr>
            <w:r w:rsidRPr="007D0F50">
              <w:rPr>
                <w:rFonts w:cs="Arial"/>
                <w:color w:val="000000"/>
                <w:sz w:val="22"/>
                <w:szCs w:val="22"/>
                <w:lang w:eastAsia="en-AU"/>
              </w:rPr>
              <w:t xml:space="preserve">  Amount unused</w:t>
            </w:r>
          </w:p>
        </w:tc>
        <w:tc>
          <w:tcPr>
            <w:tcW w:w="1348" w:type="dxa"/>
            <w:gridSpan w:val="2"/>
            <w:tcBorders>
              <w:top w:val="nil"/>
              <w:left w:val="nil"/>
              <w:bottom w:val="nil"/>
              <w:right w:val="nil"/>
            </w:tcBorders>
            <w:shd w:val="clear" w:color="000000" w:fill="BFBFBF" w:themeFill="background1" w:themeFillShade="BF"/>
            <w:vAlign w:val="bottom"/>
          </w:tcPr>
          <w:p w14:paraId="5EA73FAA" w14:textId="77777777" w:rsidR="008512C8" w:rsidRPr="007B2B61" w:rsidRDefault="00D62334" w:rsidP="008512C8">
            <w:pPr>
              <w:jc w:val="right"/>
              <w:rPr>
                <w:rFonts w:cs="Arial"/>
                <w:color w:val="000000"/>
                <w:sz w:val="22"/>
                <w:szCs w:val="22"/>
                <w:lang w:eastAsia="en-AU"/>
              </w:rPr>
            </w:pPr>
            <w:r>
              <w:rPr>
                <w:rFonts w:cs="Arial"/>
                <w:color w:val="000000"/>
                <w:sz w:val="22"/>
                <w:szCs w:val="22"/>
                <w:lang w:eastAsia="en-AU"/>
              </w:rPr>
              <w:t>77</w:t>
            </w:r>
          </w:p>
        </w:tc>
        <w:tc>
          <w:tcPr>
            <w:tcW w:w="1466" w:type="dxa"/>
            <w:tcBorders>
              <w:top w:val="nil"/>
              <w:left w:val="nil"/>
              <w:bottom w:val="nil"/>
              <w:right w:val="nil"/>
            </w:tcBorders>
            <w:shd w:val="clear" w:color="auto" w:fill="auto"/>
            <w:vAlign w:val="bottom"/>
            <w:hideMark/>
          </w:tcPr>
          <w:p w14:paraId="5EA73FAB" w14:textId="77777777" w:rsidR="008512C8" w:rsidRPr="00EC5BD6" w:rsidRDefault="008512C8" w:rsidP="008512C8">
            <w:pPr>
              <w:jc w:val="right"/>
              <w:rPr>
                <w:rFonts w:cs="Arial"/>
                <w:color w:val="000000"/>
                <w:sz w:val="22"/>
                <w:szCs w:val="22"/>
                <w:lang w:eastAsia="en-AU"/>
              </w:rPr>
            </w:pPr>
            <w:r>
              <w:rPr>
                <w:rFonts w:cs="Arial"/>
                <w:color w:val="000000"/>
                <w:sz w:val="22"/>
                <w:szCs w:val="22"/>
                <w:lang w:eastAsia="en-AU"/>
              </w:rPr>
              <w:t>64</w:t>
            </w:r>
          </w:p>
        </w:tc>
      </w:tr>
      <w:tr w:rsidR="00083D2F" w:rsidRPr="007540D9" w14:paraId="5EA73FB1" w14:textId="77777777" w:rsidTr="00083D2F">
        <w:trPr>
          <w:trHeight w:val="397"/>
        </w:trPr>
        <w:tc>
          <w:tcPr>
            <w:tcW w:w="5919" w:type="dxa"/>
            <w:tcBorders>
              <w:top w:val="nil"/>
              <w:left w:val="nil"/>
              <w:bottom w:val="nil"/>
              <w:right w:val="nil"/>
            </w:tcBorders>
            <w:shd w:val="clear" w:color="auto" w:fill="auto"/>
            <w:vAlign w:val="center"/>
            <w:hideMark/>
          </w:tcPr>
          <w:p w14:paraId="5EA73FAD" w14:textId="2977E45C" w:rsidR="00083D2F" w:rsidRPr="007D0F50" w:rsidRDefault="00083D2F" w:rsidP="008512C8">
            <w:pPr>
              <w:rPr>
                <w:rFonts w:cs="Arial"/>
                <w:color w:val="000000"/>
                <w:sz w:val="22"/>
                <w:szCs w:val="22"/>
                <w:lang w:eastAsia="en-AU"/>
              </w:rPr>
            </w:pPr>
            <w:r>
              <w:rPr>
                <w:rFonts w:cs="Arial"/>
                <w:color w:val="000000"/>
                <w:sz w:val="22"/>
                <w:szCs w:val="22"/>
                <w:lang w:eastAsia="en-AU"/>
              </w:rPr>
              <w:t>Total</w:t>
            </w:r>
          </w:p>
        </w:tc>
        <w:tc>
          <w:tcPr>
            <w:tcW w:w="1277" w:type="dxa"/>
            <w:tcBorders>
              <w:top w:val="single" w:sz="12" w:space="0" w:color="auto"/>
              <w:left w:val="nil"/>
              <w:bottom w:val="single" w:sz="12" w:space="0" w:color="auto"/>
              <w:right w:val="nil"/>
            </w:tcBorders>
            <w:shd w:val="clear" w:color="000000" w:fill="BFBFBF" w:themeFill="background1" w:themeFillShade="BF"/>
            <w:vAlign w:val="bottom"/>
          </w:tcPr>
          <w:p w14:paraId="5EA73FAF" w14:textId="77777777" w:rsidR="00083D2F" w:rsidRPr="00EC5BD6" w:rsidRDefault="00083D2F" w:rsidP="008512C8">
            <w:pPr>
              <w:jc w:val="right"/>
              <w:rPr>
                <w:rFonts w:cs="Arial"/>
                <w:color w:val="000000"/>
                <w:sz w:val="22"/>
                <w:szCs w:val="22"/>
                <w:lang w:eastAsia="en-AU"/>
              </w:rPr>
            </w:pPr>
            <w:r>
              <w:rPr>
                <w:rFonts w:cs="Arial"/>
                <w:color w:val="000000"/>
                <w:sz w:val="22"/>
                <w:szCs w:val="22"/>
                <w:lang w:eastAsia="en-AU"/>
              </w:rPr>
              <w:t>100</w:t>
            </w:r>
          </w:p>
        </w:tc>
        <w:tc>
          <w:tcPr>
            <w:tcW w:w="1537" w:type="dxa"/>
            <w:gridSpan w:val="2"/>
            <w:tcBorders>
              <w:top w:val="single" w:sz="12" w:space="0" w:color="auto"/>
              <w:left w:val="nil"/>
              <w:bottom w:val="single" w:sz="12" w:space="0" w:color="auto"/>
              <w:right w:val="nil"/>
            </w:tcBorders>
            <w:shd w:val="clear" w:color="auto" w:fill="auto"/>
            <w:vAlign w:val="bottom"/>
            <w:hideMark/>
          </w:tcPr>
          <w:p w14:paraId="5EA73FB0" w14:textId="77777777" w:rsidR="00083D2F" w:rsidRPr="00E1294C" w:rsidRDefault="00083D2F" w:rsidP="008512C8">
            <w:pPr>
              <w:jc w:val="right"/>
              <w:rPr>
                <w:rFonts w:cs="Arial"/>
                <w:color w:val="000000"/>
                <w:sz w:val="22"/>
                <w:szCs w:val="22"/>
                <w:lang w:eastAsia="en-AU"/>
              </w:rPr>
            </w:pPr>
            <w:r w:rsidRPr="00E1294C">
              <w:rPr>
                <w:rFonts w:cs="Arial"/>
                <w:color w:val="000000"/>
                <w:sz w:val="22"/>
                <w:szCs w:val="22"/>
                <w:lang w:eastAsia="en-AU"/>
              </w:rPr>
              <w:t>100</w:t>
            </w:r>
          </w:p>
        </w:tc>
      </w:tr>
    </w:tbl>
    <w:p w14:paraId="120F36DC" w14:textId="77777777" w:rsidR="00083D2F" w:rsidRDefault="00083D2F" w:rsidP="00BF287B">
      <w:pPr>
        <w:pStyle w:val="Heading1"/>
      </w:pPr>
      <w:bookmarkStart w:id="335" w:name="_Toc430613775"/>
    </w:p>
    <w:p w14:paraId="779F204C" w14:textId="77777777" w:rsidR="00083D2F" w:rsidRDefault="00083D2F">
      <w:pPr>
        <w:rPr>
          <w:b/>
        </w:rPr>
      </w:pPr>
      <w:r>
        <w:br w:type="page"/>
      </w:r>
    </w:p>
    <w:p w14:paraId="26975C49" w14:textId="6CB85B9A" w:rsidR="00045F1D" w:rsidRDefault="00045F1D" w:rsidP="00BF287B">
      <w:pPr>
        <w:pStyle w:val="Heading1"/>
      </w:pPr>
      <w:r w:rsidRPr="00045F1D">
        <w:lastRenderedPageBreak/>
        <w:t>Note 22: Leases</w:t>
      </w:r>
      <w:bookmarkEnd w:id="335"/>
    </w:p>
    <w:p w14:paraId="3D5B1648" w14:textId="77777777" w:rsidR="00045F1D" w:rsidRDefault="00045F1D" w:rsidP="00045F1D"/>
    <w:p w14:paraId="0F22F84B" w14:textId="77777777" w:rsidR="00083D2F" w:rsidRDefault="00083D2F" w:rsidP="00045F1D">
      <w:pPr>
        <w:rPr>
          <w:rFonts w:cs="Arial"/>
          <w:color w:val="000000"/>
          <w:sz w:val="22"/>
          <w:szCs w:val="22"/>
          <w:lang w:eastAsia="en-AU"/>
        </w:rPr>
      </w:pPr>
      <w:r w:rsidRPr="00520AE3">
        <w:rPr>
          <w:rFonts w:cs="Arial"/>
          <w:b/>
          <w:bCs/>
          <w:color w:val="000000"/>
          <w:sz w:val="22"/>
          <w:szCs w:val="22"/>
          <w:lang w:eastAsia="en-AU"/>
        </w:rPr>
        <w:t>Disclosures for lessees</w:t>
      </w:r>
      <w:r w:rsidRPr="00083D2F">
        <w:rPr>
          <w:rFonts w:cs="Arial"/>
          <w:color w:val="000000"/>
          <w:sz w:val="22"/>
          <w:szCs w:val="22"/>
          <w:lang w:eastAsia="en-AU"/>
        </w:rPr>
        <w:t xml:space="preserve"> </w:t>
      </w:r>
    </w:p>
    <w:p w14:paraId="129F9287" w14:textId="77777777" w:rsidR="00083D2F" w:rsidRDefault="00083D2F" w:rsidP="00045F1D">
      <w:pPr>
        <w:rPr>
          <w:rFonts w:cs="Arial"/>
          <w:color w:val="000000"/>
          <w:sz w:val="22"/>
          <w:szCs w:val="22"/>
          <w:u w:val="single"/>
          <w:lang w:eastAsia="en-AU"/>
        </w:rPr>
      </w:pPr>
      <w:r w:rsidRPr="00520AE3">
        <w:rPr>
          <w:rFonts w:cs="Arial"/>
          <w:color w:val="000000"/>
          <w:sz w:val="22"/>
          <w:szCs w:val="22"/>
          <w:lang w:eastAsia="en-AU"/>
        </w:rPr>
        <w:t>Operating leases</w:t>
      </w:r>
      <w:r w:rsidRPr="00083D2F">
        <w:rPr>
          <w:rFonts w:cs="Arial"/>
          <w:color w:val="000000"/>
          <w:sz w:val="22"/>
          <w:szCs w:val="22"/>
          <w:u w:val="single"/>
          <w:lang w:eastAsia="en-AU"/>
        </w:rPr>
        <w:t xml:space="preserve"> </w:t>
      </w:r>
    </w:p>
    <w:p w14:paraId="07841238" w14:textId="6969C4E4" w:rsidR="00083D2F" w:rsidRPr="00520AE3" w:rsidRDefault="00083D2F" w:rsidP="00083D2F">
      <w:pPr>
        <w:rPr>
          <w:rFonts w:cs="Arial"/>
          <w:color w:val="000000"/>
          <w:sz w:val="22"/>
          <w:szCs w:val="22"/>
          <w:lang w:eastAsia="en-AU"/>
        </w:rPr>
      </w:pPr>
      <w:r w:rsidRPr="00520AE3">
        <w:rPr>
          <w:rFonts w:cs="Arial"/>
          <w:color w:val="000000"/>
          <w:sz w:val="22"/>
          <w:szCs w:val="22"/>
          <w:u w:val="single"/>
          <w:lang w:eastAsia="en-AU"/>
        </w:rPr>
        <w:t>Leasing arrangements</w:t>
      </w:r>
      <w:r>
        <w:rPr>
          <w:rFonts w:cs="Arial"/>
          <w:color w:val="000000"/>
          <w:sz w:val="22"/>
          <w:szCs w:val="22"/>
          <w:u w:val="single"/>
          <w:lang w:eastAsia="en-AU"/>
        </w:rPr>
        <w:t>:</w:t>
      </w:r>
      <w:r w:rsidRPr="00083D2F">
        <w:rPr>
          <w:rFonts w:cs="Arial"/>
          <w:color w:val="000000"/>
          <w:sz w:val="22"/>
          <w:szCs w:val="22"/>
          <w:lang w:eastAsia="en-AU"/>
        </w:rPr>
        <w:t xml:space="preserve">  </w:t>
      </w:r>
      <w:r w:rsidRPr="00520AE3">
        <w:rPr>
          <w:rFonts w:cs="Arial"/>
          <w:color w:val="000000"/>
          <w:sz w:val="22"/>
          <w:szCs w:val="22"/>
          <w:lang w:eastAsia="en-AU"/>
        </w:rPr>
        <w:t>Operating leases relate to rental property and office equipment leases.  Rental property lease contract</w:t>
      </w:r>
      <w:r>
        <w:rPr>
          <w:rFonts w:cs="Arial"/>
          <w:color w:val="000000"/>
          <w:sz w:val="22"/>
          <w:szCs w:val="22"/>
          <w:lang w:eastAsia="en-AU"/>
        </w:rPr>
        <w:t>s</w:t>
      </w:r>
      <w:r w:rsidRPr="00520AE3">
        <w:rPr>
          <w:rFonts w:cs="Arial"/>
          <w:color w:val="000000"/>
          <w:sz w:val="22"/>
          <w:szCs w:val="22"/>
          <w:lang w:eastAsia="en-AU"/>
        </w:rPr>
        <w:t xml:space="preserve"> are typically 5 years and contain provisions for extending the lease on the same terms and conditions of the original lease.  Leases for office equipment are for 5 years with a defined end date at which time the equipment is returned.  The Group does not have an option to purchase the leased property or equipment at the expiry of the lease periods. </w:t>
      </w:r>
    </w:p>
    <w:p w14:paraId="0D8B065C" w14:textId="6F2E64D3" w:rsidR="00083D2F" w:rsidRPr="00045F1D" w:rsidRDefault="00083D2F" w:rsidP="00045F1D"/>
    <w:tbl>
      <w:tblPr>
        <w:tblW w:w="8780" w:type="dxa"/>
        <w:tblInd w:w="108" w:type="dxa"/>
        <w:tblLook w:val="04A0" w:firstRow="1" w:lastRow="0" w:firstColumn="1" w:lastColumn="0" w:noHBand="0" w:noVBand="1"/>
      </w:tblPr>
      <w:tblGrid>
        <w:gridCol w:w="6026"/>
        <w:gridCol w:w="1376"/>
        <w:gridCol w:w="1378"/>
      </w:tblGrid>
      <w:tr w:rsidR="00083D2F" w:rsidRPr="00520AE3" w14:paraId="5EA74017" w14:textId="77777777" w:rsidTr="00083D2F">
        <w:trPr>
          <w:trHeight w:val="581"/>
          <w:tblHeader/>
        </w:trPr>
        <w:tc>
          <w:tcPr>
            <w:tcW w:w="6026" w:type="dxa"/>
            <w:tcBorders>
              <w:top w:val="nil"/>
              <w:left w:val="nil"/>
              <w:bottom w:val="nil"/>
              <w:right w:val="nil"/>
            </w:tcBorders>
            <w:shd w:val="clear" w:color="auto" w:fill="auto"/>
            <w:vAlign w:val="center"/>
            <w:hideMark/>
          </w:tcPr>
          <w:p w14:paraId="5EA74013" w14:textId="77777777" w:rsidR="00083D2F" w:rsidRPr="00520AE3" w:rsidRDefault="00083D2F" w:rsidP="00520AE3">
            <w:pPr>
              <w:rPr>
                <w:rFonts w:cs="Arial"/>
                <w:color w:val="000000"/>
                <w:sz w:val="22"/>
                <w:szCs w:val="22"/>
                <w:lang w:eastAsia="en-AU"/>
              </w:rPr>
            </w:pPr>
            <w:bookmarkStart w:id="336" w:name="Table_55"/>
            <w:bookmarkEnd w:id="336"/>
            <w:r w:rsidRPr="00520AE3">
              <w:rPr>
                <w:rFonts w:cs="Arial"/>
                <w:color w:val="000000"/>
                <w:sz w:val="22"/>
                <w:szCs w:val="22"/>
                <w:lang w:eastAsia="en-AU"/>
              </w:rPr>
              <w:t>Non-cancellable operating lease commitments:</w:t>
            </w:r>
          </w:p>
        </w:tc>
        <w:tc>
          <w:tcPr>
            <w:tcW w:w="1376" w:type="dxa"/>
            <w:tcBorders>
              <w:top w:val="nil"/>
              <w:left w:val="nil"/>
              <w:bottom w:val="nil"/>
              <w:right w:val="nil"/>
            </w:tcBorders>
            <w:shd w:val="clear" w:color="000000" w:fill="BFBFBF" w:themeFill="background1" w:themeFillShade="BF"/>
            <w:vAlign w:val="center"/>
            <w:hideMark/>
          </w:tcPr>
          <w:p w14:paraId="5EA74015" w14:textId="0D1E77F3" w:rsidR="00083D2F" w:rsidRPr="00083D2F" w:rsidRDefault="00083D2F" w:rsidP="00520AE3">
            <w:pPr>
              <w:jc w:val="right"/>
              <w:rPr>
                <w:rFonts w:cs="Arial"/>
                <w:b/>
                <w:color w:val="000000"/>
                <w:sz w:val="22"/>
                <w:szCs w:val="22"/>
                <w:lang w:eastAsia="en-AU"/>
              </w:rPr>
            </w:pPr>
            <w:r w:rsidRPr="00083D2F">
              <w:rPr>
                <w:rFonts w:cs="Arial"/>
                <w:b/>
                <w:color w:val="000000"/>
                <w:sz w:val="22"/>
                <w:szCs w:val="22"/>
                <w:lang w:eastAsia="en-AU"/>
              </w:rPr>
              <w:t>2015</w:t>
            </w:r>
          </w:p>
        </w:tc>
        <w:tc>
          <w:tcPr>
            <w:tcW w:w="1378" w:type="dxa"/>
            <w:tcBorders>
              <w:top w:val="nil"/>
              <w:left w:val="nil"/>
              <w:bottom w:val="nil"/>
              <w:right w:val="nil"/>
            </w:tcBorders>
            <w:shd w:val="clear" w:color="auto" w:fill="auto"/>
            <w:vAlign w:val="center"/>
            <w:hideMark/>
          </w:tcPr>
          <w:p w14:paraId="5EA74016" w14:textId="64EC5F0C" w:rsidR="00083D2F" w:rsidRPr="00520AE3" w:rsidRDefault="00083D2F" w:rsidP="00520AE3">
            <w:pPr>
              <w:jc w:val="right"/>
              <w:rPr>
                <w:rFonts w:cs="Arial"/>
                <w:color w:val="000000"/>
                <w:sz w:val="22"/>
                <w:szCs w:val="22"/>
                <w:lang w:eastAsia="en-AU"/>
              </w:rPr>
            </w:pPr>
            <w:r>
              <w:rPr>
                <w:rFonts w:cs="Arial"/>
                <w:color w:val="000000"/>
                <w:sz w:val="22"/>
                <w:szCs w:val="22"/>
                <w:lang w:eastAsia="en-AU"/>
              </w:rPr>
              <w:t>2014</w:t>
            </w:r>
          </w:p>
        </w:tc>
      </w:tr>
      <w:tr w:rsidR="00083D2F" w:rsidRPr="00520AE3" w14:paraId="5EA7401C" w14:textId="77777777" w:rsidTr="00083D2F">
        <w:trPr>
          <w:trHeight w:val="263"/>
        </w:trPr>
        <w:tc>
          <w:tcPr>
            <w:tcW w:w="6026" w:type="dxa"/>
            <w:tcBorders>
              <w:top w:val="nil"/>
              <w:left w:val="nil"/>
              <w:bottom w:val="nil"/>
              <w:right w:val="nil"/>
            </w:tcBorders>
            <w:shd w:val="clear" w:color="auto" w:fill="auto"/>
            <w:vAlign w:val="center"/>
            <w:hideMark/>
          </w:tcPr>
          <w:p w14:paraId="5EA74018" w14:textId="77777777" w:rsidR="00083D2F" w:rsidRPr="00520AE3" w:rsidRDefault="00083D2F" w:rsidP="00520AE3">
            <w:pPr>
              <w:rPr>
                <w:rFonts w:cs="Arial"/>
                <w:color w:val="000000"/>
                <w:sz w:val="22"/>
                <w:szCs w:val="22"/>
                <w:lang w:eastAsia="en-AU"/>
              </w:rPr>
            </w:pPr>
            <w:proofErr w:type="spellStart"/>
            <w:r w:rsidRPr="00520AE3">
              <w:rPr>
                <w:rFonts w:cs="Arial"/>
                <w:color w:val="000000"/>
                <w:sz w:val="22"/>
                <w:szCs w:val="22"/>
                <w:lang w:eastAsia="en-AU"/>
              </w:rPr>
              <w:t>Not longer</w:t>
            </w:r>
            <w:proofErr w:type="spellEnd"/>
            <w:r w:rsidRPr="00520AE3">
              <w:rPr>
                <w:rFonts w:cs="Arial"/>
                <w:color w:val="000000"/>
                <w:sz w:val="22"/>
                <w:szCs w:val="22"/>
                <w:lang w:eastAsia="en-AU"/>
              </w:rPr>
              <w:t xml:space="preserve"> than 1 year</w:t>
            </w:r>
          </w:p>
        </w:tc>
        <w:tc>
          <w:tcPr>
            <w:tcW w:w="1376" w:type="dxa"/>
            <w:tcBorders>
              <w:top w:val="nil"/>
              <w:left w:val="nil"/>
              <w:bottom w:val="nil"/>
              <w:right w:val="nil"/>
            </w:tcBorders>
            <w:shd w:val="clear" w:color="000000" w:fill="BFBFBF" w:themeFill="background1" w:themeFillShade="BF"/>
            <w:vAlign w:val="center"/>
          </w:tcPr>
          <w:p w14:paraId="5EA7401A" w14:textId="77777777" w:rsidR="00083D2F" w:rsidRPr="00520AE3" w:rsidRDefault="00083D2F" w:rsidP="00520AE3">
            <w:pPr>
              <w:jc w:val="right"/>
              <w:rPr>
                <w:rFonts w:cs="Arial"/>
                <w:color w:val="000000"/>
                <w:sz w:val="22"/>
                <w:szCs w:val="22"/>
                <w:lang w:eastAsia="en-AU"/>
              </w:rPr>
            </w:pPr>
            <w:r>
              <w:rPr>
                <w:rFonts w:cs="Arial"/>
                <w:color w:val="000000"/>
                <w:sz w:val="22"/>
                <w:szCs w:val="22"/>
                <w:lang w:eastAsia="en-AU"/>
              </w:rPr>
              <w:t>1,412</w:t>
            </w:r>
          </w:p>
        </w:tc>
        <w:tc>
          <w:tcPr>
            <w:tcW w:w="1378" w:type="dxa"/>
            <w:tcBorders>
              <w:top w:val="nil"/>
              <w:left w:val="nil"/>
              <w:bottom w:val="nil"/>
              <w:right w:val="nil"/>
            </w:tcBorders>
            <w:shd w:val="clear" w:color="auto" w:fill="auto"/>
            <w:vAlign w:val="center"/>
            <w:hideMark/>
          </w:tcPr>
          <w:p w14:paraId="5EA7401B" w14:textId="77777777" w:rsidR="00083D2F" w:rsidRPr="00520AE3" w:rsidRDefault="00083D2F" w:rsidP="00520AE3">
            <w:pPr>
              <w:jc w:val="right"/>
              <w:rPr>
                <w:rFonts w:cs="Arial"/>
                <w:color w:val="000000"/>
                <w:sz w:val="22"/>
                <w:szCs w:val="22"/>
                <w:lang w:eastAsia="en-AU"/>
              </w:rPr>
            </w:pPr>
            <w:r w:rsidRPr="00520AE3">
              <w:rPr>
                <w:rFonts w:cs="Arial"/>
                <w:color w:val="000000"/>
                <w:sz w:val="22"/>
                <w:szCs w:val="22"/>
                <w:lang w:eastAsia="en-AU"/>
              </w:rPr>
              <w:t>1,591</w:t>
            </w:r>
          </w:p>
        </w:tc>
      </w:tr>
      <w:tr w:rsidR="00083D2F" w:rsidRPr="00520AE3" w14:paraId="5EA74021" w14:textId="77777777" w:rsidTr="00083D2F">
        <w:trPr>
          <w:trHeight w:val="511"/>
        </w:trPr>
        <w:tc>
          <w:tcPr>
            <w:tcW w:w="6026" w:type="dxa"/>
            <w:tcBorders>
              <w:top w:val="nil"/>
              <w:left w:val="nil"/>
              <w:bottom w:val="nil"/>
              <w:right w:val="nil"/>
            </w:tcBorders>
            <w:shd w:val="clear" w:color="auto" w:fill="auto"/>
            <w:vAlign w:val="center"/>
            <w:hideMark/>
          </w:tcPr>
          <w:p w14:paraId="5EA7401D" w14:textId="77777777" w:rsidR="00083D2F" w:rsidRPr="00520AE3" w:rsidRDefault="00083D2F" w:rsidP="00520AE3">
            <w:pPr>
              <w:rPr>
                <w:rFonts w:cs="Arial"/>
                <w:color w:val="000000"/>
                <w:sz w:val="22"/>
                <w:szCs w:val="22"/>
                <w:lang w:eastAsia="en-AU"/>
              </w:rPr>
            </w:pPr>
            <w:r w:rsidRPr="00520AE3">
              <w:rPr>
                <w:rFonts w:cs="Arial"/>
                <w:color w:val="000000"/>
                <w:sz w:val="22"/>
                <w:szCs w:val="22"/>
                <w:lang w:eastAsia="en-AU"/>
              </w:rPr>
              <w:t>Longer than 1 year and not longer than 5 years</w:t>
            </w:r>
          </w:p>
        </w:tc>
        <w:tc>
          <w:tcPr>
            <w:tcW w:w="1376" w:type="dxa"/>
            <w:tcBorders>
              <w:top w:val="nil"/>
              <w:left w:val="nil"/>
              <w:bottom w:val="nil"/>
              <w:right w:val="nil"/>
            </w:tcBorders>
            <w:shd w:val="clear" w:color="000000" w:fill="BFBFBF" w:themeFill="background1" w:themeFillShade="BF"/>
            <w:vAlign w:val="center"/>
          </w:tcPr>
          <w:p w14:paraId="5EA7401F" w14:textId="77777777" w:rsidR="00083D2F" w:rsidRPr="00520AE3" w:rsidRDefault="00083D2F" w:rsidP="00520AE3">
            <w:pPr>
              <w:jc w:val="right"/>
              <w:rPr>
                <w:rFonts w:cs="Arial"/>
                <w:color w:val="000000"/>
                <w:sz w:val="22"/>
                <w:szCs w:val="22"/>
                <w:lang w:eastAsia="en-AU"/>
              </w:rPr>
            </w:pPr>
            <w:r>
              <w:rPr>
                <w:rFonts w:cs="Arial"/>
                <w:color w:val="000000"/>
                <w:sz w:val="22"/>
                <w:szCs w:val="22"/>
                <w:lang w:eastAsia="en-AU"/>
              </w:rPr>
              <w:t>774</w:t>
            </w:r>
          </w:p>
        </w:tc>
        <w:tc>
          <w:tcPr>
            <w:tcW w:w="1378" w:type="dxa"/>
            <w:tcBorders>
              <w:top w:val="nil"/>
              <w:left w:val="nil"/>
              <w:bottom w:val="nil"/>
              <w:right w:val="nil"/>
            </w:tcBorders>
            <w:shd w:val="clear" w:color="auto" w:fill="auto"/>
            <w:vAlign w:val="center"/>
            <w:hideMark/>
          </w:tcPr>
          <w:p w14:paraId="5EA74020" w14:textId="77777777" w:rsidR="00083D2F" w:rsidRPr="00520AE3" w:rsidRDefault="00083D2F" w:rsidP="00520AE3">
            <w:pPr>
              <w:jc w:val="right"/>
              <w:rPr>
                <w:rFonts w:cs="Arial"/>
                <w:color w:val="000000"/>
                <w:sz w:val="22"/>
                <w:szCs w:val="22"/>
                <w:lang w:eastAsia="en-AU"/>
              </w:rPr>
            </w:pPr>
            <w:r w:rsidRPr="00520AE3">
              <w:rPr>
                <w:rFonts w:cs="Arial"/>
                <w:color w:val="000000"/>
                <w:sz w:val="22"/>
                <w:szCs w:val="22"/>
                <w:lang w:eastAsia="en-AU"/>
              </w:rPr>
              <w:t>1,422</w:t>
            </w:r>
          </w:p>
        </w:tc>
      </w:tr>
      <w:tr w:rsidR="00083D2F" w:rsidRPr="00520AE3" w14:paraId="5EA74026" w14:textId="77777777" w:rsidTr="00083D2F">
        <w:trPr>
          <w:trHeight w:val="263"/>
        </w:trPr>
        <w:tc>
          <w:tcPr>
            <w:tcW w:w="6026" w:type="dxa"/>
            <w:tcBorders>
              <w:top w:val="nil"/>
              <w:left w:val="nil"/>
              <w:bottom w:val="nil"/>
              <w:right w:val="nil"/>
            </w:tcBorders>
            <w:shd w:val="clear" w:color="auto" w:fill="auto"/>
            <w:vAlign w:val="center"/>
            <w:hideMark/>
          </w:tcPr>
          <w:p w14:paraId="5EA74022" w14:textId="77777777" w:rsidR="00083D2F" w:rsidRPr="00520AE3" w:rsidRDefault="00083D2F" w:rsidP="00520AE3">
            <w:pPr>
              <w:rPr>
                <w:rFonts w:cs="Arial"/>
                <w:color w:val="000000"/>
                <w:sz w:val="22"/>
                <w:szCs w:val="22"/>
                <w:lang w:eastAsia="en-AU"/>
              </w:rPr>
            </w:pPr>
            <w:r w:rsidRPr="00520AE3">
              <w:rPr>
                <w:rFonts w:cs="Arial"/>
                <w:color w:val="000000"/>
                <w:sz w:val="22"/>
                <w:szCs w:val="22"/>
                <w:lang w:eastAsia="en-AU"/>
              </w:rPr>
              <w:t xml:space="preserve">Longer than 5 years  </w:t>
            </w:r>
          </w:p>
        </w:tc>
        <w:tc>
          <w:tcPr>
            <w:tcW w:w="1376" w:type="dxa"/>
            <w:tcBorders>
              <w:top w:val="nil"/>
              <w:left w:val="nil"/>
              <w:bottom w:val="nil"/>
              <w:right w:val="nil"/>
            </w:tcBorders>
            <w:shd w:val="clear" w:color="000000" w:fill="BFBFBF" w:themeFill="background1" w:themeFillShade="BF"/>
            <w:vAlign w:val="center"/>
          </w:tcPr>
          <w:p w14:paraId="5EA74024" w14:textId="5E65DE0E" w:rsidR="00083D2F" w:rsidRPr="00520AE3" w:rsidRDefault="00083D2F" w:rsidP="00520AE3">
            <w:pPr>
              <w:jc w:val="right"/>
              <w:rPr>
                <w:rFonts w:cs="Arial"/>
                <w:color w:val="000000"/>
                <w:sz w:val="22"/>
                <w:szCs w:val="22"/>
                <w:lang w:eastAsia="en-AU"/>
              </w:rPr>
            </w:pPr>
            <w:r>
              <w:rPr>
                <w:rFonts w:cs="Arial"/>
                <w:color w:val="000000"/>
                <w:sz w:val="22"/>
                <w:szCs w:val="22"/>
                <w:lang w:eastAsia="en-AU"/>
              </w:rPr>
              <w:t>0</w:t>
            </w:r>
          </w:p>
        </w:tc>
        <w:tc>
          <w:tcPr>
            <w:tcW w:w="1378" w:type="dxa"/>
            <w:tcBorders>
              <w:top w:val="nil"/>
              <w:left w:val="nil"/>
              <w:bottom w:val="nil"/>
              <w:right w:val="nil"/>
            </w:tcBorders>
            <w:shd w:val="clear" w:color="auto" w:fill="auto"/>
            <w:vAlign w:val="center"/>
          </w:tcPr>
          <w:p w14:paraId="5EA74025" w14:textId="0504B1A8" w:rsidR="00083D2F" w:rsidRPr="00520AE3" w:rsidRDefault="00083D2F" w:rsidP="00520AE3">
            <w:pPr>
              <w:jc w:val="right"/>
              <w:rPr>
                <w:rFonts w:cs="Arial"/>
                <w:color w:val="000000"/>
                <w:sz w:val="22"/>
                <w:szCs w:val="22"/>
                <w:lang w:eastAsia="en-AU"/>
              </w:rPr>
            </w:pPr>
            <w:r>
              <w:rPr>
                <w:rFonts w:cs="Arial"/>
                <w:color w:val="000000"/>
                <w:sz w:val="22"/>
                <w:szCs w:val="22"/>
                <w:lang w:eastAsia="en-AU"/>
              </w:rPr>
              <w:t>0</w:t>
            </w:r>
          </w:p>
        </w:tc>
      </w:tr>
      <w:tr w:rsidR="00083D2F" w:rsidRPr="00520AE3" w14:paraId="5EA7402B" w14:textId="77777777" w:rsidTr="00083D2F">
        <w:trPr>
          <w:trHeight w:val="263"/>
        </w:trPr>
        <w:tc>
          <w:tcPr>
            <w:tcW w:w="6026" w:type="dxa"/>
            <w:tcBorders>
              <w:top w:val="nil"/>
              <w:left w:val="nil"/>
              <w:bottom w:val="nil"/>
              <w:right w:val="nil"/>
            </w:tcBorders>
            <w:shd w:val="clear" w:color="auto" w:fill="auto"/>
            <w:vAlign w:val="center"/>
            <w:hideMark/>
          </w:tcPr>
          <w:p w14:paraId="5EA74027" w14:textId="57263C79" w:rsidR="00083D2F" w:rsidRPr="00520AE3" w:rsidRDefault="00083D2F" w:rsidP="00520AE3">
            <w:pPr>
              <w:rPr>
                <w:rFonts w:cs="Arial"/>
                <w:color w:val="000000"/>
                <w:sz w:val="22"/>
                <w:szCs w:val="22"/>
                <w:lang w:eastAsia="en-AU"/>
              </w:rPr>
            </w:pPr>
            <w:r>
              <w:rPr>
                <w:rFonts w:cs="Arial"/>
                <w:color w:val="000000"/>
                <w:sz w:val="22"/>
                <w:szCs w:val="22"/>
                <w:lang w:eastAsia="en-AU"/>
              </w:rPr>
              <w:t>Total</w:t>
            </w:r>
          </w:p>
        </w:tc>
        <w:tc>
          <w:tcPr>
            <w:tcW w:w="1376" w:type="dxa"/>
            <w:tcBorders>
              <w:top w:val="single" w:sz="12" w:space="0" w:color="auto"/>
              <w:left w:val="nil"/>
              <w:bottom w:val="single" w:sz="12" w:space="0" w:color="auto"/>
              <w:right w:val="nil"/>
            </w:tcBorders>
            <w:shd w:val="clear" w:color="000000" w:fill="BFBFBF" w:themeFill="background1" w:themeFillShade="BF"/>
            <w:vAlign w:val="center"/>
          </w:tcPr>
          <w:p w14:paraId="5EA74029" w14:textId="77777777" w:rsidR="00083D2F" w:rsidRPr="00520AE3" w:rsidRDefault="00083D2F" w:rsidP="00520AE3">
            <w:pPr>
              <w:jc w:val="right"/>
              <w:rPr>
                <w:rFonts w:cs="Arial"/>
                <w:color w:val="000000"/>
                <w:sz w:val="22"/>
                <w:szCs w:val="22"/>
                <w:lang w:eastAsia="en-AU"/>
              </w:rPr>
            </w:pPr>
            <w:r>
              <w:rPr>
                <w:rFonts w:cs="Arial"/>
                <w:color w:val="000000"/>
                <w:sz w:val="22"/>
                <w:szCs w:val="22"/>
                <w:lang w:eastAsia="en-AU"/>
              </w:rPr>
              <w:t>2,186</w:t>
            </w:r>
          </w:p>
        </w:tc>
        <w:tc>
          <w:tcPr>
            <w:tcW w:w="1378" w:type="dxa"/>
            <w:tcBorders>
              <w:top w:val="single" w:sz="12" w:space="0" w:color="auto"/>
              <w:left w:val="nil"/>
              <w:bottom w:val="single" w:sz="12" w:space="0" w:color="auto"/>
              <w:right w:val="nil"/>
            </w:tcBorders>
            <w:shd w:val="clear" w:color="auto" w:fill="auto"/>
            <w:vAlign w:val="center"/>
            <w:hideMark/>
          </w:tcPr>
          <w:p w14:paraId="5EA7402A" w14:textId="77777777" w:rsidR="00083D2F" w:rsidRPr="00520AE3" w:rsidRDefault="00083D2F" w:rsidP="00520AE3">
            <w:pPr>
              <w:jc w:val="right"/>
              <w:rPr>
                <w:rFonts w:cs="Arial"/>
                <w:color w:val="000000"/>
                <w:sz w:val="22"/>
                <w:szCs w:val="22"/>
                <w:lang w:eastAsia="en-AU"/>
              </w:rPr>
            </w:pPr>
            <w:r w:rsidRPr="00520AE3">
              <w:rPr>
                <w:rFonts w:cs="Arial"/>
                <w:color w:val="000000"/>
                <w:sz w:val="22"/>
                <w:szCs w:val="22"/>
                <w:lang w:eastAsia="en-AU"/>
              </w:rPr>
              <w:t>3,013</w:t>
            </w:r>
          </w:p>
        </w:tc>
      </w:tr>
    </w:tbl>
    <w:p w14:paraId="5B072AEC" w14:textId="77777777" w:rsidR="00083D2F" w:rsidRDefault="00083D2F"/>
    <w:p w14:paraId="3F4E1196" w14:textId="31057100" w:rsidR="00083D2F" w:rsidRDefault="00083D2F">
      <w:r w:rsidRPr="00520AE3">
        <w:rPr>
          <w:rFonts w:cs="Arial"/>
          <w:color w:val="000000"/>
          <w:sz w:val="22"/>
          <w:szCs w:val="22"/>
          <w:lang w:eastAsia="en-AU"/>
        </w:rPr>
        <w:t>In respect of non-cancellable operating leases no liabilities have been recognised on the balance sheet.</w:t>
      </w:r>
    </w:p>
    <w:p w14:paraId="50FDF9FA" w14:textId="77777777" w:rsidR="00083D2F" w:rsidRDefault="00083D2F"/>
    <w:p w14:paraId="621170F0" w14:textId="0DFE2182" w:rsidR="00083D2F" w:rsidRDefault="00083D2F">
      <w:r w:rsidRPr="00520AE3">
        <w:rPr>
          <w:rFonts w:cs="Arial"/>
          <w:b/>
          <w:bCs/>
          <w:color w:val="000000"/>
          <w:sz w:val="22"/>
          <w:szCs w:val="22"/>
          <w:lang w:eastAsia="en-AU"/>
        </w:rPr>
        <w:t>Disclosures for lessors</w:t>
      </w:r>
    </w:p>
    <w:p w14:paraId="3B9CEB5D" w14:textId="77777777" w:rsidR="00083D2F" w:rsidRDefault="00083D2F"/>
    <w:p w14:paraId="73AAEB8F" w14:textId="2EEF5624" w:rsidR="00083D2F" w:rsidRPr="00520AE3" w:rsidRDefault="00083D2F" w:rsidP="00083D2F">
      <w:pPr>
        <w:rPr>
          <w:rFonts w:cs="Arial"/>
          <w:color w:val="000000"/>
          <w:sz w:val="22"/>
          <w:szCs w:val="22"/>
          <w:lang w:eastAsia="en-AU"/>
        </w:rPr>
      </w:pPr>
      <w:r w:rsidRPr="00520AE3">
        <w:rPr>
          <w:rFonts w:cs="Arial"/>
          <w:color w:val="000000"/>
          <w:sz w:val="22"/>
          <w:szCs w:val="22"/>
          <w:lang w:eastAsia="en-AU"/>
        </w:rPr>
        <w:t>Operating leases</w:t>
      </w:r>
      <w:r>
        <w:rPr>
          <w:rFonts w:cs="Arial"/>
          <w:color w:val="000000"/>
          <w:sz w:val="22"/>
          <w:szCs w:val="22"/>
          <w:lang w:eastAsia="en-AU"/>
        </w:rPr>
        <w:t xml:space="preserve">: </w:t>
      </w:r>
      <w:r w:rsidRPr="00520AE3">
        <w:rPr>
          <w:rFonts w:cs="Arial"/>
          <w:color w:val="000000"/>
          <w:sz w:val="22"/>
          <w:szCs w:val="22"/>
          <w:u w:val="single"/>
          <w:lang w:eastAsia="en-AU"/>
        </w:rPr>
        <w:t>Leasing arrangements</w:t>
      </w:r>
    </w:p>
    <w:p w14:paraId="42AD63EA" w14:textId="2C5BFAD5" w:rsidR="00083D2F" w:rsidRPr="00083D2F" w:rsidRDefault="00083D2F">
      <w:pPr>
        <w:rPr>
          <w:b/>
        </w:rPr>
      </w:pPr>
      <w:r w:rsidRPr="00520AE3">
        <w:rPr>
          <w:rFonts w:cs="Arial"/>
          <w:color w:val="000000"/>
          <w:sz w:val="22"/>
          <w:szCs w:val="22"/>
          <w:lang w:eastAsia="en-AU"/>
        </w:rPr>
        <w:t>Operating leases relate to subleases on rental properties and lease for telecommunications towers located on Vision Australia Limited land.  Subleases are provided on the same terms and conditions as the head lease.</w:t>
      </w:r>
    </w:p>
    <w:p w14:paraId="10DECFF1" w14:textId="77777777" w:rsidR="00083D2F" w:rsidRDefault="00083D2F"/>
    <w:tbl>
      <w:tblPr>
        <w:tblW w:w="9057" w:type="dxa"/>
        <w:tblInd w:w="108" w:type="dxa"/>
        <w:tblLook w:val="04A0" w:firstRow="1" w:lastRow="0" w:firstColumn="1" w:lastColumn="0" w:noHBand="0" w:noVBand="1"/>
      </w:tblPr>
      <w:tblGrid>
        <w:gridCol w:w="5839"/>
        <w:gridCol w:w="1674"/>
        <w:gridCol w:w="1544"/>
      </w:tblGrid>
      <w:tr w:rsidR="00083D2F" w:rsidRPr="00520AE3" w14:paraId="5EA74066" w14:textId="77777777" w:rsidTr="00083D2F">
        <w:trPr>
          <w:trHeight w:val="657"/>
        </w:trPr>
        <w:tc>
          <w:tcPr>
            <w:tcW w:w="5839" w:type="dxa"/>
            <w:tcBorders>
              <w:top w:val="nil"/>
              <w:left w:val="nil"/>
              <w:bottom w:val="nil"/>
              <w:right w:val="nil"/>
            </w:tcBorders>
            <w:shd w:val="clear" w:color="auto" w:fill="auto"/>
            <w:vAlign w:val="center"/>
            <w:hideMark/>
          </w:tcPr>
          <w:p w14:paraId="5EA74062" w14:textId="77777777" w:rsidR="00083D2F" w:rsidRPr="00520AE3" w:rsidRDefault="00083D2F" w:rsidP="00520AE3">
            <w:pPr>
              <w:rPr>
                <w:rFonts w:cs="Arial"/>
                <w:color w:val="000000"/>
                <w:sz w:val="22"/>
                <w:szCs w:val="22"/>
                <w:lang w:eastAsia="en-AU"/>
              </w:rPr>
            </w:pPr>
            <w:r w:rsidRPr="00520AE3">
              <w:rPr>
                <w:rFonts w:cs="Arial"/>
                <w:color w:val="000000"/>
                <w:sz w:val="22"/>
                <w:szCs w:val="22"/>
                <w:lang w:eastAsia="en-AU"/>
              </w:rPr>
              <w:t>Non-cancellable operating lease receivables:</w:t>
            </w:r>
          </w:p>
        </w:tc>
        <w:tc>
          <w:tcPr>
            <w:tcW w:w="1674" w:type="dxa"/>
            <w:tcBorders>
              <w:top w:val="nil"/>
              <w:left w:val="nil"/>
              <w:bottom w:val="nil"/>
              <w:right w:val="nil"/>
            </w:tcBorders>
            <w:shd w:val="clear" w:color="000000" w:fill="BFBFBF" w:themeFill="background1" w:themeFillShade="BF"/>
            <w:vAlign w:val="center"/>
            <w:hideMark/>
          </w:tcPr>
          <w:p w14:paraId="5EA74064" w14:textId="73308086" w:rsidR="00083D2F" w:rsidRPr="00083D2F" w:rsidRDefault="00083D2F" w:rsidP="00520AE3">
            <w:pPr>
              <w:jc w:val="right"/>
              <w:rPr>
                <w:rFonts w:cs="Arial"/>
                <w:b/>
                <w:color w:val="000000"/>
                <w:sz w:val="22"/>
                <w:szCs w:val="22"/>
                <w:lang w:eastAsia="en-AU"/>
              </w:rPr>
            </w:pPr>
            <w:r w:rsidRPr="00083D2F">
              <w:rPr>
                <w:rFonts w:cs="Arial"/>
                <w:b/>
                <w:color w:val="000000"/>
                <w:sz w:val="22"/>
                <w:szCs w:val="22"/>
                <w:lang w:eastAsia="en-AU"/>
              </w:rPr>
              <w:t>2015</w:t>
            </w:r>
          </w:p>
        </w:tc>
        <w:tc>
          <w:tcPr>
            <w:tcW w:w="1544" w:type="dxa"/>
            <w:tcBorders>
              <w:top w:val="nil"/>
              <w:left w:val="nil"/>
              <w:bottom w:val="nil"/>
              <w:right w:val="nil"/>
            </w:tcBorders>
            <w:shd w:val="clear" w:color="auto" w:fill="auto"/>
            <w:vAlign w:val="center"/>
            <w:hideMark/>
          </w:tcPr>
          <w:p w14:paraId="5EA74065" w14:textId="26BF976E" w:rsidR="00083D2F" w:rsidRPr="00520AE3" w:rsidRDefault="00083D2F" w:rsidP="00520AE3">
            <w:pPr>
              <w:jc w:val="right"/>
              <w:rPr>
                <w:rFonts w:cs="Arial"/>
                <w:color w:val="000000"/>
                <w:sz w:val="22"/>
                <w:szCs w:val="22"/>
                <w:lang w:eastAsia="en-AU"/>
              </w:rPr>
            </w:pPr>
            <w:r>
              <w:rPr>
                <w:rFonts w:cs="Arial"/>
                <w:color w:val="000000"/>
                <w:sz w:val="22"/>
                <w:szCs w:val="22"/>
                <w:lang w:eastAsia="en-AU"/>
              </w:rPr>
              <w:t>2014</w:t>
            </w:r>
          </w:p>
        </w:tc>
      </w:tr>
      <w:tr w:rsidR="00083D2F" w:rsidRPr="00520AE3" w14:paraId="5EA7406B" w14:textId="77777777" w:rsidTr="00083D2F">
        <w:trPr>
          <w:trHeight w:val="329"/>
        </w:trPr>
        <w:tc>
          <w:tcPr>
            <w:tcW w:w="5839" w:type="dxa"/>
            <w:tcBorders>
              <w:top w:val="nil"/>
              <w:left w:val="nil"/>
              <w:bottom w:val="nil"/>
              <w:right w:val="nil"/>
            </w:tcBorders>
            <w:shd w:val="clear" w:color="auto" w:fill="auto"/>
            <w:vAlign w:val="center"/>
            <w:hideMark/>
          </w:tcPr>
          <w:p w14:paraId="5EA74067" w14:textId="77777777" w:rsidR="00083D2F" w:rsidRPr="00520AE3" w:rsidRDefault="00083D2F" w:rsidP="00520AE3">
            <w:pPr>
              <w:rPr>
                <w:rFonts w:cs="Arial"/>
                <w:color w:val="000000"/>
                <w:sz w:val="22"/>
                <w:szCs w:val="22"/>
                <w:lang w:eastAsia="en-AU"/>
              </w:rPr>
            </w:pPr>
            <w:proofErr w:type="spellStart"/>
            <w:r w:rsidRPr="00520AE3">
              <w:rPr>
                <w:rFonts w:cs="Arial"/>
                <w:color w:val="000000"/>
                <w:sz w:val="22"/>
                <w:szCs w:val="22"/>
                <w:lang w:eastAsia="en-AU"/>
              </w:rPr>
              <w:t>Not longer</w:t>
            </w:r>
            <w:proofErr w:type="spellEnd"/>
            <w:r w:rsidRPr="00520AE3">
              <w:rPr>
                <w:rFonts w:cs="Arial"/>
                <w:color w:val="000000"/>
                <w:sz w:val="22"/>
                <w:szCs w:val="22"/>
                <w:lang w:eastAsia="en-AU"/>
              </w:rPr>
              <w:t xml:space="preserve"> than 1 year</w:t>
            </w:r>
          </w:p>
        </w:tc>
        <w:tc>
          <w:tcPr>
            <w:tcW w:w="1674" w:type="dxa"/>
            <w:tcBorders>
              <w:top w:val="nil"/>
              <w:left w:val="nil"/>
              <w:bottom w:val="nil"/>
              <w:right w:val="nil"/>
            </w:tcBorders>
            <w:shd w:val="clear" w:color="000000" w:fill="BFBFBF" w:themeFill="background1" w:themeFillShade="BF"/>
          </w:tcPr>
          <w:p w14:paraId="5EA74069" w14:textId="77777777" w:rsidR="00083D2F" w:rsidRPr="00520AE3" w:rsidRDefault="00083D2F" w:rsidP="004755CE">
            <w:pPr>
              <w:jc w:val="right"/>
              <w:rPr>
                <w:rFonts w:cs="Arial"/>
                <w:color w:val="000000"/>
                <w:sz w:val="22"/>
                <w:szCs w:val="22"/>
                <w:lang w:eastAsia="en-AU"/>
              </w:rPr>
            </w:pPr>
            <w:r>
              <w:rPr>
                <w:rFonts w:cs="Arial"/>
                <w:color w:val="000000"/>
                <w:sz w:val="22"/>
                <w:szCs w:val="22"/>
                <w:lang w:eastAsia="en-AU"/>
              </w:rPr>
              <w:t>227</w:t>
            </w:r>
          </w:p>
        </w:tc>
        <w:tc>
          <w:tcPr>
            <w:tcW w:w="1544" w:type="dxa"/>
            <w:tcBorders>
              <w:top w:val="nil"/>
              <w:left w:val="nil"/>
              <w:bottom w:val="nil"/>
              <w:right w:val="nil"/>
            </w:tcBorders>
            <w:shd w:val="clear" w:color="auto" w:fill="auto"/>
            <w:hideMark/>
          </w:tcPr>
          <w:p w14:paraId="5EA7406A" w14:textId="1D112A1E" w:rsidR="00083D2F" w:rsidRPr="00520AE3" w:rsidRDefault="00083D2F" w:rsidP="004755CE">
            <w:pPr>
              <w:jc w:val="right"/>
              <w:rPr>
                <w:rFonts w:cs="Arial"/>
                <w:color w:val="000000"/>
                <w:sz w:val="22"/>
                <w:szCs w:val="22"/>
                <w:lang w:eastAsia="en-AU"/>
              </w:rPr>
            </w:pPr>
            <w:r w:rsidRPr="00520AE3">
              <w:rPr>
                <w:rFonts w:cs="Arial"/>
                <w:color w:val="000000"/>
                <w:sz w:val="22"/>
                <w:szCs w:val="22"/>
                <w:lang w:eastAsia="en-AU"/>
              </w:rPr>
              <w:t xml:space="preserve">142 </w:t>
            </w:r>
          </w:p>
        </w:tc>
      </w:tr>
      <w:tr w:rsidR="00083D2F" w:rsidRPr="00520AE3" w14:paraId="5EA74070" w14:textId="77777777" w:rsidTr="00083D2F">
        <w:trPr>
          <w:trHeight w:val="622"/>
        </w:trPr>
        <w:tc>
          <w:tcPr>
            <w:tcW w:w="5839" w:type="dxa"/>
            <w:tcBorders>
              <w:top w:val="nil"/>
              <w:left w:val="nil"/>
              <w:bottom w:val="nil"/>
              <w:right w:val="nil"/>
            </w:tcBorders>
            <w:shd w:val="clear" w:color="auto" w:fill="auto"/>
            <w:vAlign w:val="center"/>
            <w:hideMark/>
          </w:tcPr>
          <w:p w14:paraId="5EA7406C" w14:textId="77777777" w:rsidR="00083D2F" w:rsidRPr="00520AE3" w:rsidRDefault="00083D2F" w:rsidP="004755CE">
            <w:pPr>
              <w:rPr>
                <w:rFonts w:cs="Arial"/>
                <w:color w:val="000000"/>
                <w:sz w:val="22"/>
                <w:szCs w:val="22"/>
                <w:lang w:eastAsia="en-AU"/>
              </w:rPr>
            </w:pPr>
            <w:r w:rsidRPr="00520AE3">
              <w:rPr>
                <w:rFonts w:cs="Arial"/>
                <w:color w:val="000000"/>
                <w:sz w:val="22"/>
                <w:szCs w:val="22"/>
                <w:lang w:eastAsia="en-AU"/>
              </w:rPr>
              <w:t>Longer than 1 year and not longer than 5 years</w:t>
            </w:r>
          </w:p>
        </w:tc>
        <w:tc>
          <w:tcPr>
            <w:tcW w:w="1674" w:type="dxa"/>
            <w:tcBorders>
              <w:top w:val="nil"/>
              <w:left w:val="nil"/>
              <w:bottom w:val="nil"/>
              <w:right w:val="nil"/>
            </w:tcBorders>
            <w:shd w:val="clear" w:color="000000" w:fill="BFBFBF" w:themeFill="background1" w:themeFillShade="BF"/>
            <w:vAlign w:val="center"/>
          </w:tcPr>
          <w:p w14:paraId="5EA7406E" w14:textId="77777777" w:rsidR="00083D2F" w:rsidRPr="00520AE3" w:rsidRDefault="00083D2F" w:rsidP="004755CE">
            <w:pPr>
              <w:jc w:val="right"/>
              <w:rPr>
                <w:rFonts w:cs="Arial"/>
                <w:color w:val="000000"/>
                <w:sz w:val="22"/>
                <w:szCs w:val="22"/>
                <w:lang w:eastAsia="en-AU"/>
              </w:rPr>
            </w:pPr>
            <w:r>
              <w:rPr>
                <w:rFonts w:cs="Arial"/>
                <w:color w:val="000000"/>
                <w:sz w:val="22"/>
                <w:szCs w:val="22"/>
                <w:lang w:eastAsia="en-AU"/>
              </w:rPr>
              <w:t>295</w:t>
            </w:r>
          </w:p>
        </w:tc>
        <w:tc>
          <w:tcPr>
            <w:tcW w:w="1544" w:type="dxa"/>
            <w:tcBorders>
              <w:top w:val="nil"/>
              <w:left w:val="nil"/>
              <w:bottom w:val="nil"/>
              <w:right w:val="nil"/>
            </w:tcBorders>
            <w:shd w:val="clear" w:color="auto" w:fill="auto"/>
            <w:vAlign w:val="center"/>
            <w:hideMark/>
          </w:tcPr>
          <w:p w14:paraId="5EA7406F" w14:textId="36898E3A" w:rsidR="00083D2F" w:rsidRPr="00520AE3" w:rsidRDefault="00083D2F" w:rsidP="004755CE">
            <w:pPr>
              <w:jc w:val="right"/>
              <w:rPr>
                <w:rFonts w:cs="Arial"/>
                <w:color w:val="000000"/>
                <w:sz w:val="22"/>
                <w:szCs w:val="22"/>
                <w:lang w:eastAsia="en-AU"/>
              </w:rPr>
            </w:pPr>
            <w:r w:rsidRPr="00520AE3">
              <w:rPr>
                <w:rFonts w:cs="Arial"/>
                <w:color w:val="000000"/>
                <w:sz w:val="22"/>
                <w:szCs w:val="22"/>
                <w:lang w:eastAsia="en-AU"/>
              </w:rPr>
              <w:t xml:space="preserve">351 </w:t>
            </w:r>
          </w:p>
        </w:tc>
      </w:tr>
      <w:tr w:rsidR="00083D2F" w:rsidRPr="00520AE3" w14:paraId="5EA74075" w14:textId="77777777" w:rsidTr="00083D2F">
        <w:trPr>
          <w:trHeight w:val="329"/>
        </w:trPr>
        <w:tc>
          <w:tcPr>
            <w:tcW w:w="5839" w:type="dxa"/>
            <w:tcBorders>
              <w:top w:val="nil"/>
              <w:left w:val="nil"/>
              <w:bottom w:val="nil"/>
              <w:right w:val="nil"/>
            </w:tcBorders>
            <w:shd w:val="clear" w:color="auto" w:fill="auto"/>
            <w:vAlign w:val="center"/>
            <w:hideMark/>
          </w:tcPr>
          <w:p w14:paraId="5EA74071" w14:textId="77777777" w:rsidR="00083D2F" w:rsidRPr="00520AE3" w:rsidRDefault="00083D2F" w:rsidP="00520AE3">
            <w:pPr>
              <w:rPr>
                <w:rFonts w:cs="Arial"/>
                <w:color w:val="000000"/>
                <w:sz w:val="22"/>
                <w:szCs w:val="22"/>
                <w:lang w:eastAsia="en-AU"/>
              </w:rPr>
            </w:pPr>
            <w:r w:rsidRPr="00520AE3">
              <w:rPr>
                <w:rFonts w:cs="Arial"/>
                <w:color w:val="000000"/>
                <w:sz w:val="22"/>
                <w:szCs w:val="22"/>
                <w:lang w:eastAsia="en-AU"/>
              </w:rPr>
              <w:t>Longer than 5 years</w:t>
            </w:r>
          </w:p>
        </w:tc>
        <w:tc>
          <w:tcPr>
            <w:tcW w:w="1674" w:type="dxa"/>
            <w:tcBorders>
              <w:top w:val="nil"/>
              <w:left w:val="nil"/>
              <w:bottom w:val="nil"/>
              <w:right w:val="nil"/>
            </w:tcBorders>
            <w:shd w:val="clear" w:color="000000" w:fill="BFBFBF" w:themeFill="background1" w:themeFillShade="BF"/>
          </w:tcPr>
          <w:p w14:paraId="5EA74073" w14:textId="77777777" w:rsidR="00083D2F" w:rsidRPr="00520AE3" w:rsidRDefault="00083D2F" w:rsidP="004755CE">
            <w:pPr>
              <w:jc w:val="right"/>
              <w:rPr>
                <w:rFonts w:cs="Arial"/>
                <w:color w:val="000000"/>
                <w:sz w:val="22"/>
                <w:szCs w:val="22"/>
                <w:lang w:eastAsia="en-AU"/>
              </w:rPr>
            </w:pPr>
            <w:r>
              <w:rPr>
                <w:rFonts w:cs="Arial"/>
                <w:color w:val="000000"/>
                <w:sz w:val="22"/>
                <w:szCs w:val="22"/>
                <w:lang w:eastAsia="en-AU"/>
              </w:rPr>
              <w:t>191</w:t>
            </w:r>
          </w:p>
        </w:tc>
        <w:tc>
          <w:tcPr>
            <w:tcW w:w="1544" w:type="dxa"/>
            <w:tcBorders>
              <w:top w:val="nil"/>
              <w:left w:val="nil"/>
              <w:bottom w:val="single" w:sz="8" w:space="0" w:color="auto"/>
              <w:right w:val="nil"/>
            </w:tcBorders>
            <w:shd w:val="clear" w:color="auto" w:fill="auto"/>
            <w:hideMark/>
          </w:tcPr>
          <w:p w14:paraId="5EA74074" w14:textId="77777777" w:rsidR="00083D2F" w:rsidRPr="00520AE3" w:rsidRDefault="00083D2F" w:rsidP="004755CE">
            <w:pPr>
              <w:jc w:val="right"/>
              <w:rPr>
                <w:rFonts w:cs="Arial"/>
                <w:color w:val="000000"/>
                <w:sz w:val="22"/>
                <w:szCs w:val="22"/>
                <w:lang w:eastAsia="en-AU"/>
              </w:rPr>
            </w:pPr>
            <w:r w:rsidRPr="00520AE3">
              <w:rPr>
                <w:rFonts w:cs="Arial"/>
                <w:color w:val="000000"/>
                <w:sz w:val="22"/>
                <w:szCs w:val="22"/>
                <w:lang w:eastAsia="en-AU"/>
              </w:rPr>
              <w:t>194</w:t>
            </w:r>
          </w:p>
        </w:tc>
      </w:tr>
      <w:tr w:rsidR="00083D2F" w:rsidRPr="00520AE3" w14:paraId="5EA7407A" w14:textId="77777777" w:rsidTr="00083D2F">
        <w:trPr>
          <w:trHeight w:val="329"/>
        </w:trPr>
        <w:tc>
          <w:tcPr>
            <w:tcW w:w="5839" w:type="dxa"/>
            <w:tcBorders>
              <w:top w:val="nil"/>
              <w:left w:val="nil"/>
              <w:bottom w:val="nil"/>
              <w:right w:val="nil"/>
            </w:tcBorders>
            <w:shd w:val="clear" w:color="auto" w:fill="auto"/>
            <w:vAlign w:val="center"/>
            <w:hideMark/>
          </w:tcPr>
          <w:p w14:paraId="5EA74076" w14:textId="1F212F74" w:rsidR="00083D2F" w:rsidRPr="00520AE3" w:rsidRDefault="00083D2F" w:rsidP="00520AE3">
            <w:pPr>
              <w:rPr>
                <w:rFonts w:cs="Arial"/>
                <w:color w:val="000000"/>
                <w:sz w:val="22"/>
                <w:szCs w:val="22"/>
                <w:lang w:eastAsia="en-AU"/>
              </w:rPr>
            </w:pPr>
            <w:r>
              <w:rPr>
                <w:rFonts w:cs="Arial"/>
                <w:color w:val="000000"/>
                <w:sz w:val="22"/>
                <w:szCs w:val="22"/>
                <w:lang w:eastAsia="en-AU"/>
              </w:rPr>
              <w:t>Total</w:t>
            </w:r>
          </w:p>
        </w:tc>
        <w:tc>
          <w:tcPr>
            <w:tcW w:w="1674" w:type="dxa"/>
            <w:tcBorders>
              <w:top w:val="single" w:sz="12" w:space="0" w:color="auto"/>
              <w:left w:val="nil"/>
              <w:bottom w:val="single" w:sz="12" w:space="0" w:color="auto"/>
              <w:right w:val="nil"/>
            </w:tcBorders>
            <w:shd w:val="clear" w:color="000000" w:fill="BFBFBF" w:themeFill="background1" w:themeFillShade="BF"/>
            <w:vAlign w:val="center"/>
          </w:tcPr>
          <w:p w14:paraId="5EA74078" w14:textId="77777777" w:rsidR="00083D2F" w:rsidRPr="00520AE3" w:rsidRDefault="00083D2F" w:rsidP="00520AE3">
            <w:pPr>
              <w:jc w:val="right"/>
              <w:rPr>
                <w:rFonts w:cs="Arial"/>
                <w:color w:val="000000"/>
                <w:sz w:val="22"/>
                <w:szCs w:val="22"/>
                <w:lang w:eastAsia="en-AU"/>
              </w:rPr>
            </w:pPr>
            <w:r>
              <w:rPr>
                <w:rFonts w:cs="Arial"/>
                <w:color w:val="000000"/>
                <w:sz w:val="22"/>
                <w:szCs w:val="22"/>
                <w:lang w:eastAsia="en-AU"/>
              </w:rPr>
              <w:t>713</w:t>
            </w:r>
          </w:p>
        </w:tc>
        <w:tc>
          <w:tcPr>
            <w:tcW w:w="1544" w:type="dxa"/>
            <w:tcBorders>
              <w:top w:val="single" w:sz="12" w:space="0" w:color="auto"/>
              <w:left w:val="nil"/>
              <w:bottom w:val="single" w:sz="12" w:space="0" w:color="auto"/>
              <w:right w:val="nil"/>
            </w:tcBorders>
            <w:shd w:val="clear" w:color="auto" w:fill="auto"/>
            <w:vAlign w:val="center"/>
            <w:hideMark/>
          </w:tcPr>
          <w:p w14:paraId="5EA74079" w14:textId="77777777" w:rsidR="00083D2F" w:rsidRPr="00520AE3" w:rsidRDefault="00083D2F" w:rsidP="00520AE3">
            <w:pPr>
              <w:jc w:val="right"/>
              <w:rPr>
                <w:rFonts w:cs="Arial"/>
                <w:color w:val="000000"/>
                <w:sz w:val="22"/>
                <w:szCs w:val="22"/>
                <w:lang w:eastAsia="en-AU"/>
              </w:rPr>
            </w:pPr>
            <w:r w:rsidRPr="00520AE3">
              <w:rPr>
                <w:rFonts w:cs="Arial"/>
                <w:color w:val="000000"/>
                <w:sz w:val="22"/>
                <w:szCs w:val="22"/>
                <w:lang w:eastAsia="en-AU"/>
              </w:rPr>
              <w:t>687</w:t>
            </w:r>
          </w:p>
        </w:tc>
      </w:tr>
    </w:tbl>
    <w:p w14:paraId="5EA7407B" w14:textId="77777777" w:rsidR="00AC4BC1" w:rsidRDefault="00C3614A" w:rsidP="0037558D">
      <w:pPr>
        <w:pStyle w:val="TextPara"/>
        <w:autoSpaceDE/>
        <w:autoSpaceDN/>
        <w:adjustRightInd/>
        <w:rPr>
          <w:rFonts w:ascii="Times New Roman" w:hAnsi="Times New Roman"/>
          <w:lang w:eastAsia="en-AU"/>
        </w:rPr>
      </w:pPr>
      <w:r>
        <w:rPr>
          <w:rFonts w:cs="Arial"/>
          <w:sz w:val="22"/>
          <w:szCs w:val="22"/>
          <w:lang w:eastAsia="en-AU"/>
        </w:rPr>
        <w:br w:type="page"/>
      </w:r>
    </w:p>
    <w:p w14:paraId="496494D4" w14:textId="3313349A" w:rsidR="00045F1D" w:rsidRDefault="00045F1D" w:rsidP="00BF287B">
      <w:pPr>
        <w:pStyle w:val="Heading1"/>
      </w:pPr>
      <w:bookmarkStart w:id="337" w:name="_Toc430613776"/>
      <w:r w:rsidRPr="00045F1D">
        <w:lastRenderedPageBreak/>
        <w:t>Note 23: Note to the cash flow statement</w:t>
      </w:r>
      <w:bookmarkEnd w:id="337"/>
    </w:p>
    <w:p w14:paraId="0864B280" w14:textId="77777777" w:rsidR="00083D2F" w:rsidRDefault="00083D2F" w:rsidP="00083D2F"/>
    <w:p w14:paraId="6F085795" w14:textId="2E14E6B7" w:rsidR="00083D2F" w:rsidRDefault="00083D2F" w:rsidP="00083D2F">
      <w:r w:rsidRPr="0037558D">
        <w:rPr>
          <w:rFonts w:cs="Arial"/>
          <w:b/>
          <w:bCs/>
          <w:color w:val="000000"/>
          <w:sz w:val="22"/>
          <w:szCs w:val="22"/>
          <w:lang w:eastAsia="en-AU"/>
        </w:rPr>
        <w:t>(a) Reconciliations of cash and cash equivalents</w:t>
      </w:r>
    </w:p>
    <w:p w14:paraId="1A209532" w14:textId="77777777" w:rsidR="00083D2F" w:rsidRDefault="00083D2F" w:rsidP="00083D2F"/>
    <w:p w14:paraId="772A25C8" w14:textId="20F6C635" w:rsidR="00083D2F" w:rsidRDefault="00083D2F" w:rsidP="00083D2F">
      <w:r w:rsidRPr="0037558D">
        <w:rPr>
          <w:rFonts w:cs="Arial"/>
          <w:color w:val="000000"/>
          <w:sz w:val="22"/>
          <w:szCs w:val="22"/>
          <w:lang w:eastAsia="en-AU"/>
        </w:rPr>
        <w:t>For the purposes of the cash flow statement, cash and cash equivalents includes cash on hand and in banks and investments in money market instruments, net of outstanding bank overdrafts. Cash and cash equivalents at the end of the financial year as shown in the cash flow statement is reconciled to the related items in the balance sheet as follows:</w:t>
      </w:r>
    </w:p>
    <w:p w14:paraId="26F85C39" w14:textId="77777777" w:rsidR="00083D2F" w:rsidRPr="00083D2F" w:rsidRDefault="00083D2F" w:rsidP="00083D2F"/>
    <w:tbl>
      <w:tblPr>
        <w:tblW w:w="8869" w:type="dxa"/>
        <w:tblInd w:w="108" w:type="dxa"/>
        <w:tblLook w:val="04A0" w:firstRow="1" w:lastRow="0" w:firstColumn="1" w:lastColumn="0" w:noHBand="0" w:noVBand="1"/>
      </w:tblPr>
      <w:tblGrid>
        <w:gridCol w:w="6222"/>
        <w:gridCol w:w="1323"/>
        <w:gridCol w:w="1324"/>
      </w:tblGrid>
      <w:tr w:rsidR="00B20FD4" w:rsidRPr="0037558D" w14:paraId="08511731" w14:textId="77777777" w:rsidTr="00B20FD4">
        <w:trPr>
          <w:trHeight w:val="382"/>
          <w:tblHeader/>
        </w:trPr>
        <w:tc>
          <w:tcPr>
            <w:tcW w:w="6222" w:type="dxa"/>
            <w:tcBorders>
              <w:top w:val="nil"/>
              <w:left w:val="nil"/>
              <w:bottom w:val="nil"/>
              <w:right w:val="nil"/>
            </w:tcBorders>
            <w:shd w:val="clear" w:color="auto" w:fill="auto"/>
            <w:vAlign w:val="bottom"/>
          </w:tcPr>
          <w:p w14:paraId="77B05909" w14:textId="77777777" w:rsidR="00B20FD4" w:rsidRPr="0037558D" w:rsidRDefault="00B20FD4" w:rsidP="0037558D">
            <w:pPr>
              <w:rPr>
                <w:rFonts w:cs="Arial"/>
                <w:color w:val="000000"/>
                <w:sz w:val="22"/>
                <w:szCs w:val="22"/>
                <w:lang w:eastAsia="en-AU"/>
              </w:rPr>
            </w:pPr>
            <w:bookmarkStart w:id="338" w:name="Table_56"/>
            <w:bookmarkEnd w:id="338"/>
          </w:p>
        </w:tc>
        <w:tc>
          <w:tcPr>
            <w:tcW w:w="1323" w:type="dxa"/>
            <w:tcBorders>
              <w:top w:val="nil"/>
              <w:left w:val="nil"/>
              <w:bottom w:val="nil"/>
              <w:right w:val="nil"/>
            </w:tcBorders>
            <w:shd w:val="clear" w:color="000000" w:fill="BFBFBF" w:themeFill="background1" w:themeFillShade="BF"/>
            <w:vAlign w:val="bottom"/>
          </w:tcPr>
          <w:p w14:paraId="4354AE2C" w14:textId="29F3550B" w:rsidR="00B20FD4" w:rsidRPr="00B20FD4" w:rsidRDefault="00B20FD4" w:rsidP="0037558D">
            <w:pPr>
              <w:jc w:val="right"/>
              <w:rPr>
                <w:rFonts w:cs="Arial"/>
                <w:b/>
                <w:color w:val="000000"/>
                <w:sz w:val="22"/>
                <w:szCs w:val="22"/>
                <w:lang w:eastAsia="en-AU"/>
              </w:rPr>
            </w:pPr>
            <w:r w:rsidRPr="00B20FD4">
              <w:rPr>
                <w:rFonts w:cs="Arial"/>
                <w:b/>
                <w:color w:val="000000"/>
                <w:sz w:val="22"/>
                <w:szCs w:val="22"/>
                <w:lang w:eastAsia="en-AU"/>
              </w:rPr>
              <w:t>2015</w:t>
            </w:r>
          </w:p>
        </w:tc>
        <w:tc>
          <w:tcPr>
            <w:tcW w:w="1324" w:type="dxa"/>
            <w:tcBorders>
              <w:top w:val="nil"/>
              <w:left w:val="nil"/>
              <w:bottom w:val="nil"/>
              <w:right w:val="nil"/>
            </w:tcBorders>
            <w:shd w:val="clear" w:color="auto" w:fill="auto"/>
            <w:vAlign w:val="bottom"/>
          </w:tcPr>
          <w:p w14:paraId="22AAAA39" w14:textId="77126135" w:rsidR="00B20FD4" w:rsidRPr="0037558D" w:rsidRDefault="00B20FD4" w:rsidP="001D01C3">
            <w:pPr>
              <w:jc w:val="right"/>
              <w:rPr>
                <w:rFonts w:cs="Arial"/>
                <w:color w:val="000000"/>
                <w:sz w:val="22"/>
                <w:szCs w:val="22"/>
                <w:lang w:eastAsia="en-AU"/>
              </w:rPr>
            </w:pPr>
            <w:r>
              <w:rPr>
                <w:rFonts w:cs="Arial"/>
                <w:color w:val="000000"/>
                <w:sz w:val="22"/>
                <w:szCs w:val="22"/>
                <w:lang w:eastAsia="en-AU"/>
              </w:rPr>
              <w:t>2014</w:t>
            </w:r>
          </w:p>
        </w:tc>
      </w:tr>
      <w:tr w:rsidR="00B20FD4" w:rsidRPr="0037558D" w14:paraId="5EA7409D" w14:textId="77777777" w:rsidTr="00B20FD4">
        <w:trPr>
          <w:trHeight w:val="382"/>
        </w:trPr>
        <w:tc>
          <w:tcPr>
            <w:tcW w:w="6222" w:type="dxa"/>
            <w:tcBorders>
              <w:top w:val="nil"/>
              <w:left w:val="nil"/>
              <w:bottom w:val="nil"/>
              <w:right w:val="nil"/>
            </w:tcBorders>
            <w:shd w:val="clear" w:color="auto" w:fill="auto"/>
            <w:vAlign w:val="bottom"/>
            <w:hideMark/>
          </w:tcPr>
          <w:p w14:paraId="5EA74099" w14:textId="77777777" w:rsidR="00B20FD4" w:rsidRPr="0037558D" w:rsidRDefault="00B20FD4" w:rsidP="0037558D">
            <w:pPr>
              <w:rPr>
                <w:rFonts w:cs="Arial"/>
                <w:color w:val="000000"/>
                <w:sz w:val="22"/>
                <w:szCs w:val="22"/>
                <w:lang w:eastAsia="en-AU"/>
              </w:rPr>
            </w:pPr>
            <w:r w:rsidRPr="0037558D">
              <w:rPr>
                <w:rFonts w:cs="Arial"/>
                <w:color w:val="000000"/>
                <w:sz w:val="22"/>
                <w:szCs w:val="22"/>
                <w:lang w:eastAsia="en-AU"/>
              </w:rPr>
              <w:t>Cash at bank</w:t>
            </w:r>
          </w:p>
        </w:tc>
        <w:tc>
          <w:tcPr>
            <w:tcW w:w="1323" w:type="dxa"/>
            <w:tcBorders>
              <w:top w:val="nil"/>
              <w:left w:val="nil"/>
              <w:bottom w:val="nil"/>
              <w:right w:val="nil"/>
            </w:tcBorders>
            <w:shd w:val="clear" w:color="000000" w:fill="BFBFBF" w:themeFill="background1" w:themeFillShade="BF"/>
            <w:vAlign w:val="bottom"/>
          </w:tcPr>
          <w:p w14:paraId="5EA7409B" w14:textId="77777777" w:rsidR="00B20FD4" w:rsidRPr="0037558D" w:rsidRDefault="00B20FD4" w:rsidP="0037558D">
            <w:pPr>
              <w:jc w:val="right"/>
              <w:rPr>
                <w:rFonts w:cs="Arial"/>
                <w:color w:val="000000"/>
                <w:sz w:val="22"/>
                <w:szCs w:val="22"/>
                <w:lang w:eastAsia="en-AU"/>
              </w:rPr>
            </w:pPr>
            <w:r>
              <w:rPr>
                <w:rFonts w:cs="Arial"/>
                <w:color w:val="000000"/>
                <w:sz w:val="22"/>
                <w:szCs w:val="22"/>
                <w:lang w:eastAsia="en-AU"/>
              </w:rPr>
              <w:t>2,230</w:t>
            </w:r>
          </w:p>
        </w:tc>
        <w:tc>
          <w:tcPr>
            <w:tcW w:w="1324" w:type="dxa"/>
            <w:tcBorders>
              <w:top w:val="nil"/>
              <w:left w:val="nil"/>
              <w:bottom w:val="nil"/>
              <w:right w:val="nil"/>
            </w:tcBorders>
            <w:shd w:val="clear" w:color="auto" w:fill="auto"/>
            <w:vAlign w:val="bottom"/>
            <w:hideMark/>
          </w:tcPr>
          <w:p w14:paraId="5EA7409C" w14:textId="77777777" w:rsidR="00B20FD4" w:rsidRPr="0037558D" w:rsidRDefault="00B20FD4" w:rsidP="001D01C3">
            <w:pPr>
              <w:jc w:val="right"/>
              <w:rPr>
                <w:rFonts w:cs="Arial"/>
                <w:color w:val="000000"/>
                <w:sz w:val="22"/>
                <w:szCs w:val="22"/>
                <w:lang w:eastAsia="en-AU"/>
              </w:rPr>
            </w:pPr>
            <w:r w:rsidRPr="0037558D">
              <w:rPr>
                <w:rFonts w:cs="Arial"/>
                <w:color w:val="000000"/>
                <w:sz w:val="22"/>
                <w:szCs w:val="22"/>
                <w:lang w:eastAsia="en-AU"/>
              </w:rPr>
              <w:t>6,872</w:t>
            </w:r>
          </w:p>
        </w:tc>
      </w:tr>
      <w:tr w:rsidR="00B20FD4" w:rsidRPr="0037558D" w14:paraId="5EA740A2" w14:textId="77777777" w:rsidTr="00B20FD4">
        <w:trPr>
          <w:trHeight w:val="382"/>
        </w:trPr>
        <w:tc>
          <w:tcPr>
            <w:tcW w:w="6222" w:type="dxa"/>
            <w:tcBorders>
              <w:top w:val="nil"/>
              <w:left w:val="nil"/>
              <w:bottom w:val="nil"/>
              <w:right w:val="nil"/>
            </w:tcBorders>
            <w:shd w:val="clear" w:color="auto" w:fill="auto"/>
            <w:vAlign w:val="bottom"/>
            <w:hideMark/>
          </w:tcPr>
          <w:p w14:paraId="5EA7409E" w14:textId="77777777" w:rsidR="00B20FD4" w:rsidRPr="0037558D" w:rsidRDefault="00B20FD4" w:rsidP="0037558D">
            <w:pPr>
              <w:rPr>
                <w:rFonts w:cs="Arial"/>
                <w:color w:val="000000"/>
                <w:sz w:val="22"/>
                <w:szCs w:val="22"/>
                <w:lang w:eastAsia="en-AU"/>
              </w:rPr>
            </w:pPr>
            <w:r w:rsidRPr="0037558D">
              <w:rPr>
                <w:rFonts w:cs="Arial"/>
                <w:color w:val="000000"/>
                <w:sz w:val="22"/>
                <w:szCs w:val="22"/>
                <w:lang w:eastAsia="en-AU"/>
              </w:rPr>
              <w:t>At call accounts</w:t>
            </w:r>
          </w:p>
        </w:tc>
        <w:tc>
          <w:tcPr>
            <w:tcW w:w="1323" w:type="dxa"/>
            <w:tcBorders>
              <w:top w:val="nil"/>
              <w:left w:val="nil"/>
              <w:bottom w:val="nil"/>
              <w:right w:val="nil"/>
            </w:tcBorders>
            <w:shd w:val="clear" w:color="000000" w:fill="BFBFBF" w:themeFill="background1" w:themeFillShade="BF"/>
            <w:vAlign w:val="bottom"/>
          </w:tcPr>
          <w:p w14:paraId="5EA740A0" w14:textId="77777777" w:rsidR="00B20FD4" w:rsidRPr="0037558D" w:rsidRDefault="00B20FD4" w:rsidP="0037558D">
            <w:pPr>
              <w:jc w:val="right"/>
              <w:rPr>
                <w:rFonts w:cs="Arial"/>
                <w:color w:val="000000"/>
                <w:sz w:val="22"/>
                <w:szCs w:val="22"/>
                <w:lang w:eastAsia="en-AU"/>
              </w:rPr>
            </w:pPr>
            <w:r>
              <w:rPr>
                <w:rFonts w:cs="Arial"/>
                <w:color w:val="000000"/>
                <w:sz w:val="22"/>
                <w:szCs w:val="22"/>
                <w:lang w:eastAsia="en-AU"/>
              </w:rPr>
              <w:t>5,475</w:t>
            </w:r>
          </w:p>
        </w:tc>
        <w:tc>
          <w:tcPr>
            <w:tcW w:w="1324" w:type="dxa"/>
            <w:tcBorders>
              <w:top w:val="nil"/>
              <w:left w:val="nil"/>
              <w:bottom w:val="nil"/>
              <w:right w:val="nil"/>
            </w:tcBorders>
            <w:shd w:val="clear" w:color="auto" w:fill="auto"/>
            <w:vAlign w:val="bottom"/>
            <w:hideMark/>
          </w:tcPr>
          <w:p w14:paraId="5EA740A1" w14:textId="77777777" w:rsidR="00B20FD4" w:rsidRPr="0037558D" w:rsidRDefault="00B20FD4" w:rsidP="0037558D">
            <w:pPr>
              <w:jc w:val="right"/>
              <w:rPr>
                <w:rFonts w:cs="Arial"/>
                <w:color w:val="000000"/>
                <w:sz w:val="22"/>
                <w:szCs w:val="22"/>
                <w:lang w:eastAsia="en-AU"/>
              </w:rPr>
            </w:pPr>
            <w:r w:rsidRPr="0037558D">
              <w:rPr>
                <w:rFonts w:cs="Arial"/>
                <w:color w:val="000000"/>
                <w:sz w:val="22"/>
                <w:szCs w:val="22"/>
                <w:lang w:eastAsia="en-AU"/>
              </w:rPr>
              <w:t>5,094</w:t>
            </w:r>
          </w:p>
        </w:tc>
      </w:tr>
      <w:tr w:rsidR="00B20FD4" w:rsidRPr="0037558D" w14:paraId="5EA740A7" w14:textId="77777777" w:rsidTr="00B20FD4">
        <w:trPr>
          <w:trHeight w:val="382"/>
        </w:trPr>
        <w:tc>
          <w:tcPr>
            <w:tcW w:w="6222" w:type="dxa"/>
            <w:tcBorders>
              <w:top w:val="nil"/>
              <w:left w:val="nil"/>
              <w:bottom w:val="nil"/>
              <w:right w:val="nil"/>
            </w:tcBorders>
            <w:shd w:val="clear" w:color="auto" w:fill="auto"/>
            <w:vAlign w:val="bottom"/>
            <w:hideMark/>
          </w:tcPr>
          <w:p w14:paraId="5EA740A3" w14:textId="77777777" w:rsidR="00B20FD4" w:rsidRPr="0037558D" w:rsidRDefault="00B20FD4" w:rsidP="0037558D">
            <w:pPr>
              <w:rPr>
                <w:rFonts w:cs="Arial"/>
                <w:color w:val="000000"/>
                <w:sz w:val="22"/>
                <w:szCs w:val="22"/>
                <w:lang w:eastAsia="en-AU"/>
              </w:rPr>
            </w:pPr>
            <w:r w:rsidRPr="0037558D">
              <w:rPr>
                <w:rFonts w:cs="Arial"/>
                <w:color w:val="000000"/>
                <w:sz w:val="22"/>
                <w:szCs w:val="22"/>
                <w:lang w:eastAsia="en-AU"/>
              </w:rPr>
              <w:t>Cash and cash equivalents</w:t>
            </w:r>
          </w:p>
        </w:tc>
        <w:tc>
          <w:tcPr>
            <w:tcW w:w="1323" w:type="dxa"/>
            <w:tcBorders>
              <w:top w:val="single" w:sz="12" w:space="0" w:color="auto"/>
              <w:left w:val="nil"/>
              <w:bottom w:val="single" w:sz="12" w:space="0" w:color="auto"/>
              <w:right w:val="nil"/>
            </w:tcBorders>
            <w:shd w:val="clear" w:color="000000" w:fill="BFBFBF" w:themeFill="background1" w:themeFillShade="BF"/>
            <w:vAlign w:val="bottom"/>
          </w:tcPr>
          <w:p w14:paraId="5EA740A5" w14:textId="77777777" w:rsidR="00B20FD4" w:rsidRPr="0037558D" w:rsidRDefault="00B20FD4" w:rsidP="00A63D1B">
            <w:pPr>
              <w:jc w:val="right"/>
              <w:rPr>
                <w:rFonts w:cs="Arial"/>
                <w:color w:val="000000"/>
                <w:sz w:val="22"/>
                <w:szCs w:val="22"/>
                <w:lang w:eastAsia="en-AU"/>
              </w:rPr>
            </w:pPr>
            <w:r>
              <w:rPr>
                <w:rFonts w:cs="Arial"/>
                <w:color w:val="000000"/>
                <w:sz w:val="22"/>
                <w:szCs w:val="22"/>
                <w:lang w:eastAsia="en-AU"/>
              </w:rPr>
              <w:t>7,705</w:t>
            </w:r>
          </w:p>
        </w:tc>
        <w:tc>
          <w:tcPr>
            <w:tcW w:w="1324" w:type="dxa"/>
            <w:tcBorders>
              <w:top w:val="single" w:sz="12" w:space="0" w:color="auto"/>
              <w:left w:val="nil"/>
              <w:bottom w:val="single" w:sz="12" w:space="0" w:color="auto"/>
              <w:right w:val="nil"/>
            </w:tcBorders>
            <w:shd w:val="clear" w:color="auto" w:fill="auto"/>
            <w:vAlign w:val="bottom"/>
            <w:hideMark/>
          </w:tcPr>
          <w:p w14:paraId="5EA740A6" w14:textId="77777777" w:rsidR="00B20FD4" w:rsidRPr="0037558D" w:rsidRDefault="00B20FD4" w:rsidP="0037558D">
            <w:pPr>
              <w:jc w:val="right"/>
              <w:rPr>
                <w:rFonts w:cs="Arial"/>
                <w:color w:val="000000"/>
                <w:sz w:val="22"/>
                <w:szCs w:val="22"/>
                <w:lang w:eastAsia="en-AU"/>
              </w:rPr>
            </w:pPr>
            <w:r w:rsidRPr="0037558D">
              <w:rPr>
                <w:rFonts w:cs="Arial"/>
                <w:color w:val="000000"/>
                <w:sz w:val="22"/>
                <w:szCs w:val="22"/>
                <w:lang w:eastAsia="en-AU"/>
              </w:rPr>
              <w:t>11,966</w:t>
            </w:r>
          </w:p>
        </w:tc>
      </w:tr>
    </w:tbl>
    <w:p w14:paraId="361EAE61" w14:textId="77777777" w:rsidR="00083D2F" w:rsidRDefault="00083D2F"/>
    <w:p w14:paraId="625DAF64" w14:textId="5FE15628" w:rsidR="00083D2F" w:rsidRDefault="00083D2F">
      <w:r w:rsidRPr="0037558D">
        <w:rPr>
          <w:rFonts w:cs="Arial"/>
          <w:b/>
          <w:bCs/>
          <w:color w:val="000000"/>
          <w:sz w:val="22"/>
          <w:szCs w:val="22"/>
          <w:lang w:eastAsia="en-AU"/>
        </w:rPr>
        <w:t>(b)  Reconcil</w:t>
      </w:r>
      <w:r>
        <w:rPr>
          <w:rFonts w:cs="Arial"/>
          <w:b/>
          <w:bCs/>
          <w:color w:val="000000"/>
          <w:sz w:val="22"/>
          <w:szCs w:val="22"/>
          <w:lang w:eastAsia="en-AU"/>
        </w:rPr>
        <w:t xml:space="preserve">iation of surplus for the year </w:t>
      </w:r>
      <w:r w:rsidRPr="0037558D">
        <w:rPr>
          <w:rFonts w:cs="Arial"/>
          <w:b/>
          <w:bCs/>
          <w:color w:val="000000"/>
          <w:sz w:val="22"/>
          <w:szCs w:val="22"/>
          <w:lang w:eastAsia="en-AU"/>
        </w:rPr>
        <w:t>to net cash flows provided by operating activities</w:t>
      </w:r>
    </w:p>
    <w:p w14:paraId="3F1E7CA6" w14:textId="77777777" w:rsidR="00083D2F" w:rsidRDefault="00083D2F"/>
    <w:tbl>
      <w:tblPr>
        <w:tblW w:w="8869" w:type="dxa"/>
        <w:tblInd w:w="108" w:type="dxa"/>
        <w:tblLook w:val="04A0" w:firstRow="1" w:lastRow="0" w:firstColumn="1" w:lastColumn="0" w:noHBand="0" w:noVBand="1"/>
      </w:tblPr>
      <w:tblGrid>
        <w:gridCol w:w="6222"/>
        <w:gridCol w:w="1323"/>
        <w:gridCol w:w="1324"/>
      </w:tblGrid>
      <w:tr w:rsidR="00B20FD4" w:rsidRPr="0037558D" w14:paraId="11A83F6A" w14:textId="77777777" w:rsidTr="00B20FD4">
        <w:trPr>
          <w:trHeight w:val="365"/>
          <w:tblHeader/>
        </w:trPr>
        <w:tc>
          <w:tcPr>
            <w:tcW w:w="6222" w:type="dxa"/>
            <w:tcBorders>
              <w:top w:val="nil"/>
              <w:left w:val="nil"/>
              <w:bottom w:val="nil"/>
              <w:right w:val="nil"/>
            </w:tcBorders>
            <w:shd w:val="clear" w:color="auto" w:fill="auto"/>
            <w:vAlign w:val="bottom"/>
          </w:tcPr>
          <w:p w14:paraId="1C9EA413" w14:textId="77777777" w:rsidR="00B20FD4" w:rsidRPr="0037558D" w:rsidRDefault="00B20FD4" w:rsidP="0037558D">
            <w:pPr>
              <w:rPr>
                <w:rFonts w:cs="Arial"/>
                <w:color w:val="000000"/>
                <w:sz w:val="22"/>
                <w:szCs w:val="22"/>
                <w:lang w:eastAsia="en-AU"/>
              </w:rPr>
            </w:pPr>
            <w:bookmarkStart w:id="339" w:name="Table_57"/>
            <w:bookmarkEnd w:id="339"/>
          </w:p>
        </w:tc>
        <w:tc>
          <w:tcPr>
            <w:tcW w:w="1323" w:type="dxa"/>
            <w:tcBorders>
              <w:top w:val="nil"/>
              <w:left w:val="nil"/>
              <w:bottom w:val="nil"/>
              <w:right w:val="nil"/>
            </w:tcBorders>
            <w:shd w:val="clear" w:color="000000" w:fill="BFBFBF" w:themeFill="background1" w:themeFillShade="BF"/>
            <w:vAlign w:val="bottom"/>
          </w:tcPr>
          <w:p w14:paraId="31D5BECB" w14:textId="7E9587D1" w:rsidR="00B20FD4" w:rsidRPr="00B20FD4" w:rsidRDefault="00B20FD4" w:rsidP="0037558D">
            <w:pPr>
              <w:jc w:val="right"/>
              <w:rPr>
                <w:rFonts w:cs="Arial"/>
                <w:b/>
                <w:color w:val="000000"/>
                <w:sz w:val="22"/>
                <w:szCs w:val="22"/>
                <w:lang w:eastAsia="en-AU"/>
              </w:rPr>
            </w:pPr>
            <w:r w:rsidRPr="00B20FD4">
              <w:rPr>
                <w:rFonts w:cs="Arial"/>
                <w:b/>
                <w:color w:val="000000"/>
                <w:sz w:val="22"/>
                <w:szCs w:val="22"/>
                <w:lang w:eastAsia="en-AU"/>
              </w:rPr>
              <w:t>2015</w:t>
            </w:r>
          </w:p>
        </w:tc>
        <w:tc>
          <w:tcPr>
            <w:tcW w:w="1324" w:type="dxa"/>
            <w:tcBorders>
              <w:top w:val="nil"/>
              <w:left w:val="nil"/>
              <w:bottom w:val="nil"/>
              <w:right w:val="nil"/>
            </w:tcBorders>
            <w:shd w:val="clear" w:color="auto" w:fill="auto"/>
            <w:vAlign w:val="bottom"/>
          </w:tcPr>
          <w:p w14:paraId="70052D50" w14:textId="4988539D" w:rsidR="00B20FD4" w:rsidRPr="0037558D" w:rsidRDefault="00B20FD4" w:rsidP="0037558D">
            <w:pPr>
              <w:jc w:val="right"/>
              <w:rPr>
                <w:rFonts w:cs="Arial"/>
                <w:color w:val="000000"/>
                <w:sz w:val="22"/>
                <w:szCs w:val="22"/>
                <w:lang w:eastAsia="en-AU"/>
              </w:rPr>
            </w:pPr>
            <w:r>
              <w:rPr>
                <w:rFonts w:cs="Arial"/>
                <w:color w:val="000000"/>
                <w:sz w:val="22"/>
                <w:szCs w:val="22"/>
                <w:lang w:eastAsia="en-AU"/>
              </w:rPr>
              <w:t>2014</w:t>
            </w:r>
          </w:p>
        </w:tc>
      </w:tr>
      <w:tr w:rsidR="00B20FD4" w:rsidRPr="0037558D" w14:paraId="5EA740B8" w14:textId="77777777" w:rsidTr="00B20FD4">
        <w:trPr>
          <w:trHeight w:val="365"/>
        </w:trPr>
        <w:tc>
          <w:tcPr>
            <w:tcW w:w="6222" w:type="dxa"/>
            <w:tcBorders>
              <w:top w:val="nil"/>
              <w:left w:val="nil"/>
              <w:bottom w:val="nil"/>
              <w:right w:val="nil"/>
            </w:tcBorders>
            <w:shd w:val="clear" w:color="auto" w:fill="auto"/>
            <w:vAlign w:val="bottom"/>
            <w:hideMark/>
          </w:tcPr>
          <w:p w14:paraId="5EA740B4" w14:textId="77777777" w:rsidR="00B20FD4" w:rsidRPr="0037558D" w:rsidRDefault="00B20FD4" w:rsidP="0037558D">
            <w:pPr>
              <w:rPr>
                <w:rFonts w:cs="Arial"/>
                <w:color w:val="000000"/>
                <w:sz w:val="22"/>
                <w:szCs w:val="22"/>
                <w:lang w:eastAsia="en-AU"/>
              </w:rPr>
            </w:pPr>
            <w:r w:rsidRPr="0037558D">
              <w:rPr>
                <w:rFonts w:cs="Arial"/>
                <w:color w:val="000000"/>
                <w:sz w:val="22"/>
                <w:szCs w:val="22"/>
                <w:lang w:eastAsia="en-AU"/>
              </w:rPr>
              <w:t xml:space="preserve">Net surplus for the year </w:t>
            </w:r>
          </w:p>
        </w:tc>
        <w:tc>
          <w:tcPr>
            <w:tcW w:w="1323" w:type="dxa"/>
            <w:tcBorders>
              <w:top w:val="nil"/>
              <w:left w:val="nil"/>
              <w:bottom w:val="nil"/>
              <w:right w:val="nil"/>
            </w:tcBorders>
            <w:shd w:val="clear" w:color="000000" w:fill="BFBFBF" w:themeFill="background1" w:themeFillShade="BF"/>
            <w:vAlign w:val="bottom"/>
          </w:tcPr>
          <w:p w14:paraId="5EA740B6" w14:textId="77777777" w:rsidR="00B20FD4" w:rsidRPr="0037558D" w:rsidRDefault="00B20FD4" w:rsidP="0037558D">
            <w:pPr>
              <w:jc w:val="right"/>
              <w:rPr>
                <w:rFonts w:cs="Arial"/>
                <w:color w:val="000000"/>
                <w:sz w:val="22"/>
                <w:szCs w:val="22"/>
                <w:lang w:eastAsia="en-AU"/>
              </w:rPr>
            </w:pPr>
            <w:r>
              <w:rPr>
                <w:rFonts w:cs="Arial"/>
                <w:color w:val="000000"/>
                <w:sz w:val="22"/>
                <w:szCs w:val="22"/>
                <w:lang w:eastAsia="en-AU"/>
              </w:rPr>
              <w:t>10,259</w:t>
            </w:r>
          </w:p>
        </w:tc>
        <w:tc>
          <w:tcPr>
            <w:tcW w:w="1324" w:type="dxa"/>
            <w:tcBorders>
              <w:top w:val="nil"/>
              <w:left w:val="nil"/>
              <w:bottom w:val="nil"/>
              <w:right w:val="nil"/>
            </w:tcBorders>
            <w:shd w:val="clear" w:color="auto" w:fill="auto"/>
            <w:vAlign w:val="bottom"/>
            <w:hideMark/>
          </w:tcPr>
          <w:p w14:paraId="5EA740B7" w14:textId="77777777" w:rsidR="00B20FD4" w:rsidRPr="0037558D" w:rsidRDefault="00B20FD4" w:rsidP="0037558D">
            <w:pPr>
              <w:jc w:val="right"/>
              <w:rPr>
                <w:rFonts w:cs="Arial"/>
                <w:color w:val="000000"/>
                <w:sz w:val="22"/>
                <w:szCs w:val="22"/>
                <w:lang w:eastAsia="en-AU"/>
              </w:rPr>
            </w:pPr>
            <w:r w:rsidRPr="0037558D">
              <w:rPr>
                <w:rFonts w:cs="Arial"/>
                <w:color w:val="000000"/>
                <w:sz w:val="22"/>
                <w:szCs w:val="22"/>
                <w:lang w:eastAsia="en-AU"/>
              </w:rPr>
              <w:t>7,513</w:t>
            </w:r>
          </w:p>
        </w:tc>
      </w:tr>
      <w:tr w:rsidR="00B20FD4" w:rsidRPr="0037558D" w14:paraId="5EA740BD" w14:textId="77777777" w:rsidTr="00B20FD4">
        <w:trPr>
          <w:trHeight w:val="365"/>
        </w:trPr>
        <w:tc>
          <w:tcPr>
            <w:tcW w:w="6222" w:type="dxa"/>
            <w:tcBorders>
              <w:top w:val="nil"/>
              <w:left w:val="nil"/>
              <w:bottom w:val="nil"/>
              <w:right w:val="nil"/>
            </w:tcBorders>
            <w:shd w:val="clear" w:color="auto" w:fill="auto"/>
            <w:vAlign w:val="bottom"/>
            <w:hideMark/>
          </w:tcPr>
          <w:p w14:paraId="5EA740B9" w14:textId="77777777" w:rsidR="00B20FD4" w:rsidRPr="0037558D" w:rsidRDefault="00B20FD4" w:rsidP="0037558D">
            <w:pPr>
              <w:rPr>
                <w:rFonts w:cs="Arial"/>
                <w:color w:val="000000"/>
                <w:sz w:val="22"/>
                <w:szCs w:val="22"/>
                <w:lang w:eastAsia="en-AU"/>
              </w:rPr>
            </w:pPr>
            <w:r w:rsidRPr="0037558D">
              <w:rPr>
                <w:rFonts w:cs="Arial"/>
                <w:color w:val="000000"/>
                <w:sz w:val="22"/>
                <w:szCs w:val="22"/>
                <w:lang w:eastAsia="en-AU"/>
              </w:rPr>
              <w:t>Depreciation</w:t>
            </w:r>
          </w:p>
        </w:tc>
        <w:tc>
          <w:tcPr>
            <w:tcW w:w="1323" w:type="dxa"/>
            <w:tcBorders>
              <w:top w:val="nil"/>
              <w:left w:val="nil"/>
              <w:bottom w:val="nil"/>
              <w:right w:val="nil"/>
            </w:tcBorders>
            <w:shd w:val="clear" w:color="000000" w:fill="BFBFBF" w:themeFill="background1" w:themeFillShade="BF"/>
            <w:vAlign w:val="bottom"/>
          </w:tcPr>
          <w:p w14:paraId="5EA740BB" w14:textId="67F04B65" w:rsidR="00B20FD4" w:rsidRPr="0037558D" w:rsidRDefault="00B20FD4">
            <w:pPr>
              <w:jc w:val="right"/>
              <w:rPr>
                <w:rFonts w:cs="Arial"/>
                <w:color w:val="000000"/>
                <w:sz w:val="22"/>
                <w:szCs w:val="22"/>
                <w:lang w:eastAsia="en-AU"/>
              </w:rPr>
            </w:pPr>
            <w:r>
              <w:rPr>
                <w:rFonts w:cs="Arial"/>
                <w:color w:val="000000"/>
                <w:sz w:val="22"/>
                <w:szCs w:val="22"/>
                <w:lang w:eastAsia="en-AU"/>
              </w:rPr>
              <w:t>2,915</w:t>
            </w:r>
          </w:p>
        </w:tc>
        <w:tc>
          <w:tcPr>
            <w:tcW w:w="1324" w:type="dxa"/>
            <w:tcBorders>
              <w:top w:val="nil"/>
              <w:left w:val="nil"/>
              <w:bottom w:val="nil"/>
              <w:right w:val="nil"/>
            </w:tcBorders>
            <w:shd w:val="clear" w:color="auto" w:fill="auto"/>
            <w:vAlign w:val="bottom"/>
            <w:hideMark/>
          </w:tcPr>
          <w:p w14:paraId="5EA740BC" w14:textId="77777777" w:rsidR="00B20FD4" w:rsidRPr="0037558D" w:rsidRDefault="00B20FD4" w:rsidP="0037558D">
            <w:pPr>
              <w:jc w:val="right"/>
              <w:rPr>
                <w:rFonts w:cs="Arial"/>
                <w:color w:val="000000"/>
                <w:sz w:val="22"/>
                <w:szCs w:val="22"/>
                <w:lang w:eastAsia="en-AU"/>
              </w:rPr>
            </w:pPr>
            <w:r w:rsidRPr="0037558D">
              <w:rPr>
                <w:rFonts w:cs="Arial"/>
                <w:color w:val="000000"/>
                <w:sz w:val="22"/>
                <w:szCs w:val="22"/>
                <w:lang w:eastAsia="en-AU"/>
              </w:rPr>
              <w:t>3,777</w:t>
            </w:r>
          </w:p>
        </w:tc>
      </w:tr>
      <w:tr w:rsidR="00B20FD4" w:rsidRPr="0037558D" w14:paraId="5EA740C2" w14:textId="77777777" w:rsidTr="00B20FD4">
        <w:trPr>
          <w:trHeight w:val="365"/>
        </w:trPr>
        <w:tc>
          <w:tcPr>
            <w:tcW w:w="6222" w:type="dxa"/>
            <w:tcBorders>
              <w:top w:val="nil"/>
              <w:left w:val="nil"/>
              <w:bottom w:val="nil"/>
              <w:right w:val="nil"/>
            </w:tcBorders>
            <w:shd w:val="clear" w:color="auto" w:fill="auto"/>
            <w:vAlign w:val="bottom"/>
            <w:hideMark/>
          </w:tcPr>
          <w:p w14:paraId="5EA740BE" w14:textId="77777777" w:rsidR="00B20FD4" w:rsidRPr="0037558D" w:rsidRDefault="00B20FD4" w:rsidP="0037558D">
            <w:pPr>
              <w:rPr>
                <w:rFonts w:cs="Arial"/>
                <w:color w:val="000000"/>
                <w:sz w:val="22"/>
                <w:szCs w:val="22"/>
                <w:lang w:eastAsia="en-AU"/>
              </w:rPr>
            </w:pPr>
            <w:r w:rsidRPr="0037558D">
              <w:rPr>
                <w:rFonts w:cs="Arial"/>
                <w:color w:val="000000"/>
                <w:sz w:val="22"/>
                <w:szCs w:val="22"/>
                <w:lang w:eastAsia="en-AU"/>
              </w:rPr>
              <w:t>Amortisation</w:t>
            </w:r>
          </w:p>
        </w:tc>
        <w:tc>
          <w:tcPr>
            <w:tcW w:w="1323" w:type="dxa"/>
            <w:tcBorders>
              <w:top w:val="nil"/>
              <w:left w:val="nil"/>
              <w:bottom w:val="nil"/>
              <w:right w:val="nil"/>
            </w:tcBorders>
            <w:shd w:val="clear" w:color="000000" w:fill="BFBFBF" w:themeFill="background1" w:themeFillShade="BF"/>
            <w:vAlign w:val="bottom"/>
          </w:tcPr>
          <w:p w14:paraId="5EA740C0" w14:textId="77777777" w:rsidR="00B20FD4" w:rsidRPr="0037558D" w:rsidRDefault="00B20FD4" w:rsidP="00C30368">
            <w:pPr>
              <w:jc w:val="right"/>
              <w:rPr>
                <w:rFonts w:cs="Arial"/>
                <w:color w:val="000000"/>
                <w:sz w:val="22"/>
                <w:szCs w:val="22"/>
                <w:lang w:eastAsia="en-AU"/>
              </w:rPr>
            </w:pPr>
            <w:r>
              <w:rPr>
                <w:rFonts w:cs="Arial"/>
                <w:color w:val="000000"/>
                <w:sz w:val="22"/>
                <w:szCs w:val="22"/>
                <w:lang w:eastAsia="en-AU"/>
              </w:rPr>
              <w:t>848</w:t>
            </w:r>
          </w:p>
        </w:tc>
        <w:tc>
          <w:tcPr>
            <w:tcW w:w="1324" w:type="dxa"/>
            <w:tcBorders>
              <w:top w:val="nil"/>
              <w:left w:val="nil"/>
              <w:bottom w:val="nil"/>
              <w:right w:val="nil"/>
            </w:tcBorders>
            <w:shd w:val="clear" w:color="auto" w:fill="auto"/>
            <w:vAlign w:val="bottom"/>
            <w:hideMark/>
          </w:tcPr>
          <w:p w14:paraId="5EA740C1" w14:textId="77777777" w:rsidR="00B20FD4" w:rsidRPr="0037558D" w:rsidRDefault="00B20FD4" w:rsidP="0037558D">
            <w:pPr>
              <w:jc w:val="right"/>
              <w:rPr>
                <w:rFonts w:cs="Arial"/>
                <w:color w:val="000000"/>
                <w:sz w:val="22"/>
                <w:szCs w:val="22"/>
                <w:lang w:eastAsia="en-AU"/>
              </w:rPr>
            </w:pPr>
            <w:r w:rsidRPr="0037558D">
              <w:rPr>
                <w:rFonts w:cs="Arial"/>
                <w:color w:val="000000"/>
                <w:sz w:val="22"/>
                <w:szCs w:val="22"/>
                <w:lang w:eastAsia="en-AU"/>
              </w:rPr>
              <w:t>1,149</w:t>
            </w:r>
          </w:p>
        </w:tc>
      </w:tr>
      <w:tr w:rsidR="00B20FD4" w:rsidRPr="0037558D" w14:paraId="5EA740C7" w14:textId="77777777" w:rsidTr="00B20FD4">
        <w:trPr>
          <w:trHeight w:val="365"/>
        </w:trPr>
        <w:tc>
          <w:tcPr>
            <w:tcW w:w="6222" w:type="dxa"/>
            <w:tcBorders>
              <w:top w:val="nil"/>
              <w:left w:val="nil"/>
              <w:bottom w:val="nil"/>
              <w:right w:val="nil"/>
            </w:tcBorders>
            <w:shd w:val="clear" w:color="auto" w:fill="auto"/>
            <w:vAlign w:val="bottom"/>
            <w:hideMark/>
          </w:tcPr>
          <w:p w14:paraId="5EA740C3" w14:textId="77777777" w:rsidR="00B20FD4" w:rsidRPr="0037558D" w:rsidRDefault="00B20FD4" w:rsidP="001D01C3">
            <w:pPr>
              <w:rPr>
                <w:rFonts w:cs="Arial"/>
                <w:color w:val="000000"/>
                <w:sz w:val="22"/>
                <w:szCs w:val="22"/>
                <w:lang w:eastAsia="en-AU"/>
              </w:rPr>
            </w:pPr>
            <w:r>
              <w:rPr>
                <w:rFonts w:cs="Arial"/>
                <w:color w:val="000000"/>
                <w:sz w:val="22"/>
                <w:szCs w:val="22"/>
                <w:lang w:eastAsia="en-AU"/>
              </w:rPr>
              <w:t>Net i</w:t>
            </w:r>
            <w:r w:rsidRPr="0037558D">
              <w:rPr>
                <w:rFonts w:cs="Arial"/>
                <w:color w:val="000000"/>
                <w:sz w:val="22"/>
                <w:szCs w:val="22"/>
                <w:lang w:eastAsia="en-AU"/>
              </w:rPr>
              <w:t xml:space="preserve">mpairment </w:t>
            </w:r>
            <w:r>
              <w:rPr>
                <w:rFonts w:cs="Arial"/>
                <w:color w:val="000000"/>
                <w:sz w:val="22"/>
                <w:szCs w:val="22"/>
                <w:lang w:eastAsia="en-AU"/>
              </w:rPr>
              <w:t xml:space="preserve">expense </w:t>
            </w:r>
          </w:p>
        </w:tc>
        <w:tc>
          <w:tcPr>
            <w:tcW w:w="1323" w:type="dxa"/>
            <w:tcBorders>
              <w:top w:val="nil"/>
              <w:left w:val="nil"/>
              <w:bottom w:val="nil"/>
              <w:right w:val="nil"/>
            </w:tcBorders>
            <w:shd w:val="clear" w:color="000000" w:fill="BFBFBF" w:themeFill="background1" w:themeFillShade="BF"/>
            <w:vAlign w:val="bottom"/>
          </w:tcPr>
          <w:p w14:paraId="5EA740C5" w14:textId="77777777" w:rsidR="00B20FD4" w:rsidRPr="0037558D" w:rsidRDefault="00B20FD4" w:rsidP="00C30368">
            <w:pPr>
              <w:jc w:val="right"/>
              <w:rPr>
                <w:rFonts w:cs="Arial"/>
                <w:color w:val="000000"/>
                <w:sz w:val="22"/>
                <w:szCs w:val="22"/>
                <w:lang w:eastAsia="en-AU"/>
              </w:rPr>
            </w:pPr>
            <w:r>
              <w:rPr>
                <w:rFonts w:cs="Arial"/>
                <w:color w:val="000000"/>
                <w:sz w:val="22"/>
                <w:szCs w:val="22"/>
                <w:lang w:eastAsia="en-AU"/>
              </w:rPr>
              <w:t>697</w:t>
            </w:r>
          </w:p>
        </w:tc>
        <w:tc>
          <w:tcPr>
            <w:tcW w:w="1324" w:type="dxa"/>
            <w:tcBorders>
              <w:top w:val="nil"/>
              <w:left w:val="nil"/>
              <w:bottom w:val="nil"/>
              <w:right w:val="nil"/>
            </w:tcBorders>
            <w:shd w:val="clear" w:color="auto" w:fill="auto"/>
            <w:vAlign w:val="bottom"/>
            <w:hideMark/>
          </w:tcPr>
          <w:p w14:paraId="5EA740C6" w14:textId="77777777" w:rsidR="00B20FD4" w:rsidRPr="0037558D" w:rsidRDefault="00B20FD4" w:rsidP="0037558D">
            <w:pPr>
              <w:jc w:val="right"/>
              <w:rPr>
                <w:rFonts w:cs="Arial"/>
                <w:color w:val="000000"/>
                <w:sz w:val="22"/>
                <w:szCs w:val="22"/>
                <w:lang w:eastAsia="en-AU"/>
              </w:rPr>
            </w:pPr>
            <w:r>
              <w:rPr>
                <w:rFonts w:cs="Arial"/>
                <w:color w:val="000000"/>
                <w:sz w:val="22"/>
                <w:szCs w:val="22"/>
                <w:lang w:eastAsia="en-AU"/>
              </w:rPr>
              <w:t>219</w:t>
            </w:r>
          </w:p>
        </w:tc>
      </w:tr>
      <w:tr w:rsidR="00B20FD4" w:rsidRPr="0037558D" w14:paraId="5EA740CC" w14:textId="77777777" w:rsidTr="00B20FD4">
        <w:trPr>
          <w:trHeight w:val="365"/>
        </w:trPr>
        <w:tc>
          <w:tcPr>
            <w:tcW w:w="6222" w:type="dxa"/>
            <w:tcBorders>
              <w:top w:val="nil"/>
              <w:left w:val="nil"/>
              <w:bottom w:val="nil"/>
              <w:right w:val="nil"/>
            </w:tcBorders>
            <w:shd w:val="clear" w:color="auto" w:fill="auto"/>
            <w:vAlign w:val="bottom"/>
            <w:hideMark/>
          </w:tcPr>
          <w:p w14:paraId="5EA740C8" w14:textId="7820F668" w:rsidR="00B20FD4" w:rsidRPr="0037558D" w:rsidRDefault="00B20FD4">
            <w:pPr>
              <w:rPr>
                <w:rFonts w:cs="Arial"/>
                <w:color w:val="000000"/>
                <w:sz w:val="22"/>
                <w:szCs w:val="22"/>
                <w:lang w:eastAsia="en-AU"/>
              </w:rPr>
            </w:pPr>
            <w:r>
              <w:rPr>
                <w:rFonts w:cs="Arial"/>
                <w:color w:val="000000"/>
                <w:sz w:val="22"/>
                <w:szCs w:val="22"/>
                <w:lang w:eastAsia="en-AU"/>
              </w:rPr>
              <w:t>Net g</w:t>
            </w:r>
            <w:r w:rsidRPr="0037558D">
              <w:rPr>
                <w:rFonts w:cs="Arial"/>
                <w:color w:val="000000"/>
                <w:sz w:val="22"/>
                <w:szCs w:val="22"/>
                <w:lang w:eastAsia="en-AU"/>
              </w:rPr>
              <w:t>ain on disposal of assets</w:t>
            </w:r>
          </w:p>
        </w:tc>
        <w:tc>
          <w:tcPr>
            <w:tcW w:w="1323" w:type="dxa"/>
            <w:tcBorders>
              <w:top w:val="nil"/>
              <w:left w:val="nil"/>
              <w:bottom w:val="nil"/>
              <w:right w:val="nil"/>
            </w:tcBorders>
            <w:shd w:val="clear" w:color="000000" w:fill="BFBFBF" w:themeFill="background1" w:themeFillShade="BF"/>
            <w:vAlign w:val="bottom"/>
          </w:tcPr>
          <w:p w14:paraId="5EA740CA" w14:textId="77777777" w:rsidR="00B20FD4" w:rsidRPr="0037558D" w:rsidRDefault="00B20FD4" w:rsidP="00A63D1B">
            <w:pPr>
              <w:jc w:val="right"/>
              <w:rPr>
                <w:rFonts w:cs="Arial"/>
                <w:color w:val="000000"/>
                <w:sz w:val="22"/>
                <w:szCs w:val="22"/>
                <w:lang w:eastAsia="en-AU"/>
              </w:rPr>
            </w:pPr>
            <w:r>
              <w:rPr>
                <w:rFonts w:cs="Arial"/>
                <w:color w:val="000000"/>
                <w:sz w:val="22"/>
                <w:szCs w:val="22"/>
                <w:lang w:eastAsia="en-AU"/>
              </w:rPr>
              <w:t>(6,234)</w:t>
            </w:r>
          </w:p>
        </w:tc>
        <w:tc>
          <w:tcPr>
            <w:tcW w:w="1324" w:type="dxa"/>
            <w:tcBorders>
              <w:top w:val="nil"/>
              <w:left w:val="nil"/>
              <w:bottom w:val="nil"/>
              <w:right w:val="nil"/>
            </w:tcBorders>
            <w:shd w:val="clear" w:color="auto" w:fill="auto"/>
            <w:vAlign w:val="bottom"/>
            <w:hideMark/>
          </w:tcPr>
          <w:p w14:paraId="5EA740CB" w14:textId="77777777" w:rsidR="00B20FD4" w:rsidRPr="0037558D" w:rsidRDefault="00B20FD4" w:rsidP="0037558D">
            <w:pPr>
              <w:jc w:val="right"/>
              <w:rPr>
                <w:rFonts w:cs="Arial"/>
                <w:color w:val="000000"/>
                <w:sz w:val="22"/>
                <w:szCs w:val="22"/>
                <w:lang w:eastAsia="en-AU"/>
              </w:rPr>
            </w:pPr>
            <w:r w:rsidRPr="0037558D">
              <w:rPr>
                <w:rFonts w:cs="Arial"/>
                <w:color w:val="000000"/>
                <w:sz w:val="22"/>
                <w:szCs w:val="22"/>
                <w:lang w:eastAsia="en-AU"/>
              </w:rPr>
              <w:t>(5,580)</w:t>
            </w:r>
          </w:p>
        </w:tc>
      </w:tr>
      <w:tr w:rsidR="00B20FD4" w:rsidRPr="0037558D" w14:paraId="5EA740D1" w14:textId="77777777" w:rsidTr="00B20FD4">
        <w:trPr>
          <w:trHeight w:val="365"/>
        </w:trPr>
        <w:tc>
          <w:tcPr>
            <w:tcW w:w="6222" w:type="dxa"/>
            <w:tcBorders>
              <w:top w:val="nil"/>
              <w:left w:val="nil"/>
              <w:bottom w:val="nil"/>
              <w:right w:val="nil"/>
            </w:tcBorders>
            <w:shd w:val="clear" w:color="auto" w:fill="auto"/>
            <w:vAlign w:val="bottom"/>
            <w:hideMark/>
          </w:tcPr>
          <w:p w14:paraId="5EA740CD" w14:textId="77777777" w:rsidR="00B20FD4" w:rsidRPr="0037558D" w:rsidRDefault="00B20FD4" w:rsidP="0037558D">
            <w:pPr>
              <w:rPr>
                <w:rFonts w:cs="Arial"/>
                <w:color w:val="000000"/>
                <w:sz w:val="22"/>
                <w:szCs w:val="22"/>
                <w:lang w:eastAsia="en-AU"/>
              </w:rPr>
            </w:pPr>
            <w:r w:rsidRPr="0037558D">
              <w:rPr>
                <w:rFonts w:cs="Arial"/>
                <w:color w:val="000000"/>
                <w:sz w:val="22"/>
                <w:szCs w:val="22"/>
                <w:lang w:eastAsia="en-AU"/>
              </w:rPr>
              <w:t>Non-cash bequest of shares</w:t>
            </w:r>
          </w:p>
        </w:tc>
        <w:tc>
          <w:tcPr>
            <w:tcW w:w="1323" w:type="dxa"/>
            <w:tcBorders>
              <w:top w:val="nil"/>
              <w:left w:val="nil"/>
              <w:bottom w:val="nil"/>
              <w:right w:val="nil"/>
            </w:tcBorders>
            <w:shd w:val="clear" w:color="000000" w:fill="BFBFBF" w:themeFill="background1" w:themeFillShade="BF"/>
            <w:vAlign w:val="bottom"/>
          </w:tcPr>
          <w:p w14:paraId="5EA740CF" w14:textId="77777777" w:rsidR="00B20FD4" w:rsidRPr="0037558D" w:rsidRDefault="00B20FD4" w:rsidP="0037558D">
            <w:pPr>
              <w:jc w:val="right"/>
              <w:rPr>
                <w:rFonts w:cs="Arial"/>
                <w:color w:val="000000"/>
                <w:sz w:val="22"/>
                <w:szCs w:val="22"/>
                <w:lang w:eastAsia="en-AU"/>
              </w:rPr>
            </w:pPr>
            <w:r>
              <w:rPr>
                <w:rFonts w:cs="Arial"/>
                <w:color w:val="000000"/>
                <w:sz w:val="22"/>
                <w:szCs w:val="22"/>
                <w:lang w:eastAsia="en-AU"/>
              </w:rPr>
              <w:t>(372)</w:t>
            </w:r>
          </w:p>
        </w:tc>
        <w:tc>
          <w:tcPr>
            <w:tcW w:w="1324" w:type="dxa"/>
            <w:tcBorders>
              <w:top w:val="nil"/>
              <w:left w:val="nil"/>
              <w:bottom w:val="nil"/>
              <w:right w:val="nil"/>
            </w:tcBorders>
            <w:shd w:val="clear" w:color="auto" w:fill="auto"/>
            <w:vAlign w:val="bottom"/>
            <w:hideMark/>
          </w:tcPr>
          <w:p w14:paraId="5EA740D0" w14:textId="77777777" w:rsidR="00B20FD4" w:rsidRPr="0037558D" w:rsidRDefault="00B20FD4" w:rsidP="0037558D">
            <w:pPr>
              <w:jc w:val="right"/>
              <w:rPr>
                <w:rFonts w:cs="Arial"/>
                <w:color w:val="000000"/>
                <w:sz w:val="22"/>
                <w:szCs w:val="22"/>
                <w:lang w:eastAsia="en-AU"/>
              </w:rPr>
            </w:pPr>
            <w:r w:rsidRPr="0037558D">
              <w:rPr>
                <w:rFonts w:cs="Arial"/>
                <w:color w:val="000000"/>
                <w:sz w:val="22"/>
                <w:szCs w:val="22"/>
                <w:lang w:eastAsia="en-AU"/>
              </w:rPr>
              <w:t>(17)</w:t>
            </w:r>
          </w:p>
        </w:tc>
      </w:tr>
      <w:tr w:rsidR="00B20FD4" w:rsidRPr="0037558D" w14:paraId="5EA740D6" w14:textId="77777777" w:rsidTr="00B20FD4">
        <w:trPr>
          <w:trHeight w:val="365"/>
        </w:trPr>
        <w:tc>
          <w:tcPr>
            <w:tcW w:w="6222" w:type="dxa"/>
            <w:tcBorders>
              <w:top w:val="nil"/>
              <w:left w:val="nil"/>
              <w:bottom w:val="nil"/>
              <w:right w:val="nil"/>
            </w:tcBorders>
            <w:shd w:val="clear" w:color="auto" w:fill="auto"/>
            <w:vAlign w:val="bottom"/>
            <w:hideMark/>
          </w:tcPr>
          <w:p w14:paraId="5EA740D2" w14:textId="77777777" w:rsidR="00B20FD4" w:rsidRPr="0037558D" w:rsidRDefault="00B20FD4" w:rsidP="00FB7FCD">
            <w:pPr>
              <w:rPr>
                <w:rFonts w:cs="Arial"/>
                <w:color w:val="000000"/>
                <w:sz w:val="22"/>
                <w:szCs w:val="22"/>
                <w:lang w:eastAsia="en-AU"/>
              </w:rPr>
            </w:pPr>
            <w:r w:rsidRPr="0037558D">
              <w:rPr>
                <w:rFonts w:cs="Arial"/>
                <w:color w:val="000000"/>
                <w:sz w:val="22"/>
                <w:szCs w:val="22"/>
                <w:lang w:eastAsia="en-AU"/>
              </w:rPr>
              <w:t>(Increase) in provision for employee benefits</w:t>
            </w:r>
          </w:p>
        </w:tc>
        <w:tc>
          <w:tcPr>
            <w:tcW w:w="1323" w:type="dxa"/>
            <w:tcBorders>
              <w:top w:val="nil"/>
              <w:left w:val="nil"/>
              <w:bottom w:val="nil"/>
              <w:right w:val="nil"/>
            </w:tcBorders>
            <w:shd w:val="clear" w:color="000000" w:fill="BFBFBF" w:themeFill="background1" w:themeFillShade="BF"/>
            <w:vAlign w:val="bottom"/>
          </w:tcPr>
          <w:p w14:paraId="5EA740D4" w14:textId="77777777" w:rsidR="00B20FD4" w:rsidRPr="0037558D" w:rsidRDefault="00B20FD4" w:rsidP="0037558D">
            <w:pPr>
              <w:jc w:val="right"/>
              <w:rPr>
                <w:rFonts w:cs="Arial"/>
                <w:color w:val="000000"/>
                <w:sz w:val="22"/>
                <w:szCs w:val="22"/>
                <w:lang w:eastAsia="en-AU"/>
              </w:rPr>
            </w:pPr>
            <w:r>
              <w:rPr>
                <w:rFonts w:cs="Arial"/>
                <w:color w:val="000000"/>
                <w:sz w:val="22"/>
                <w:szCs w:val="22"/>
                <w:lang w:eastAsia="en-AU"/>
              </w:rPr>
              <w:t>(956)</w:t>
            </w:r>
          </w:p>
        </w:tc>
        <w:tc>
          <w:tcPr>
            <w:tcW w:w="1324" w:type="dxa"/>
            <w:tcBorders>
              <w:top w:val="nil"/>
              <w:left w:val="nil"/>
              <w:bottom w:val="nil"/>
              <w:right w:val="nil"/>
            </w:tcBorders>
            <w:shd w:val="clear" w:color="auto" w:fill="auto"/>
            <w:vAlign w:val="bottom"/>
            <w:hideMark/>
          </w:tcPr>
          <w:p w14:paraId="5EA740D5" w14:textId="77777777" w:rsidR="00B20FD4" w:rsidRPr="0037558D" w:rsidRDefault="00B20FD4" w:rsidP="0037558D">
            <w:pPr>
              <w:jc w:val="right"/>
              <w:rPr>
                <w:rFonts w:cs="Arial"/>
                <w:color w:val="000000"/>
                <w:sz w:val="22"/>
                <w:szCs w:val="22"/>
                <w:lang w:eastAsia="en-AU"/>
              </w:rPr>
            </w:pPr>
            <w:r w:rsidRPr="0037558D">
              <w:rPr>
                <w:rFonts w:cs="Arial"/>
                <w:color w:val="000000"/>
                <w:sz w:val="22"/>
                <w:szCs w:val="22"/>
                <w:lang w:eastAsia="en-AU"/>
              </w:rPr>
              <w:t>(378)</w:t>
            </w:r>
          </w:p>
        </w:tc>
      </w:tr>
      <w:tr w:rsidR="00B20FD4" w:rsidRPr="0037558D" w14:paraId="5EA740DB" w14:textId="77777777" w:rsidTr="00B20FD4">
        <w:trPr>
          <w:trHeight w:val="365"/>
        </w:trPr>
        <w:tc>
          <w:tcPr>
            <w:tcW w:w="6222" w:type="dxa"/>
            <w:tcBorders>
              <w:top w:val="nil"/>
              <w:left w:val="nil"/>
              <w:bottom w:val="nil"/>
              <w:right w:val="nil"/>
            </w:tcBorders>
            <w:shd w:val="clear" w:color="auto" w:fill="auto"/>
            <w:vAlign w:val="bottom"/>
            <w:hideMark/>
          </w:tcPr>
          <w:p w14:paraId="5EA740D7" w14:textId="77777777" w:rsidR="00B20FD4" w:rsidRPr="0037558D" w:rsidRDefault="00B20FD4" w:rsidP="006715DB">
            <w:pPr>
              <w:rPr>
                <w:rFonts w:cs="Arial"/>
                <w:color w:val="000000"/>
                <w:sz w:val="22"/>
                <w:szCs w:val="22"/>
                <w:lang w:eastAsia="en-AU"/>
              </w:rPr>
            </w:pPr>
            <w:r>
              <w:rPr>
                <w:rFonts w:cs="Arial"/>
                <w:color w:val="000000"/>
                <w:sz w:val="22"/>
                <w:szCs w:val="22"/>
                <w:lang w:eastAsia="en-AU"/>
              </w:rPr>
              <w:t>D</w:t>
            </w:r>
            <w:r w:rsidRPr="0037558D">
              <w:rPr>
                <w:rFonts w:cs="Arial"/>
                <w:color w:val="000000"/>
                <w:sz w:val="22"/>
                <w:szCs w:val="22"/>
                <w:lang w:eastAsia="en-AU"/>
              </w:rPr>
              <w:t>ecrease in trade receivables and sundry debtors</w:t>
            </w:r>
          </w:p>
        </w:tc>
        <w:tc>
          <w:tcPr>
            <w:tcW w:w="1323" w:type="dxa"/>
            <w:tcBorders>
              <w:top w:val="nil"/>
              <w:left w:val="nil"/>
              <w:bottom w:val="nil"/>
              <w:right w:val="nil"/>
            </w:tcBorders>
            <w:shd w:val="clear" w:color="000000" w:fill="BFBFBF" w:themeFill="background1" w:themeFillShade="BF"/>
            <w:vAlign w:val="bottom"/>
          </w:tcPr>
          <w:p w14:paraId="5EA740D9" w14:textId="08894E0B" w:rsidR="00B20FD4" w:rsidRPr="0037558D" w:rsidRDefault="00B20FD4">
            <w:pPr>
              <w:jc w:val="right"/>
              <w:rPr>
                <w:rFonts w:cs="Arial"/>
                <w:color w:val="000000"/>
                <w:sz w:val="22"/>
                <w:szCs w:val="22"/>
                <w:lang w:eastAsia="en-AU"/>
              </w:rPr>
            </w:pPr>
            <w:r>
              <w:rPr>
                <w:rFonts w:cs="Arial"/>
                <w:color w:val="000000"/>
                <w:sz w:val="22"/>
                <w:szCs w:val="22"/>
                <w:lang w:eastAsia="en-AU"/>
              </w:rPr>
              <w:t>123</w:t>
            </w:r>
          </w:p>
        </w:tc>
        <w:tc>
          <w:tcPr>
            <w:tcW w:w="1324" w:type="dxa"/>
            <w:tcBorders>
              <w:top w:val="nil"/>
              <w:left w:val="nil"/>
              <w:bottom w:val="nil"/>
              <w:right w:val="nil"/>
            </w:tcBorders>
            <w:shd w:val="clear" w:color="auto" w:fill="auto"/>
            <w:vAlign w:val="bottom"/>
            <w:hideMark/>
          </w:tcPr>
          <w:p w14:paraId="5EA740DA" w14:textId="77777777" w:rsidR="00B20FD4" w:rsidRPr="0037558D" w:rsidRDefault="00B20FD4" w:rsidP="0037558D">
            <w:pPr>
              <w:jc w:val="right"/>
              <w:rPr>
                <w:rFonts w:cs="Arial"/>
                <w:color w:val="000000"/>
                <w:sz w:val="22"/>
                <w:szCs w:val="22"/>
                <w:lang w:eastAsia="en-AU"/>
              </w:rPr>
            </w:pPr>
            <w:r>
              <w:rPr>
                <w:rFonts w:cs="Arial"/>
                <w:color w:val="000000"/>
                <w:sz w:val="22"/>
                <w:szCs w:val="22"/>
                <w:lang w:eastAsia="en-AU"/>
              </w:rPr>
              <w:t>695</w:t>
            </w:r>
          </w:p>
        </w:tc>
      </w:tr>
      <w:tr w:rsidR="00B20FD4" w:rsidRPr="0037558D" w14:paraId="5EA740E0" w14:textId="77777777" w:rsidTr="00B20FD4">
        <w:trPr>
          <w:trHeight w:val="365"/>
        </w:trPr>
        <w:tc>
          <w:tcPr>
            <w:tcW w:w="6222" w:type="dxa"/>
            <w:tcBorders>
              <w:top w:val="nil"/>
              <w:left w:val="nil"/>
              <w:bottom w:val="nil"/>
              <w:right w:val="nil"/>
            </w:tcBorders>
            <w:shd w:val="clear" w:color="auto" w:fill="auto"/>
            <w:vAlign w:val="bottom"/>
            <w:hideMark/>
          </w:tcPr>
          <w:p w14:paraId="5EA740DC" w14:textId="77777777" w:rsidR="00B20FD4" w:rsidRPr="0037558D" w:rsidRDefault="00B20FD4" w:rsidP="00F9396E">
            <w:pPr>
              <w:rPr>
                <w:rFonts w:cs="Arial"/>
                <w:color w:val="000000"/>
                <w:sz w:val="22"/>
                <w:szCs w:val="22"/>
                <w:lang w:eastAsia="en-AU"/>
              </w:rPr>
            </w:pPr>
            <w:r w:rsidRPr="0037558D">
              <w:rPr>
                <w:rFonts w:cs="Arial"/>
                <w:color w:val="000000"/>
                <w:sz w:val="22"/>
                <w:szCs w:val="22"/>
                <w:lang w:eastAsia="en-AU"/>
              </w:rPr>
              <w:t>Decrease in other current assets</w:t>
            </w:r>
          </w:p>
        </w:tc>
        <w:tc>
          <w:tcPr>
            <w:tcW w:w="1323" w:type="dxa"/>
            <w:tcBorders>
              <w:top w:val="nil"/>
              <w:left w:val="nil"/>
              <w:bottom w:val="nil"/>
              <w:right w:val="nil"/>
            </w:tcBorders>
            <w:shd w:val="clear" w:color="000000" w:fill="BFBFBF" w:themeFill="background1" w:themeFillShade="BF"/>
            <w:vAlign w:val="bottom"/>
          </w:tcPr>
          <w:p w14:paraId="5EA740DE" w14:textId="77777777" w:rsidR="00B20FD4" w:rsidRPr="0037558D" w:rsidRDefault="00B20FD4" w:rsidP="00A63D1B">
            <w:pPr>
              <w:jc w:val="right"/>
              <w:rPr>
                <w:rFonts w:cs="Arial"/>
                <w:color w:val="000000"/>
                <w:sz w:val="22"/>
                <w:szCs w:val="22"/>
                <w:lang w:eastAsia="en-AU"/>
              </w:rPr>
            </w:pPr>
            <w:r>
              <w:rPr>
                <w:rFonts w:cs="Arial"/>
                <w:color w:val="000000"/>
                <w:sz w:val="22"/>
                <w:szCs w:val="22"/>
                <w:lang w:eastAsia="en-AU"/>
              </w:rPr>
              <w:t>202</w:t>
            </w:r>
          </w:p>
        </w:tc>
        <w:tc>
          <w:tcPr>
            <w:tcW w:w="1324" w:type="dxa"/>
            <w:tcBorders>
              <w:top w:val="nil"/>
              <w:left w:val="nil"/>
              <w:bottom w:val="nil"/>
              <w:right w:val="nil"/>
            </w:tcBorders>
            <w:shd w:val="clear" w:color="auto" w:fill="auto"/>
            <w:vAlign w:val="bottom"/>
            <w:hideMark/>
          </w:tcPr>
          <w:p w14:paraId="5EA740DF" w14:textId="77777777" w:rsidR="00B20FD4" w:rsidRPr="0037558D" w:rsidRDefault="00B20FD4" w:rsidP="0037558D">
            <w:pPr>
              <w:jc w:val="right"/>
              <w:rPr>
                <w:rFonts w:cs="Arial"/>
                <w:color w:val="000000"/>
                <w:sz w:val="22"/>
                <w:szCs w:val="22"/>
                <w:lang w:eastAsia="en-AU"/>
              </w:rPr>
            </w:pPr>
            <w:r w:rsidRPr="0037558D">
              <w:rPr>
                <w:rFonts w:cs="Arial"/>
                <w:color w:val="000000"/>
                <w:sz w:val="22"/>
                <w:szCs w:val="22"/>
                <w:lang w:eastAsia="en-AU"/>
              </w:rPr>
              <w:t>179</w:t>
            </w:r>
          </w:p>
        </w:tc>
      </w:tr>
      <w:tr w:rsidR="00B20FD4" w:rsidRPr="0037558D" w14:paraId="5EA740E5" w14:textId="77777777" w:rsidTr="00B20FD4">
        <w:trPr>
          <w:trHeight w:val="365"/>
        </w:trPr>
        <w:tc>
          <w:tcPr>
            <w:tcW w:w="6222" w:type="dxa"/>
            <w:tcBorders>
              <w:top w:val="nil"/>
              <w:left w:val="nil"/>
              <w:bottom w:val="nil"/>
              <w:right w:val="nil"/>
            </w:tcBorders>
            <w:shd w:val="clear" w:color="auto" w:fill="auto"/>
            <w:vAlign w:val="bottom"/>
            <w:hideMark/>
          </w:tcPr>
          <w:p w14:paraId="5EA740E1" w14:textId="77777777" w:rsidR="00B20FD4" w:rsidRPr="0037558D" w:rsidRDefault="00B20FD4" w:rsidP="00FB7FCD">
            <w:pPr>
              <w:rPr>
                <w:rFonts w:cs="Arial"/>
                <w:color w:val="000000"/>
                <w:sz w:val="22"/>
                <w:szCs w:val="22"/>
                <w:lang w:eastAsia="en-AU"/>
              </w:rPr>
            </w:pPr>
            <w:r>
              <w:rPr>
                <w:rFonts w:cs="Arial"/>
                <w:color w:val="000000"/>
                <w:sz w:val="22"/>
                <w:szCs w:val="22"/>
                <w:lang w:eastAsia="en-AU"/>
              </w:rPr>
              <w:t>Decrease / (In</w:t>
            </w:r>
            <w:r w:rsidRPr="0037558D">
              <w:rPr>
                <w:rFonts w:cs="Arial"/>
                <w:color w:val="000000"/>
                <w:sz w:val="22"/>
                <w:szCs w:val="22"/>
                <w:lang w:eastAsia="en-AU"/>
              </w:rPr>
              <w:t>crease</w:t>
            </w:r>
            <w:r>
              <w:rPr>
                <w:rFonts w:cs="Arial"/>
                <w:color w:val="000000"/>
                <w:sz w:val="22"/>
                <w:szCs w:val="22"/>
                <w:lang w:eastAsia="en-AU"/>
              </w:rPr>
              <w:t>)</w:t>
            </w:r>
            <w:r w:rsidRPr="0037558D">
              <w:rPr>
                <w:rFonts w:cs="Arial"/>
                <w:color w:val="000000"/>
                <w:sz w:val="22"/>
                <w:szCs w:val="22"/>
                <w:lang w:eastAsia="en-AU"/>
              </w:rPr>
              <w:t xml:space="preserve"> in inventories</w:t>
            </w:r>
          </w:p>
        </w:tc>
        <w:tc>
          <w:tcPr>
            <w:tcW w:w="1323" w:type="dxa"/>
            <w:tcBorders>
              <w:top w:val="nil"/>
              <w:left w:val="nil"/>
              <w:bottom w:val="nil"/>
              <w:right w:val="nil"/>
            </w:tcBorders>
            <w:shd w:val="clear" w:color="000000" w:fill="BFBFBF" w:themeFill="background1" w:themeFillShade="BF"/>
            <w:vAlign w:val="bottom"/>
          </w:tcPr>
          <w:p w14:paraId="5EA740E3" w14:textId="77777777" w:rsidR="00B20FD4" w:rsidRPr="0037558D" w:rsidRDefault="00B20FD4" w:rsidP="0037558D">
            <w:pPr>
              <w:jc w:val="right"/>
              <w:rPr>
                <w:rFonts w:cs="Arial"/>
                <w:color w:val="000000"/>
                <w:sz w:val="22"/>
                <w:szCs w:val="22"/>
                <w:lang w:eastAsia="en-AU"/>
              </w:rPr>
            </w:pPr>
            <w:r>
              <w:rPr>
                <w:rFonts w:cs="Arial"/>
                <w:color w:val="000000"/>
                <w:sz w:val="22"/>
                <w:szCs w:val="22"/>
                <w:lang w:eastAsia="en-AU"/>
              </w:rPr>
              <w:t>197</w:t>
            </w:r>
          </w:p>
        </w:tc>
        <w:tc>
          <w:tcPr>
            <w:tcW w:w="1324" w:type="dxa"/>
            <w:tcBorders>
              <w:top w:val="nil"/>
              <w:left w:val="nil"/>
              <w:bottom w:val="nil"/>
              <w:right w:val="nil"/>
            </w:tcBorders>
            <w:shd w:val="clear" w:color="auto" w:fill="auto"/>
            <w:vAlign w:val="bottom"/>
            <w:hideMark/>
          </w:tcPr>
          <w:p w14:paraId="5EA740E4" w14:textId="77777777" w:rsidR="00B20FD4" w:rsidRPr="0037558D" w:rsidRDefault="00B20FD4" w:rsidP="0037558D">
            <w:pPr>
              <w:jc w:val="right"/>
              <w:rPr>
                <w:rFonts w:cs="Arial"/>
                <w:color w:val="000000"/>
                <w:sz w:val="22"/>
                <w:szCs w:val="22"/>
                <w:lang w:eastAsia="en-AU"/>
              </w:rPr>
            </w:pPr>
            <w:r w:rsidRPr="0037558D">
              <w:rPr>
                <w:rFonts w:cs="Arial"/>
                <w:color w:val="000000"/>
                <w:sz w:val="22"/>
                <w:szCs w:val="22"/>
                <w:lang w:eastAsia="en-AU"/>
              </w:rPr>
              <w:t>(58)</w:t>
            </w:r>
          </w:p>
        </w:tc>
      </w:tr>
      <w:tr w:rsidR="00B20FD4" w:rsidRPr="0037558D" w14:paraId="5EA740EA" w14:textId="77777777" w:rsidTr="00B20FD4">
        <w:trPr>
          <w:trHeight w:val="365"/>
        </w:trPr>
        <w:tc>
          <w:tcPr>
            <w:tcW w:w="6222" w:type="dxa"/>
            <w:tcBorders>
              <w:top w:val="nil"/>
              <w:left w:val="nil"/>
              <w:bottom w:val="nil"/>
              <w:right w:val="nil"/>
            </w:tcBorders>
            <w:shd w:val="clear" w:color="auto" w:fill="auto"/>
            <w:vAlign w:val="bottom"/>
            <w:hideMark/>
          </w:tcPr>
          <w:p w14:paraId="5EA740E6" w14:textId="77777777" w:rsidR="00B20FD4" w:rsidRPr="0037558D" w:rsidRDefault="00B20FD4" w:rsidP="00FB7FCD">
            <w:pPr>
              <w:rPr>
                <w:rFonts w:cs="Arial"/>
                <w:color w:val="000000"/>
                <w:sz w:val="22"/>
                <w:szCs w:val="22"/>
                <w:lang w:eastAsia="en-AU"/>
              </w:rPr>
            </w:pPr>
            <w:r>
              <w:rPr>
                <w:rFonts w:cs="Arial"/>
                <w:color w:val="000000"/>
                <w:sz w:val="22"/>
                <w:szCs w:val="22"/>
                <w:lang w:eastAsia="en-AU"/>
              </w:rPr>
              <w:t>In</w:t>
            </w:r>
            <w:r w:rsidRPr="0037558D">
              <w:rPr>
                <w:rFonts w:cs="Arial"/>
                <w:color w:val="000000"/>
                <w:sz w:val="22"/>
                <w:szCs w:val="22"/>
                <w:lang w:eastAsia="en-AU"/>
              </w:rPr>
              <w:t>crease</w:t>
            </w:r>
            <w:r>
              <w:rPr>
                <w:rFonts w:cs="Arial"/>
                <w:color w:val="000000"/>
                <w:sz w:val="22"/>
                <w:szCs w:val="22"/>
                <w:lang w:eastAsia="en-AU"/>
              </w:rPr>
              <w:t xml:space="preserve"> / (de</w:t>
            </w:r>
            <w:r w:rsidRPr="0037558D">
              <w:rPr>
                <w:rFonts w:cs="Arial"/>
                <w:color w:val="000000"/>
                <w:sz w:val="22"/>
                <w:szCs w:val="22"/>
                <w:lang w:eastAsia="en-AU"/>
              </w:rPr>
              <w:t>crease</w:t>
            </w:r>
            <w:r>
              <w:rPr>
                <w:rFonts w:cs="Arial"/>
                <w:color w:val="000000"/>
                <w:sz w:val="22"/>
                <w:szCs w:val="22"/>
                <w:lang w:eastAsia="en-AU"/>
              </w:rPr>
              <w:t>)</w:t>
            </w:r>
            <w:r w:rsidRPr="0037558D">
              <w:rPr>
                <w:rFonts w:cs="Arial"/>
                <w:color w:val="000000"/>
                <w:sz w:val="22"/>
                <w:szCs w:val="22"/>
                <w:lang w:eastAsia="en-AU"/>
              </w:rPr>
              <w:t xml:space="preserve"> in trade payables and accruals</w:t>
            </w:r>
          </w:p>
        </w:tc>
        <w:tc>
          <w:tcPr>
            <w:tcW w:w="1323" w:type="dxa"/>
            <w:tcBorders>
              <w:top w:val="nil"/>
              <w:left w:val="nil"/>
              <w:bottom w:val="nil"/>
              <w:right w:val="nil"/>
            </w:tcBorders>
            <w:shd w:val="clear" w:color="000000" w:fill="BFBFBF" w:themeFill="background1" w:themeFillShade="BF"/>
            <w:vAlign w:val="bottom"/>
          </w:tcPr>
          <w:p w14:paraId="5EA740E8" w14:textId="57170757" w:rsidR="00B20FD4" w:rsidRPr="0037558D" w:rsidRDefault="00B20FD4" w:rsidP="0037558D">
            <w:pPr>
              <w:jc w:val="right"/>
              <w:rPr>
                <w:rFonts w:cs="Arial"/>
                <w:color w:val="000000"/>
                <w:sz w:val="22"/>
                <w:szCs w:val="22"/>
                <w:lang w:eastAsia="en-AU"/>
              </w:rPr>
            </w:pPr>
            <w:r>
              <w:rPr>
                <w:rFonts w:cs="Arial"/>
                <w:color w:val="000000"/>
                <w:sz w:val="22"/>
                <w:szCs w:val="22"/>
                <w:lang w:eastAsia="en-AU"/>
              </w:rPr>
              <w:t>699</w:t>
            </w:r>
          </w:p>
        </w:tc>
        <w:tc>
          <w:tcPr>
            <w:tcW w:w="1324" w:type="dxa"/>
            <w:tcBorders>
              <w:top w:val="nil"/>
              <w:left w:val="nil"/>
              <w:bottom w:val="nil"/>
              <w:right w:val="nil"/>
            </w:tcBorders>
            <w:shd w:val="clear" w:color="auto" w:fill="auto"/>
            <w:vAlign w:val="bottom"/>
            <w:hideMark/>
          </w:tcPr>
          <w:p w14:paraId="5EA740E9" w14:textId="77777777" w:rsidR="00B20FD4" w:rsidRPr="0037558D" w:rsidRDefault="00B20FD4" w:rsidP="0037558D">
            <w:pPr>
              <w:jc w:val="right"/>
              <w:rPr>
                <w:rFonts w:cs="Arial"/>
                <w:color w:val="000000"/>
                <w:sz w:val="22"/>
                <w:szCs w:val="22"/>
                <w:lang w:eastAsia="en-AU"/>
              </w:rPr>
            </w:pPr>
            <w:r w:rsidRPr="0037558D">
              <w:rPr>
                <w:rFonts w:cs="Arial"/>
                <w:color w:val="000000"/>
                <w:sz w:val="22"/>
                <w:szCs w:val="22"/>
                <w:lang w:eastAsia="en-AU"/>
              </w:rPr>
              <w:t>(146)</w:t>
            </w:r>
          </w:p>
        </w:tc>
      </w:tr>
      <w:tr w:rsidR="00B20FD4" w:rsidRPr="0037558D" w14:paraId="5EA740EF" w14:textId="77777777" w:rsidTr="00B20FD4">
        <w:trPr>
          <w:trHeight w:val="365"/>
        </w:trPr>
        <w:tc>
          <w:tcPr>
            <w:tcW w:w="6222" w:type="dxa"/>
            <w:tcBorders>
              <w:top w:val="nil"/>
              <w:left w:val="nil"/>
              <w:bottom w:val="nil"/>
              <w:right w:val="nil"/>
            </w:tcBorders>
            <w:shd w:val="clear" w:color="auto" w:fill="auto"/>
            <w:vAlign w:val="bottom"/>
            <w:hideMark/>
          </w:tcPr>
          <w:p w14:paraId="5EA740EB" w14:textId="77777777" w:rsidR="00B20FD4" w:rsidRPr="0037558D" w:rsidRDefault="00B20FD4" w:rsidP="006715DB">
            <w:pPr>
              <w:rPr>
                <w:rFonts w:cs="Arial"/>
                <w:color w:val="000000"/>
                <w:sz w:val="22"/>
                <w:szCs w:val="22"/>
                <w:lang w:eastAsia="en-AU"/>
              </w:rPr>
            </w:pPr>
            <w:r>
              <w:rPr>
                <w:rFonts w:cs="Arial"/>
                <w:color w:val="000000"/>
                <w:sz w:val="22"/>
                <w:szCs w:val="22"/>
                <w:lang w:eastAsia="en-AU"/>
              </w:rPr>
              <w:t>(Decrease)</w:t>
            </w:r>
            <w:r w:rsidRPr="0037558D">
              <w:rPr>
                <w:rFonts w:cs="Arial"/>
                <w:color w:val="000000"/>
                <w:sz w:val="22"/>
                <w:szCs w:val="22"/>
                <w:lang w:eastAsia="en-AU"/>
              </w:rPr>
              <w:t xml:space="preserve"> in income in advance</w:t>
            </w:r>
          </w:p>
        </w:tc>
        <w:tc>
          <w:tcPr>
            <w:tcW w:w="1323" w:type="dxa"/>
            <w:tcBorders>
              <w:top w:val="nil"/>
              <w:left w:val="nil"/>
              <w:bottom w:val="nil"/>
              <w:right w:val="nil"/>
            </w:tcBorders>
            <w:shd w:val="clear" w:color="000000" w:fill="BFBFBF" w:themeFill="background1" w:themeFillShade="BF"/>
            <w:vAlign w:val="bottom"/>
          </w:tcPr>
          <w:p w14:paraId="5EA740ED" w14:textId="77777777" w:rsidR="00B20FD4" w:rsidRPr="0037558D" w:rsidRDefault="00B20FD4" w:rsidP="0037558D">
            <w:pPr>
              <w:jc w:val="right"/>
              <w:rPr>
                <w:rFonts w:cs="Arial"/>
                <w:color w:val="000000"/>
                <w:sz w:val="22"/>
                <w:szCs w:val="22"/>
                <w:lang w:eastAsia="en-AU"/>
              </w:rPr>
            </w:pPr>
            <w:r>
              <w:rPr>
                <w:rFonts w:cs="Arial"/>
                <w:color w:val="000000"/>
                <w:sz w:val="22"/>
                <w:szCs w:val="22"/>
                <w:lang w:eastAsia="en-AU"/>
              </w:rPr>
              <w:t>(608)</w:t>
            </w:r>
          </w:p>
        </w:tc>
        <w:tc>
          <w:tcPr>
            <w:tcW w:w="1324" w:type="dxa"/>
            <w:tcBorders>
              <w:top w:val="nil"/>
              <w:left w:val="nil"/>
              <w:bottom w:val="nil"/>
              <w:right w:val="nil"/>
            </w:tcBorders>
            <w:shd w:val="clear" w:color="auto" w:fill="auto"/>
            <w:vAlign w:val="bottom"/>
            <w:hideMark/>
          </w:tcPr>
          <w:p w14:paraId="5EA740EE" w14:textId="77777777" w:rsidR="00B20FD4" w:rsidRPr="0037558D" w:rsidRDefault="00B20FD4" w:rsidP="0037558D">
            <w:pPr>
              <w:jc w:val="right"/>
              <w:rPr>
                <w:rFonts w:cs="Arial"/>
                <w:color w:val="000000"/>
                <w:sz w:val="22"/>
                <w:szCs w:val="22"/>
                <w:lang w:eastAsia="en-AU"/>
              </w:rPr>
            </w:pPr>
            <w:r>
              <w:rPr>
                <w:rFonts w:cs="Arial"/>
                <w:color w:val="000000"/>
                <w:sz w:val="22"/>
                <w:szCs w:val="22"/>
                <w:lang w:eastAsia="en-AU"/>
              </w:rPr>
              <w:t>(305</w:t>
            </w:r>
            <w:r w:rsidRPr="0037558D">
              <w:rPr>
                <w:rFonts w:cs="Arial"/>
                <w:color w:val="000000"/>
                <w:sz w:val="22"/>
                <w:szCs w:val="22"/>
                <w:lang w:eastAsia="en-AU"/>
              </w:rPr>
              <w:t>)</w:t>
            </w:r>
          </w:p>
        </w:tc>
      </w:tr>
      <w:tr w:rsidR="00B20FD4" w:rsidRPr="0037558D" w14:paraId="5EA740F4" w14:textId="77777777" w:rsidTr="00B20FD4">
        <w:trPr>
          <w:trHeight w:val="555"/>
        </w:trPr>
        <w:tc>
          <w:tcPr>
            <w:tcW w:w="6222" w:type="dxa"/>
            <w:tcBorders>
              <w:top w:val="nil"/>
              <w:left w:val="nil"/>
              <w:bottom w:val="nil"/>
              <w:right w:val="nil"/>
            </w:tcBorders>
            <w:shd w:val="clear" w:color="auto" w:fill="auto"/>
            <w:vAlign w:val="bottom"/>
            <w:hideMark/>
          </w:tcPr>
          <w:p w14:paraId="5EA740F0" w14:textId="77777777" w:rsidR="00B20FD4" w:rsidRPr="0037558D" w:rsidRDefault="00B20FD4" w:rsidP="0037558D">
            <w:pPr>
              <w:rPr>
                <w:rFonts w:cs="Arial"/>
                <w:color w:val="000000"/>
                <w:sz w:val="22"/>
                <w:szCs w:val="22"/>
                <w:lang w:eastAsia="en-AU"/>
              </w:rPr>
            </w:pPr>
            <w:r w:rsidRPr="0037558D">
              <w:rPr>
                <w:rFonts w:cs="Arial"/>
                <w:color w:val="000000"/>
                <w:sz w:val="22"/>
                <w:szCs w:val="22"/>
                <w:lang w:eastAsia="en-AU"/>
              </w:rPr>
              <w:t>Net cash provided by operating activities</w:t>
            </w:r>
          </w:p>
        </w:tc>
        <w:tc>
          <w:tcPr>
            <w:tcW w:w="1323" w:type="dxa"/>
            <w:tcBorders>
              <w:top w:val="single" w:sz="12" w:space="0" w:color="auto"/>
              <w:left w:val="nil"/>
              <w:bottom w:val="single" w:sz="12" w:space="0" w:color="auto"/>
              <w:right w:val="nil"/>
            </w:tcBorders>
            <w:shd w:val="clear" w:color="000000" w:fill="BFBFBF" w:themeFill="background1" w:themeFillShade="BF"/>
            <w:vAlign w:val="bottom"/>
          </w:tcPr>
          <w:p w14:paraId="5EA740F2" w14:textId="427DAD05" w:rsidR="00B20FD4" w:rsidRPr="0037558D" w:rsidRDefault="00B20FD4">
            <w:pPr>
              <w:jc w:val="right"/>
              <w:rPr>
                <w:rFonts w:cs="Arial"/>
                <w:color w:val="000000"/>
                <w:sz w:val="22"/>
                <w:szCs w:val="22"/>
                <w:lang w:eastAsia="en-AU"/>
              </w:rPr>
            </w:pPr>
            <w:r>
              <w:rPr>
                <w:rFonts w:cs="Arial"/>
                <w:color w:val="000000"/>
                <w:sz w:val="22"/>
                <w:szCs w:val="22"/>
                <w:lang w:eastAsia="en-AU"/>
              </w:rPr>
              <w:t>7,770</w:t>
            </w:r>
          </w:p>
        </w:tc>
        <w:tc>
          <w:tcPr>
            <w:tcW w:w="1324" w:type="dxa"/>
            <w:tcBorders>
              <w:top w:val="single" w:sz="12" w:space="0" w:color="auto"/>
              <w:left w:val="nil"/>
              <w:bottom w:val="single" w:sz="12" w:space="0" w:color="auto"/>
              <w:right w:val="nil"/>
            </w:tcBorders>
            <w:shd w:val="clear" w:color="auto" w:fill="auto"/>
            <w:vAlign w:val="bottom"/>
            <w:hideMark/>
          </w:tcPr>
          <w:p w14:paraId="5EA740F3" w14:textId="77777777" w:rsidR="00B20FD4" w:rsidRPr="0037558D" w:rsidRDefault="00B20FD4" w:rsidP="00103AED">
            <w:pPr>
              <w:jc w:val="right"/>
              <w:rPr>
                <w:rFonts w:cs="Arial"/>
                <w:color w:val="000000"/>
                <w:sz w:val="22"/>
                <w:szCs w:val="22"/>
                <w:lang w:eastAsia="en-AU"/>
              </w:rPr>
            </w:pPr>
            <w:r w:rsidRPr="0037558D">
              <w:rPr>
                <w:rFonts w:cs="Arial"/>
                <w:color w:val="000000"/>
                <w:sz w:val="22"/>
                <w:szCs w:val="22"/>
                <w:lang w:eastAsia="en-AU"/>
              </w:rPr>
              <w:t>7,048</w:t>
            </w:r>
          </w:p>
        </w:tc>
      </w:tr>
    </w:tbl>
    <w:p w14:paraId="5EA740FA" w14:textId="77777777" w:rsidR="00057DB6" w:rsidRDefault="00B22ADB" w:rsidP="00534FE3">
      <w:pPr>
        <w:pStyle w:val="TextPara"/>
        <w:rPr>
          <w:rFonts w:cs="Arial"/>
          <w:b/>
          <w:bCs/>
          <w:sz w:val="22"/>
          <w:szCs w:val="22"/>
        </w:rPr>
      </w:pPr>
      <w:r w:rsidRPr="007540D9">
        <w:rPr>
          <w:rFonts w:cs="Arial"/>
          <w:b/>
          <w:bCs/>
          <w:sz w:val="22"/>
          <w:szCs w:val="22"/>
        </w:rPr>
        <w:br w:type="page"/>
      </w:r>
    </w:p>
    <w:p w14:paraId="5EA740FB" w14:textId="294F3660" w:rsidR="004755CE" w:rsidRDefault="00B20FD4" w:rsidP="00534FE3">
      <w:pPr>
        <w:pStyle w:val="TextPara"/>
        <w:rPr>
          <w:rFonts w:cs="Arial"/>
          <w:bCs/>
          <w:sz w:val="22"/>
          <w:szCs w:val="22"/>
        </w:rPr>
      </w:pPr>
      <w:r w:rsidRPr="0037558D">
        <w:rPr>
          <w:rFonts w:cs="Arial"/>
          <w:b/>
          <w:bCs/>
          <w:color w:val="000000"/>
          <w:sz w:val="22"/>
          <w:szCs w:val="22"/>
          <w:lang w:eastAsia="en-AU"/>
        </w:rPr>
        <w:lastRenderedPageBreak/>
        <w:t>Note 2</w:t>
      </w:r>
      <w:r>
        <w:rPr>
          <w:rFonts w:cs="Arial"/>
          <w:b/>
          <w:bCs/>
          <w:color w:val="000000"/>
          <w:sz w:val="22"/>
          <w:szCs w:val="22"/>
          <w:lang w:eastAsia="en-AU"/>
        </w:rPr>
        <w:t>3</w:t>
      </w:r>
      <w:r w:rsidRPr="0037558D">
        <w:rPr>
          <w:rFonts w:cs="Arial"/>
          <w:b/>
          <w:bCs/>
          <w:color w:val="000000"/>
          <w:sz w:val="22"/>
          <w:szCs w:val="22"/>
          <w:lang w:eastAsia="en-AU"/>
        </w:rPr>
        <w:t>:  Note to the cash flow statement (cont’d)</w:t>
      </w:r>
    </w:p>
    <w:p w14:paraId="56ED726B" w14:textId="77777777" w:rsidR="00B20FD4" w:rsidRDefault="00B20FD4" w:rsidP="00534FE3">
      <w:pPr>
        <w:pStyle w:val="TextPara"/>
        <w:rPr>
          <w:rFonts w:cs="Arial"/>
          <w:b/>
          <w:bCs/>
          <w:color w:val="000000"/>
          <w:sz w:val="22"/>
          <w:szCs w:val="22"/>
          <w:lang w:eastAsia="en-AU"/>
        </w:rPr>
      </w:pPr>
    </w:p>
    <w:p w14:paraId="0085D529" w14:textId="48D2B819" w:rsidR="00B20FD4" w:rsidRDefault="00B20FD4" w:rsidP="00534FE3">
      <w:pPr>
        <w:pStyle w:val="TextPara"/>
        <w:rPr>
          <w:rFonts w:cs="Arial"/>
          <w:bCs/>
          <w:sz w:val="22"/>
          <w:szCs w:val="22"/>
        </w:rPr>
      </w:pPr>
      <w:r w:rsidRPr="0037558D">
        <w:rPr>
          <w:rFonts w:cs="Arial"/>
          <w:b/>
          <w:bCs/>
          <w:color w:val="000000"/>
          <w:sz w:val="22"/>
          <w:szCs w:val="22"/>
          <w:lang w:eastAsia="en-AU"/>
        </w:rPr>
        <w:t>(c)  Financing facilities available</w:t>
      </w:r>
    </w:p>
    <w:p w14:paraId="15611797" w14:textId="77777777" w:rsidR="00B20FD4" w:rsidRPr="007540D9" w:rsidRDefault="00B20FD4" w:rsidP="00534FE3">
      <w:pPr>
        <w:pStyle w:val="TextPara"/>
        <w:rPr>
          <w:rFonts w:cs="Arial"/>
          <w:bCs/>
          <w:sz w:val="22"/>
          <w:szCs w:val="22"/>
        </w:rPr>
      </w:pPr>
    </w:p>
    <w:tbl>
      <w:tblPr>
        <w:tblW w:w="9000" w:type="dxa"/>
        <w:tblInd w:w="108" w:type="dxa"/>
        <w:tblLook w:val="04A0" w:firstRow="1" w:lastRow="0" w:firstColumn="1" w:lastColumn="0" w:noHBand="0" w:noVBand="1"/>
      </w:tblPr>
      <w:tblGrid>
        <w:gridCol w:w="6040"/>
        <w:gridCol w:w="368"/>
        <w:gridCol w:w="1296"/>
        <w:gridCol w:w="1296"/>
      </w:tblGrid>
      <w:tr w:rsidR="0037558D" w:rsidRPr="0037558D" w14:paraId="5EA7411D" w14:textId="77777777" w:rsidTr="0016002F">
        <w:trPr>
          <w:trHeight w:val="285"/>
        </w:trPr>
        <w:tc>
          <w:tcPr>
            <w:tcW w:w="6408" w:type="dxa"/>
            <w:gridSpan w:val="2"/>
            <w:tcBorders>
              <w:top w:val="nil"/>
              <w:left w:val="nil"/>
              <w:bottom w:val="nil"/>
              <w:right w:val="nil"/>
            </w:tcBorders>
            <w:shd w:val="clear" w:color="auto" w:fill="auto"/>
            <w:vAlign w:val="bottom"/>
            <w:hideMark/>
          </w:tcPr>
          <w:p w14:paraId="5EA7411A" w14:textId="77777777" w:rsidR="0037558D" w:rsidRPr="0037558D" w:rsidRDefault="0037558D" w:rsidP="0037558D">
            <w:pPr>
              <w:rPr>
                <w:rFonts w:cs="Arial"/>
                <w:color w:val="000000"/>
                <w:sz w:val="22"/>
                <w:szCs w:val="22"/>
                <w:lang w:eastAsia="en-AU"/>
              </w:rPr>
            </w:pPr>
            <w:r w:rsidRPr="0037558D">
              <w:rPr>
                <w:rFonts w:cs="Arial"/>
                <w:color w:val="000000"/>
                <w:sz w:val="22"/>
                <w:szCs w:val="22"/>
                <w:lang w:eastAsia="en-AU"/>
              </w:rPr>
              <w:t>Finance Lease Facility</w:t>
            </w:r>
          </w:p>
        </w:tc>
        <w:tc>
          <w:tcPr>
            <w:tcW w:w="1296" w:type="dxa"/>
            <w:tcBorders>
              <w:top w:val="nil"/>
              <w:left w:val="nil"/>
              <w:bottom w:val="nil"/>
              <w:right w:val="nil"/>
            </w:tcBorders>
            <w:shd w:val="clear" w:color="000000" w:fill="BFBFBF" w:themeFill="background1" w:themeFillShade="BF"/>
            <w:vAlign w:val="center"/>
            <w:hideMark/>
          </w:tcPr>
          <w:p w14:paraId="5EA7411B" w14:textId="5C34B7FC" w:rsidR="0037558D" w:rsidRPr="00B20FD4" w:rsidRDefault="00B20FD4" w:rsidP="0037558D">
            <w:pPr>
              <w:jc w:val="right"/>
              <w:rPr>
                <w:rFonts w:cs="Arial"/>
                <w:b/>
                <w:color w:val="000000"/>
                <w:sz w:val="22"/>
                <w:szCs w:val="22"/>
                <w:lang w:eastAsia="en-AU"/>
              </w:rPr>
            </w:pPr>
            <w:r w:rsidRPr="00B20FD4">
              <w:rPr>
                <w:rFonts w:cs="Arial"/>
                <w:b/>
                <w:color w:val="000000"/>
                <w:sz w:val="22"/>
                <w:szCs w:val="22"/>
                <w:lang w:eastAsia="en-AU"/>
              </w:rPr>
              <w:t>2015</w:t>
            </w:r>
          </w:p>
        </w:tc>
        <w:tc>
          <w:tcPr>
            <w:tcW w:w="1296" w:type="dxa"/>
            <w:tcBorders>
              <w:top w:val="nil"/>
              <w:left w:val="nil"/>
              <w:bottom w:val="nil"/>
              <w:right w:val="nil"/>
            </w:tcBorders>
            <w:shd w:val="clear" w:color="auto" w:fill="auto"/>
            <w:vAlign w:val="center"/>
            <w:hideMark/>
          </w:tcPr>
          <w:p w14:paraId="5EA7411C" w14:textId="6D831456" w:rsidR="0037558D" w:rsidRPr="0037558D" w:rsidRDefault="00B20FD4" w:rsidP="0037558D">
            <w:pPr>
              <w:jc w:val="right"/>
              <w:rPr>
                <w:rFonts w:cs="Arial"/>
                <w:color w:val="000000"/>
                <w:sz w:val="22"/>
                <w:szCs w:val="22"/>
                <w:lang w:eastAsia="en-AU"/>
              </w:rPr>
            </w:pPr>
            <w:r>
              <w:rPr>
                <w:rFonts w:cs="Arial"/>
                <w:color w:val="000000"/>
                <w:sz w:val="22"/>
                <w:szCs w:val="22"/>
                <w:lang w:eastAsia="en-AU"/>
              </w:rPr>
              <w:t>2014</w:t>
            </w:r>
          </w:p>
        </w:tc>
      </w:tr>
      <w:tr w:rsidR="0037558D" w:rsidRPr="0037558D" w14:paraId="5EA74121" w14:textId="77777777" w:rsidTr="00B20FD4">
        <w:trPr>
          <w:trHeight w:val="285"/>
        </w:trPr>
        <w:tc>
          <w:tcPr>
            <w:tcW w:w="6408" w:type="dxa"/>
            <w:gridSpan w:val="2"/>
            <w:tcBorders>
              <w:top w:val="nil"/>
              <w:left w:val="nil"/>
              <w:bottom w:val="nil"/>
              <w:right w:val="nil"/>
            </w:tcBorders>
            <w:shd w:val="clear" w:color="auto" w:fill="auto"/>
            <w:vAlign w:val="bottom"/>
            <w:hideMark/>
          </w:tcPr>
          <w:p w14:paraId="5EA7411E" w14:textId="77777777" w:rsidR="0037558D" w:rsidRPr="0037558D" w:rsidRDefault="0037558D" w:rsidP="0037558D">
            <w:pPr>
              <w:rPr>
                <w:rFonts w:cs="Arial"/>
                <w:color w:val="000000"/>
                <w:sz w:val="22"/>
                <w:szCs w:val="22"/>
                <w:lang w:eastAsia="en-AU"/>
              </w:rPr>
            </w:pPr>
            <w:r w:rsidRPr="0037558D">
              <w:rPr>
                <w:rFonts w:cs="Arial"/>
                <w:color w:val="000000"/>
                <w:sz w:val="22"/>
                <w:szCs w:val="22"/>
                <w:lang w:eastAsia="en-AU"/>
              </w:rPr>
              <w:t xml:space="preserve">  Amount used</w:t>
            </w:r>
          </w:p>
        </w:tc>
        <w:tc>
          <w:tcPr>
            <w:tcW w:w="1296" w:type="dxa"/>
            <w:tcBorders>
              <w:top w:val="nil"/>
              <w:left w:val="nil"/>
              <w:bottom w:val="nil"/>
              <w:right w:val="nil"/>
            </w:tcBorders>
            <w:shd w:val="clear" w:color="000000" w:fill="BFBFBF" w:themeFill="background1" w:themeFillShade="BF"/>
            <w:vAlign w:val="bottom"/>
          </w:tcPr>
          <w:p w14:paraId="5EA7411F" w14:textId="704A2295" w:rsidR="0037558D" w:rsidRPr="0037558D" w:rsidRDefault="00B20FD4" w:rsidP="0037558D">
            <w:pPr>
              <w:jc w:val="right"/>
              <w:rPr>
                <w:rFonts w:cs="Arial"/>
                <w:color w:val="000000"/>
                <w:sz w:val="22"/>
                <w:szCs w:val="22"/>
                <w:lang w:eastAsia="en-AU"/>
              </w:rPr>
            </w:pPr>
            <w:r>
              <w:rPr>
                <w:rFonts w:cs="Arial"/>
                <w:color w:val="000000"/>
                <w:sz w:val="22"/>
                <w:szCs w:val="22"/>
                <w:lang w:eastAsia="en-AU"/>
              </w:rPr>
              <w:t>0</w:t>
            </w:r>
          </w:p>
        </w:tc>
        <w:tc>
          <w:tcPr>
            <w:tcW w:w="1296" w:type="dxa"/>
            <w:tcBorders>
              <w:top w:val="nil"/>
              <w:left w:val="nil"/>
              <w:bottom w:val="nil"/>
              <w:right w:val="nil"/>
            </w:tcBorders>
            <w:shd w:val="clear" w:color="auto" w:fill="auto"/>
            <w:vAlign w:val="bottom"/>
          </w:tcPr>
          <w:p w14:paraId="5EA74120" w14:textId="671D9E98" w:rsidR="0037558D" w:rsidRPr="0037558D" w:rsidRDefault="00B20FD4" w:rsidP="0037558D">
            <w:pPr>
              <w:jc w:val="right"/>
              <w:rPr>
                <w:rFonts w:cs="Arial"/>
                <w:color w:val="000000"/>
                <w:sz w:val="22"/>
                <w:szCs w:val="22"/>
                <w:lang w:eastAsia="en-AU"/>
              </w:rPr>
            </w:pPr>
            <w:r>
              <w:rPr>
                <w:rFonts w:cs="Arial"/>
                <w:color w:val="000000"/>
                <w:sz w:val="22"/>
                <w:szCs w:val="22"/>
                <w:lang w:eastAsia="en-AU"/>
              </w:rPr>
              <w:t>0</w:t>
            </w:r>
          </w:p>
        </w:tc>
      </w:tr>
      <w:tr w:rsidR="0037558D" w:rsidRPr="0037558D" w14:paraId="5EA74125" w14:textId="77777777" w:rsidTr="0016002F">
        <w:trPr>
          <w:trHeight w:val="315"/>
        </w:trPr>
        <w:tc>
          <w:tcPr>
            <w:tcW w:w="6408" w:type="dxa"/>
            <w:gridSpan w:val="2"/>
            <w:tcBorders>
              <w:top w:val="nil"/>
              <w:left w:val="nil"/>
              <w:bottom w:val="nil"/>
              <w:right w:val="nil"/>
            </w:tcBorders>
            <w:shd w:val="clear" w:color="auto" w:fill="auto"/>
            <w:vAlign w:val="bottom"/>
            <w:hideMark/>
          </w:tcPr>
          <w:p w14:paraId="5EA74122" w14:textId="77777777" w:rsidR="0037558D" w:rsidRPr="0037558D" w:rsidRDefault="0037558D" w:rsidP="0037558D">
            <w:pPr>
              <w:rPr>
                <w:rFonts w:cs="Arial"/>
                <w:color w:val="000000"/>
                <w:sz w:val="22"/>
                <w:szCs w:val="22"/>
                <w:lang w:eastAsia="en-AU"/>
              </w:rPr>
            </w:pPr>
            <w:r w:rsidRPr="0037558D">
              <w:rPr>
                <w:rFonts w:cs="Arial"/>
                <w:color w:val="000000"/>
                <w:sz w:val="22"/>
                <w:szCs w:val="22"/>
                <w:lang w:eastAsia="en-AU"/>
              </w:rPr>
              <w:t xml:space="preserve">  Amount unused </w:t>
            </w:r>
            <w:r w:rsidRPr="0037558D">
              <w:rPr>
                <w:rFonts w:cs="Arial"/>
                <w:color w:val="000000"/>
                <w:sz w:val="22"/>
                <w:szCs w:val="22"/>
                <w:vertAlign w:val="superscript"/>
                <w:lang w:eastAsia="en-AU"/>
              </w:rPr>
              <w:t>(</w:t>
            </w:r>
            <w:proofErr w:type="spellStart"/>
            <w:r w:rsidRPr="0037558D">
              <w:rPr>
                <w:rFonts w:cs="Arial"/>
                <w:color w:val="000000"/>
                <w:sz w:val="22"/>
                <w:szCs w:val="22"/>
                <w:vertAlign w:val="superscript"/>
                <w:lang w:eastAsia="en-AU"/>
              </w:rPr>
              <w:t>i</w:t>
            </w:r>
            <w:proofErr w:type="spellEnd"/>
            <w:r w:rsidRPr="0037558D">
              <w:rPr>
                <w:rFonts w:cs="Arial"/>
                <w:color w:val="000000"/>
                <w:sz w:val="22"/>
                <w:szCs w:val="22"/>
                <w:vertAlign w:val="superscript"/>
                <w:lang w:eastAsia="en-AU"/>
              </w:rPr>
              <w:t>)</w:t>
            </w:r>
          </w:p>
        </w:tc>
        <w:tc>
          <w:tcPr>
            <w:tcW w:w="1296" w:type="dxa"/>
            <w:tcBorders>
              <w:top w:val="nil"/>
              <w:left w:val="nil"/>
              <w:bottom w:val="nil"/>
              <w:right w:val="nil"/>
            </w:tcBorders>
            <w:shd w:val="clear" w:color="000000" w:fill="BFBFBF" w:themeFill="background1" w:themeFillShade="BF"/>
            <w:vAlign w:val="bottom"/>
            <w:hideMark/>
          </w:tcPr>
          <w:p w14:paraId="5EA74123" w14:textId="77777777" w:rsidR="0037558D" w:rsidRPr="0037558D" w:rsidRDefault="0037558D" w:rsidP="0037558D">
            <w:pPr>
              <w:jc w:val="right"/>
              <w:rPr>
                <w:rFonts w:cs="Arial"/>
                <w:color w:val="000000"/>
                <w:sz w:val="22"/>
                <w:szCs w:val="22"/>
                <w:lang w:eastAsia="en-AU"/>
              </w:rPr>
            </w:pPr>
            <w:r w:rsidRPr="0037558D">
              <w:rPr>
                <w:rFonts w:cs="Arial"/>
                <w:color w:val="000000"/>
                <w:sz w:val="22"/>
                <w:szCs w:val="22"/>
                <w:lang w:eastAsia="en-AU"/>
              </w:rPr>
              <w:t>280</w:t>
            </w:r>
          </w:p>
        </w:tc>
        <w:tc>
          <w:tcPr>
            <w:tcW w:w="1296" w:type="dxa"/>
            <w:tcBorders>
              <w:top w:val="nil"/>
              <w:left w:val="nil"/>
              <w:bottom w:val="nil"/>
              <w:right w:val="nil"/>
            </w:tcBorders>
            <w:shd w:val="clear" w:color="auto" w:fill="auto"/>
            <w:vAlign w:val="bottom"/>
            <w:hideMark/>
          </w:tcPr>
          <w:p w14:paraId="5EA74124" w14:textId="77777777" w:rsidR="0037558D" w:rsidRPr="0037558D" w:rsidRDefault="0037558D" w:rsidP="0037558D">
            <w:pPr>
              <w:jc w:val="right"/>
              <w:rPr>
                <w:rFonts w:cs="Arial"/>
                <w:color w:val="000000"/>
                <w:sz w:val="22"/>
                <w:szCs w:val="22"/>
                <w:lang w:eastAsia="en-AU"/>
              </w:rPr>
            </w:pPr>
            <w:r w:rsidRPr="0037558D">
              <w:rPr>
                <w:rFonts w:cs="Arial"/>
                <w:color w:val="000000"/>
                <w:sz w:val="22"/>
                <w:szCs w:val="22"/>
                <w:lang w:eastAsia="en-AU"/>
              </w:rPr>
              <w:t>280</w:t>
            </w:r>
          </w:p>
        </w:tc>
      </w:tr>
      <w:tr w:rsidR="0037558D" w:rsidRPr="0037558D" w14:paraId="5EA7412A" w14:textId="77777777" w:rsidTr="0016002F">
        <w:trPr>
          <w:trHeight w:val="315"/>
        </w:trPr>
        <w:tc>
          <w:tcPr>
            <w:tcW w:w="6040" w:type="dxa"/>
            <w:tcBorders>
              <w:top w:val="nil"/>
              <w:left w:val="nil"/>
              <w:bottom w:val="nil"/>
              <w:right w:val="nil"/>
            </w:tcBorders>
            <w:shd w:val="clear" w:color="auto" w:fill="auto"/>
            <w:vAlign w:val="center"/>
            <w:hideMark/>
          </w:tcPr>
          <w:p w14:paraId="5EA74126" w14:textId="197755C7" w:rsidR="0037558D" w:rsidRPr="0037558D" w:rsidRDefault="00B20FD4" w:rsidP="0037558D">
            <w:pPr>
              <w:rPr>
                <w:rFonts w:cs="Arial"/>
                <w:color w:val="000000"/>
                <w:sz w:val="22"/>
                <w:szCs w:val="22"/>
                <w:lang w:eastAsia="en-AU"/>
              </w:rPr>
            </w:pPr>
            <w:r>
              <w:rPr>
                <w:rFonts w:cs="Arial"/>
                <w:color w:val="000000"/>
                <w:sz w:val="22"/>
                <w:szCs w:val="22"/>
                <w:lang w:eastAsia="en-AU"/>
              </w:rPr>
              <w:t>Total</w:t>
            </w:r>
          </w:p>
        </w:tc>
        <w:tc>
          <w:tcPr>
            <w:tcW w:w="368" w:type="dxa"/>
            <w:tcBorders>
              <w:top w:val="nil"/>
              <w:left w:val="nil"/>
              <w:bottom w:val="nil"/>
              <w:right w:val="nil"/>
            </w:tcBorders>
            <w:shd w:val="clear" w:color="auto" w:fill="auto"/>
            <w:vAlign w:val="center"/>
            <w:hideMark/>
          </w:tcPr>
          <w:p w14:paraId="5EA74127" w14:textId="77777777" w:rsidR="0037558D" w:rsidRPr="0037558D" w:rsidRDefault="0037558D" w:rsidP="0037558D">
            <w:pPr>
              <w:jc w:val="right"/>
              <w:rPr>
                <w:rFonts w:cs="Arial"/>
                <w:color w:val="000000"/>
                <w:sz w:val="22"/>
                <w:szCs w:val="22"/>
                <w:lang w:eastAsia="en-AU"/>
              </w:rPr>
            </w:pPr>
          </w:p>
        </w:tc>
        <w:tc>
          <w:tcPr>
            <w:tcW w:w="1296" w:type="dxa"/>
            <w:tcBorders>
              <w:top w:val="single" w:sz="12" w:space="0" w:color="auto"/>
              <w:left w:val="nil"/>
              <w:bottom w:val="single" w:sz="12" w:space="0" w:color="auto"/>
              <w:right w:val="nil"/>
            </w:tcBorders>
            <w:shd w:val="clear" w:color="000000" w:fill="BFBFBF" w:themeFill="background1" w:themeFillShade="BF"/>
            <w:vAlign w:val="bottom"/>
            <w:hideMark/>
          </w:tcPr>
          <w:p w14:paraId="5EA74128" w14:textId="77777777" w:rsidR="0037558D" w:rsidRPr="0037558D" w:rsidRDefault="0037558D" w:rsidP="0037558D">
            <w:pPr>
              <w:jc w:val="right"/>
              <w:rPr>
                <w:rFonts w:cs="Arial"/>
                <w:color w:val="000000"/>
                <w:sz w:val="22"/>
                <w:szCs w:val="22"/>
                <w:lang w:eastAsia="en-AU"/>
              </w:rPr>
            </w:pPr>
            <w:r w:rsidRPr="0037558D">
              <w:rPr>
                <w:rFonts w:cs="Arial"/>
                <w:color w:val="000000"/>
                <w:sz w:val="22"/>
                <w:szCs w:val="22"/>
                <w:lang w:eastAsia="en-AU"/>
              </w:rPr>
              <w:t>280</w:t>
            </w:r>
          </w:p>
        </w:tc>
        <w:tc>
          <w:tcPr>
            <w:tcW w:w="1296" w:type="dxa"/>
            <w:tcBorders>
              <w:top w:val="single" w:sz="12" w:space="0" w:color="auto"/>
              <w:left w:val="nil"/>
              <w:bottom w:val="single" w:sz="12" w:space="0" w:color="auto"/>
              <w:right w:val="nil"/>
            </w:tcBorders>
            <w:shd w:val="clear" w:color="auto" w:fill="auto"/>
            <w:vAlign w:val="bottom"/>
            <w:hideMark/>
          </w:tcPr>
          <w:p w14:paraId="5EA74129" w14:textId="77777777" w:rsidR="0037558D" w:rsidRPr="0037558D" w:rsidRDefault="0037558D" w:rsidP="0037558D">
            <w:pPr>
              <w:jc w:val="right"/>
              <w:rPr>
                <w:rFonts w:cs="Arial"/>
                <w:color w:val="000000"/>
                <w:sz w:val="22"/>
                <w:szCs w:val="22"/>
                <w:lang w:eastAsia="en-AU"/>
              </w:rPr>
            </w:pPr>
            <w:r w:rsidRPr="0037558D">
              <w:rPr>
                <w:rFonts w:cs="Arial"/>
                <w:color w:val="000000"/>
                <w:sz w:val="22"/>
                <w:szCs w:val="22"/>
                <w:lang w:eastAsia="en-AU"/>
              </w:rPr>
              <w:t>280</w:t>
            </w:r>
          </w:p>
        </w:tc>
      </w:tr>
    </w:tbl>
    <w:p w14:paraId="5EA7412E" w14:textId="69310AC7" w:rsidR="005B2E0D" w:rsidRPr="007540D9" w:rsidRDefault="00B20FD4" w:rsidP="003A1B01">
      <w:pPr>
        <w:pStyle w:val="TextPara"/>
        <w:rPr>
          <w:rFonts w:cs="Arial"/>
          <w:bCs/>
          <w:sz w:val="22"/>
          <w:szCs w:val="22"/>
        </w:rPr>
      </w:pPr>
      <w:r w:rsidRPr="0037558D">
        <w:rPr>
          <w:rFonts w:cs="Arial"/>
          <w:color w:val="000000"/>
          <w:sz w:val="22"/>
          <w:szCs w:val="22"/>
          <w:lang w:eastAsia="en-AU"/>
        </w:rPr>
        <w:t>(</w:t>
      </w:r>
      <w:proofErr w:type="spellStart"/>
      <w:r w:rsidRPr="0037558D">
        <w:rPr>
          <w:rFonts w:cs="Arial"/>
          <w:color w:val="000000"/>
          <w:sz w:val="22"/>
          <w:szCs w:val="22"/>
          <w:lang w:eastAsia="en-AU"/>
        </w:rPr>
        <w:t>i</w:t>
      </w:r>
      <w:proofErr w:type="spellEnd"/>
      <w:r w:rsidRPr="0037558D">
        <w:rPr>
          <w:rFonts w:cs="Arial"/>
          <w:color w:val="000000"/>
          <w:sz w:val="22"/>
          <w:szCs w:val="22"/>
          <w:lang w:eastAsia="en-AU"/>
        </w:rPr>
        <w:t>) There is no line or unused limit fee associated with this facility</w:t>
      </w:r>
      <w:r>
        <w:rPr>
          <w:rFonts w:cs="Arial"/>
          <w:color w:val="000000"/>
          <w:sz w:val="22"/>
          <w:szCs w:val="22"/>
          <w:lang w:eastAsia="en-AU"/>
        </w:rPr>
        <w:t>.</w:t>
      </w:r>
    </w:p>
    <w:p w14:paraId="5EA7412F" w14:textId="77777777" w:rsidR="00B22ADB" w:rsidRPr="007540D9" w:rsidRDefault="00B22ADB" w:rsidP="00A638A9">
      <w:pPr>
        <w:pStyle w:val="TextPara"/>
        <w:rPr>
          <w:rFonts w:cs="Arial"/>
          <w:bCs/>
          <w:sz w:val="22"/>
          <w:szCs w:val="22"/>
        </w:rPr>
      </w:pPr>
    </w:p>
    <w:p w14:paraId="5EA74130" w14:textId="3CB7A2B8" w:rsidR="00AA4D27" w:rsidRPr="00045F1D" w:rsidRDefault="00AA4D27" w:rsidP="00BF287B">
      <w:pPr>
        <w:pStyle w:val="Heading1"/>
      </w:pPr>
      <w:bookmarkStart w:id="340" w:name="_Toc430613777"/>
      <w:r w:rsidRPr="00045F1D">
        <w:t xml:space="preserve">Note </w:t>
      </w:r>
      <w:r w:rsidR="00FD563D" w:rsidRPr="00045F1D">
        <w:t>24</w:t>
      </w:r>
      <w:r w:rsidRPr="00045F1D">
        <w:t>:  Financial instruments</w:t>
      </w:r>
      <w:bookmarkEnd w:id="340"/>
      <w:r w:rsidRPr="00045F1D">
        <w:t xml:space="preserve">  </w:t>
      </w:r>
    </w:p>
    <w:p w14:paraId="5EA74131" w14:textId="77777777" w:rsidR="00AA4D27" w:rsidRPr="007540D9" w:rsidRDefault="00AA4D27" w:rsidP="00AA4D27">
      <w:pPr>
        <w:rPr>
          <w:rFonts w:cs="Arial"/>
          <w:b/>
          <w:sz w:val="22"/>
          <w:szCs w:val="22"/>
        </w:rPr>
      </w:pPr>
    </w:p>
    <w:p w14:paraId="5EA74132" w14:textId="12761DFA" w:rsidR="00AA4D27" w:rsidRPr="00BF287B" w:rsidRDefault="00FD563D" w:rsidP="00BF287B">
      <w:pPr>
        <w:pStyle w:val="Heading2"/>
        <w:rPr>
          <w:sz w:val="22"/>
          <w:szCs w:val="22"/>
        </w:rPr>
      </w:pPr>
      <w:bookmarkStart w:id="341" w:name="_Toc430613407"/>
      <w:bookmarkStart w:id="342" w:name="_Toc430613778"/>
      <w:r w:rsidRPr="00BF287B">
        <w:rPr>
          <w:sz w:val="22"/>
          <w:szCs w:val="22"/>
        </w:rPr>
        <w:t>24</w:t>
      </w:r>
      <w:r w:rsidR="000A53C4" w:rsidRPr="00BF287B">
        <w:rPr>
          <w:sz w:val="22"/>
          <w:szCs w:val="22"/>
        </w:rPr>
        <w:t>.</w:t>
      </w:r>
      <w:r w:rsidR="000B4F54" w:rsidRPr="00BF287B">
        <w:rPr>
          <w:sz w:val="22"/>
          <w:szCs w:val="22"/>
        </w:rPr>
        <w:t xml:space="preserve">1 </w:t>
      </w:r>
      <w:r w:rsidR="000B4F54" w:rsidRPr="00BF287B">
        <w:rPr>
          <w:sz w:val="22"/>
          <w:szCs w:val="22"/>
        </w:rPr>
        <w:tab/>
      </w:r>
      <w:r w:rsidR="00AA4D27" w:rsidRPr="00BF287B">
        <w:rPr>
          <w:sz w:val="22"/>
          <w:szCs w:val="22"/>
        </w:rPr>
        <w:t>Fair Value of Financial Instruments</w:t>
      </w:r>
      <w:bookmarkEnd w:id="341"/>
      <w:bookmarkEnd w:id="342"/>
    </w:p>
    <w:p w14:paraId="5EA74133" w14:textId="77777777" w:rsidR="00AA4D27" w:rsidRPr="007540D9" w:rsidRDefault="00AA4D27" w:rsidP="00AA4D27">
      <w:pPr>
        <w:rPr>
          <w:rFonts w:cs="Arial"/>
          <w:b/>
          <w:sz w:val="22"/>
          <w:szCs w:val="22"/>
        </w:rPr>
      </w:pPr>
    </w:p>
    <w:p w14:paraId="5EA74134" w14:textId="77777777" w:rsidR="00CA3587" w:rsidRPr="007540D9" w:rsidRDefault="00CA3587" w:rsidP="00CA3587">
      <w:pPr>
        <w:rPr>
          <w:rFonts w:cs="Arial"/>
          <w:sz w:val="22"/>
          <w:szCs w:val="22"/>
        </w:rPr>
      </w:pPr>
      <w:r w:rsidRPr="007540D9">
        <w:rPr>
          <w:rFonts w:cs="Arial"/>
          <w:sz w:val="22"/>
          <w:szCs w:val="22"/>
        </w:rPr>
        <w:t>The consolidated financial report has been prepared on the basis of historical cost, except for the revaluation of certain non-current assets and financial instruments that are measured at revalued amounts or fair values. Cost is based on the fair values of the consideration</w:t>
      </w:r>
      <w:r>
        <w:rPr>
          <w:rFonts w:cs="Arial"/>
          <w:sz w:val="22"/>
          <w:szCs w:val="22"/>
        </w:rPr>
        <w:t xml:space="preserve"> given in exchange for assets.</w:t>
      </w:r>
      <w:r w:rsidRPr="007540D9">
        <w:rPr>
          <w:rFonts w:cs="Arial"/>
          <w:sz w:val="22"/>
          <w:szCs w:val="22"/>
        </w:rPr>
        <w:t xml:space="preserve">  </w:t>
      </w:r>
    </w:p>
    <w:p w14:paraId="5EA74135" w14:textId="77777777" w:rsidR="00CA3587" w:rsidRDefault="00CA3587" w:rsidP="00CA3587">
      <w:pPr>
        <w:rPr>
          <w:rFonts w:cs="Arial"/>
          <w:sz w:val="22"/>
          <w:szCs w:val="22"/>
          <w:highlight w:val="yellow"/>
        </w:rPr>
      </w:pPr>
    </w:p>
    <w:p w14:paraId="5EA74136" w14:textId="77777777" w:rsidR="00CA3587" w:rsidRPr="000901D5" w:rsidRDefault="00CA3587" w:rsidP="00CA3587">
      <w:pPr>
        <w:rPr>
          <w:rFonts w:cs="Arial"/>
          <w:sz w:val="22"/>
          <w:szCs w:val="22"/>
        </w:rPr>
      </w:pPr>
      <w:r w:rsidRPr="000901D5">
        <w:rPr>
          <w:rFonts w:cs="Arial"/>
          <w:sz w:val="22"/>
          <w:szCs w:val="22"/>
        </w:rPr>
        <w:t>Fair value is the price that would be received to sell an asset or paid to transfer a liability in an</w:t>
      </w:r>
      <w:r>
        <w:rPr>
          <w:rFonts w:cs="Arial"/>
          <w:sz w:val="22"/>
          <w:szCs w:val="22"/>
        </w:rPr>
        <w:t xml:space="preserve"> </w:t>
      </w:r>
      <w:r w:rsidRPr="000901D5">
        <w:rPr>
          <w:rFonts w:cs="Arial"/>
          <w:sz w:val="22"/>
          <w:szCs w:val="22"/>
        </w:rPr>
        <w:t>orderly transaction between market participants at the measurement date, regardless of whether that</w:t>
      </w:r>
      <w:r>
        <w:rPr>
          <w:rFonts w:cs="Arial"/>
          <w:sz w:val="22"/>
          <w:szCs w:val="22"/>
        </w:rPr>
        <w:t xml:space="preserve"> </w:t>
      </w:r>
      <w:r w:rsidRPr="000901D5">
        <w:rPr>
          <w:rFonts w:cs="Arial"/>
          <w:sz w:val="22"/>
          <w:szCs w:val="22"/>
        </w:rPr>
        <w:t>price is directly observable or estimated using another valuation technique. In estimating the fair</w:t>
      </w:r>
      <w:r>
        <w:rPr>
          <w:rFonts w:cs="Arial"/>
          <w:sz w:val="22"/>
          <w:szCs w:val="22"/>
        </w:rPr>
        <w:t xml:space="preserve"> </w:t>
      </w:r>
      <w:r w:rsidRPr="000901D5">
        <w:rPr>
          <w:rFonts w:cs="Arial"/>
          <w:sz w:val="22"/>
          <w:szCs w:val="22"/>
        </w:rPr>
        <w:t>value of an asset or a liability, the Group takes into account the characteristics of the asset or liability</w:t>
      </w:r>
      <w:r>
        <w:rPr>
          <w:rFonts w:cs="Arial"/>
          <w:sz w:val="22"/>
          <w:szCs w:val="22"/>
        </w:rPr>
        <w:t xml:space="preserve"> </w:t>
      </w:r>
      <w:r w:rsidRPr="000901D5">
        <w:rPr>
          <w:rFonts w:cs="Arial"/>
          <w:sz w:val="22"/>
          <w:szCs w:val="22"/>
        </w:rPr>
        <w:t>if market participants would take those characteristics into account when pricing the asset or liability</w:t>
      </w:r>
      <w:r>
        <w:rPr>
          <w:rFonts w:cs="Arial"/>
          <w:sz w:val="22"/>
          <w:szCs w:val="22"/>
        </w:rPr>
        <w:t xml:space="preserve"> </w:t>
      </w:r>
      <w:r w:rsidRPr="000901D5">
        <w:rPr>
          <w:rFonts w:cs="Arial"/>
          <w:sz w:val="22"/>
          <w:szCs w:val="22"/>
        </w:rPr>
        <w:t>at the measurement date. Fair value for measurement and/or disclosure purposes in these</w:t>
      </w:r>
      <w:r>
        <w:rPr>
          <w:rFonts w:cs="Arial"/>
          <w:sz w:val="22"/>
          <w:szCs w:val="22"/>
        </w:rPr>
        <w:t xml:space="preserve"> </w:t>
      </w:r>
      <w:r w:rsidRPr="000901D5">
        <w:rPr>
          <w:rFonts w:cs="Arial"/>
          <w:sz w:val="22"/>
          <w:szCs w:val="22"/>
        </w:rPr>
        <w:t>consolidated financial statements is determined on such a basis, except for leasing transactions that are within the scope of</w:t>
      </w:r>
      <w:r>
        <w:rPr>
          <w:rFonts w:cs="Arial"/>
          <w:sz w:val="22"/>
          <w:szCs w:val="22"/>
        </w:rPr>
        <w:t xml:space="preserve"> </w:t>
      </w:r>
      <w:r w:rsidRPr="000901D5">
        <w:rPr>
          <w:rFonts w:cs="Arial"/>
          <w:sz w:val="22"/>
          <w:szCs w:val="22"/>
        </w:rPr>
        <w:t>AASB 117, and measurements that have some similarities to fair value but are not fair value, such</w:t>
      </w:r>
      <w:r>
        <w:rPr>
          <w:rFonts w:cs="Arial"/>
          <w:sz w:val="22"/>
          <w:szCs w:val="22"/>
        </w:rPr>
        <w:t xml:space="preserve"> </w:t>
      </w:r>
      <w:r w:rsidRPr="000901D5">
        <w:rPr>
          <w:rFonts w:cs="Arial"/>
          <w:sz w:val="22"/>
          <w:szCs w:val="22"/>
        </w:rPr>
        <w:t>as value in use in AASB 136.</w:t>
      </w:r>
    </w:p>
    <w:p w14:paraId="5EA74137" w14:textId="77777777" w:rsidR="00CA3587" w:rsidRDefault="00CA3587" w:rsidP="00CA3587">
      <w:pPr>
        <w:rPr>
          <w:rFonts w:cs="Arial"/>
          <w:sz w:val="22"/>
          <w:szCs w:val="22"/>
        </w:rPr>
      </w:pPr>
    </w:p>
    <w:p w14:paraId="5EA74138" w14:textId="77777777" w:rsidR="00CA3587" w:rsidRDefault="00CA3587" w:rsidP="00CA3587">
      <w:pPr>
        <w:rPr>
          <w:rFonts w:cs="Arial"/>
          <w:sz w:val="22"/>
          <w:szCs w:val="22"/>
        </w:rPr>
      </w:pPr>
      <w:r w:rsidRPr="000901D5">
        <w:rPr>
          <w:rFonts w:cs="Arial"/>
          <w:sz w:val="22"/>
          <w:szCs w:val="22"/>
        </w:rPr>
        <w:t>In addition</w:t>
      </w:r>
      <w:r w:rsidR="00320FFA">
        <w:rPr>
          <w:rFonts w:cs="Arial"/>
          <w:sz w:val="22"/>
          <w:szCs w:val="22"/>
        </w:rPr>
        <w:t xml:space="preserve"> </w:t>
      </w:r>
      <w:r w:rsidRPr="000901D5">
        <w:rPr>
          <w:rFonts w:cs="Arial"/>
          <w:sz w:val="22"/>
          <w:szCs w:val="22"/>
        </w:rPr>
        <w:t>fair value measurements are categorised into Level 1, 2</w:t>
      </w:r>
      <w:r>
        <w:rPr>
          <w:rFonts w:cs="Arial"/>
          <w:sz w:val="22"/>
          <w:szCs w:val="22"/>
        </w:rPr>
        <w:t xml:space="preserve"> </w:t>
      </w:r>
      <w:r w:rsidRPr="000901D5">
        <w:rPr>
          <w:rFonts w:cs="Arial"/>
          <w:sz w:val="22"/>
          <w:szCs w:val="22"/>
        </w:rPr>
        <w:t>or 3 based on the degree to which the inputs to the fair value measurements are observable and the</w:t>
      </w:r>
      <w:r>
        <w:rPr>
          <w:rFonts w:cs="Arial"/>
          <w:sz w:val="22"/>
          <w:szCs w:val="22"/>
        </w:rPr>
        <w:t xml:space="preserve"> </w:t>
      </w:r>
      <w:r w:rsidRPr="000901D5">
        <w:rPr>
          <w:rFonts w:cs="Arial"/>
          <w:sz w:val="22"/>
          <w:szCs w:val="22"/>
        </w:rPr>
        <w:t>significance of the inputs to the fair value measurement in its entirety, which are described as</w:t>
      </w:r>
      <w:r>
        <w:rPr>
          <w:rFonts w:cs="Arial"/>
          <w:sz w:val="22"/>
          <w:szCs w:val="22"/>
        </w:rPr>
        <w:t xml:space="preserve"> </w:t>
      </w:r>
      <w:r w:rsidRPr="000901D5">
        <w:rPr>
          <w:rFonts w:cs="Arial"/>
          <w:sz w:val="22"/>
          <w:szCs w:val="22"/>
        </w:rPr>
        <w:t>follows:</w:t>
      </w:r>
    </w:p>
    <w:p w14:paraId="5EA74139" w14:textId="77777777" w:rsidR="00CA3587" w:rsidRPr="000901D5" w:rsidRDefault="00CA3587" w:rsidP="00CA3587">
      <w:pPr>
        <w:rPr>
          <w:rFonts w:cs="Arial"/>
          <w:sz w:val="22"/>
          <w:szCs w:val="22"/>
        </w:rPr>
      </w:pPr>
    </w:p>
    <w:p w14:paraId="5EA7413A" w14:textId="77777777" w:rsidR="00CA3587" w:rsidRPr="000901D5" w:rsidRDefault="00CA3587" w:rsidP="00CA3587">
      <w:pPr>
        <w:numPr>
          <w:ilvl w:val="0"/>
          <w:numId w:val="19"/>
        </w:numPr>
        <w:rPr>
          <w:rFonts w:cs="Arial"/>
          <w:sz w:val="22"/>
          <w:szCs w:val="22"/>
        </w:rPr>
      </w:pPr>
      <w:r w:rsidRPr="000901D5">
        <w:rPr>
          <w:rFonts w:cs="Arial"/>
          <w:sz w:val="22"/>
          <w:szCs w:val="22"/>
        </w:rPr>
        <w:t>Level 1 inputs are quoted prices (unadjusted) in active markets for identical assets or liabilities</w:t>
      </w:r>
      <w:r>
        <w:rPr>
          <w:rFonts w:cs="Arial"/>
          <w:sz w:val="22"/>
          <w:szCs w:val="22"/>
        </w:rPr>
        <w:t xml:space="preserve"> </w:t>
      </w:r>
      <w:r w:rsidRPr="000901D5">
        <w:rPr>
          <w:rFonts w:cs="Arial"/>
          <w:sz w:val="22"/>
          <w:szCs w:val="22"/>
        </w:rPr>
        <w:t>that the entity can access at the measurement date;</w:t>
      </w:r>
    </w:p>
    <w:p w14:paraId="5EA7413B" w14:textId="77777777" w:rsidR="00CA3587" w:rsidRPr="000901D5" w:rsidRDefault="00CA3587" w:rsidP="00CA3587">
      <w:pPr>
        <w:numPr>
          <w:ilvl w:val="0"/>
          <w:numId w:val="19"/>
        </w:numPr>
        <w:rPr>
          <w:rFonts w:cs="Arial"/>
          <w:sz w:val="22"/>
          <w:szCs w:val="22"/>
        </w:rPr>
      </w:pPr>
      <w:r w:rsidRPr="000901D5">
        <w:rPr>
          <w:rFonts w:cs="Arial"/>
          <w:sz w:val="22"/>
          <w:szCs w:val="22"/>
        </w:rPr>
        <w:t>Level 2 inputs are inputs, other than quoted prices included within Level 1, that are observable</w:t>
      </w:r>
      <w:r>
        <w:rPr>
          <w:rFonts w:cs="Arial"/>
          <w:sz w:val="22"/>
          <w:szCs w:val="22"/>
        </w:rPr>
        <w:t xml:space="preserve"> </w:t>
      </w:r>
      <w:r w:rsidRPr="000901D5">
        <w:rPr>
          <w:rFonts w:cs="Arial"/>
          <w:sz w:val="22"/>
          <w:szCs w:val="22"/>
        </w:rPr>
        <w:t>for the asset or liability, either directly or indirectly; and</w:t>
      </w:r>
    </w:p>
    <w:p w14:paraId="5EA7413C" w14:textId="77777777" w:rsidR="00CA3587" w:rsidRPr="000901D5" w:rsidRDefault="00CA3587" w:rsidP="00CA3587">
      <w:pPr>
        <w:numPr>
          <w:ilvl w:val="0"/>
          <w:numId w:val="19"/>
        </w:numPr>
        <w:rPr>
          <w:rFonts w:cs="Arial"/>
          <w:sz w:val="22"/>
          <w:szCs w:val="22"/>
        </w:rPr>
      </w:pPr>
      <w:r w:rsidRPr="000901D5">
        <w:rPr>
          <w:rFonts w:cs="Arial"/>
          <w:sz w:val="22"/>
          <w:szCs w:val="22"/>
        </w:rPr>
        <w:t>Level 3 inputs are unobservable inputs for the asset or liability.</w:t>
      </w:r>
    </w:p>
    <w:p w14:paraId="5EA7413D" w14:textId="77777777" w:rsidR="00BA4D71" w:rsidRDefault="0010191B" w:rsidP="00961BF6">
      <w:pPr>
        <w:rPr>
          <w:rFonts w:ascii="Times New Roman" w:hAnsi="Times New Roman"/>
          <w:lang w:eastAsia="en-AU"/>
        </w:rPr>
      </w:pPr>
      <w:r w:rsidRPr="007540D9">
        <w:rPr>
          <w:rFonts w:cs="Arial"/>
          <w:sz w:val="22"/>
          <w:szCs w:val="22"/>
        </w:rPr>
        <w:br w:type="page"/>
      </w:r>
    </w:p>
    <w:p w14:paraId="51E3D952" w14:textId="2D14FA5A" w:rsidR="00B20FD4" w:rsidRDefault="00B20FD4">
      <w:pPr>
        <w:rPr>
          <w:rFonts w:cs="Arial"/>
          <w:b/>
          <w:bCs/>
          <w:color w:val="000000"/>
          <w:sz w:val="22"/>
          <w:szCs w:val="22"/>
          <w:lang w:eastAsia="en-AU"/>
        </w:rPr>
      </w:pPr>
      <w:r w:rsidRPr="00961BF6">
        <w:rPr>
          <w:rFonts w:cs="Arial"/>
          <w:b/>
          <w:bCs/>
          <w:color w:val="000000"/>
          <w:sz w:val="22"/>
          <w:szCs w:val="22"/>
          <w:lang w:eastAsia="en-AU"/>
        </w:rPr>
        <w:lastRenderedPageBreak/>
        <w:t>2</w:t>
      </w:r>
      <w:r>
        <w:rPr>
          <w:rFonts w:cs="Arial"/>
          <w:b/>
          <w:bCs/>
          <w:color w:val="000000"/>
          <w:sz w:val="22"/>
          <w:szCs w:val="22"/>
          <w:lang w:eastAsia="en-AU"/>
        </w:rPr>
        <w:t>4</w:t>
      </w:r>
      <w:r w:rsidRPr="00961BF6">
        <w:rPr>
          <w:rFonts w:cs="Arial"/>
          <w:b/>
          <w:bCs/>
          <w:color w:val="000000"/>
          <w:sz w:val="22"/>
          <w:szCs w:val="22"/>
          <w:lang w:eastAsia="en-AU"/>
        </w:rPr>
        <w:t>.1 Fair Value of Financial Instruments (cont’d)</w:t>
      </w:r>
    </w:p>
    <w:p w14:paraId="18D52730" w14:textId="77777777" w:rsidR="00B20FD4" w:rsidRDefault="00B20FD4"/>
    <w:p w14:paraId="5D4DAAB7" w14:textId="77777777" w:rsidR="00B20FD4" w:rsidRDefault="00B20FD4"/>
    <w:tbl>
      <w:tblPr>
        <w:tblW w:w="8997" w:type="dxa"/>
        <w:tblInd w:w="108" w:type="dxa"/>
        <w:tblLook w:val="04A0" w:firstRow="1" w:lastRow="0" w:firstColumn="1" w:lastColumn="0" w:noHBand="0" w:noVBand="1"/>
      </w:tblPr>
      <w:tblGrid>
        <w:gridCol w:w="3847"/>
        <w:gridCol w:w="1282"/>
        <w:gridCol w:w="1289"/>
        <w:gridCol w:w="1289"/>
        <w:gridCol w:w="1290"/>
      </w:tblGrid>
      <w:tr w:rsidR="00B20FD4" w:rsidRPr="00961BF6" w14:paraId="5EA74169" w14:textId="77777777" w:rsidTr="00B20FD4">
        <w:trPr>
          <w:trHeight w:val="411"/>
          <w:tblHeader/>
        </w:trPr>
        <w:tc>
          <w:tcPr>
            <w:tcW w:w="3847" w:type="dxa"/>
            <w:tcBorders>
              <w:top w:val="nil"/>
              <w:left w:val="nil"/>
              <w:bottom w:val="nil"/>
              <w:right w:val="nil"/>
            </w:tcBorders>
            <w:shd w:val="clear" w:color="auto" w:fill="auto"/>
            <w:vAlign w:val="center"/>
            <w:hideMark/>
          </w:tcPr>
          <w:p w14:paraId="5EA74162" w14:textId="77777777" w:rsidR="00B20FD4" w:rsidRPr="00961BF6" w:rsidRDefault="00B20FD4" w:rsidP="00961BF6">
            <w:pPr>
              <w:rPr>
                <w:rFonts w:cs="Arial"/>
                <w:b/>
                <w:bCs/>
                <w:color w:val="000000"/>
                <w:sz w:val="22"/>
                <w:szCs w:val="22"/>
                <w:lang w:eastAsia="en-AU"/>
              </w:rPr>
            </w:pPr>
            <w:bookmarkStart w:id="343" w:name="Table_58"/>
            <w:bookmarkEnd w:id="343"/>
            <w:r w:rsidRPr="00961BF6">
              <w:rPr>
                <w:rFonts w:cs="Arial"/>
                <w:b/>
                <w:bCs/>
                <w:color w:val="000000"/>
                <w:sz w:val="22"/>
                <w:szCs w:val="22"/>
                <w:lang w:eastAsia="en-AU"/>
              </w:rPr>
              <w:t>Financial assets</w:t>
            </w:r>
          </w:p>
        </w:tc>
        <w:tc>
          <w:tcPr>
            <w:tcW w:w="1282" w:type="dxa"/>
            <w:tcBorders>
              <w:top w:val="nil"/>
              <w:left w:val="nil"/>
              <w:bottom w:val="nil"/>
              <w:right w:val="nil"/>
            </w:tcBorders>
            <w:shd w:val="clear" w:color="000000" w:fill="BFBFBF" w:themeFill="background1" w:themeFillShade="BF"/>
            <w:vAlign w:val="center"/>
            <w:hideMark/>
          </w:tcPr>
          <w:p w14:paraId="3E0BEA50" w14:textId="77777777" w:rsidR="00B20FD4" w:rsidRDefault="00B20FD4" w:rsidP="00961BF6">
            <w:pPr>
              <w:jc w:val="right"/>
              <w:rPr>
                <w:rFonts w:cs="Arial"/>
                <w:b/>
                <w:bCs/>
                <w:color w:val="000000"/>
                <w:sz w:val="22"/>
                <w:szCs w:val="22"/>
                <w:lang w:eastAsia="en-AU"/>
              </w:rPr>
            </w:pPr>
            <w:r>
              <w:rPr>
                <w:rFonts w:cs="Arial"/>
                <w:b/>
                <w:bCs/>
                <w:color w:val="000000"/>
                <w:sz w:val="22"/>
                <w:szCs w:val="22"/>
                <w:lang w:eastAsia="en-AU"/>
              </w:rPr>
              <w:t>2015</w:t>
            </w:r>
          </w:p>
          <w:p w14:paraId="5EA74164" w14:textId="7B45C10C" w:rsidR="00B20FD4" w:rsidRPr="00961BF6" w:rsidRDefault="00B20FD4" w:rsidP="00961BF6">
            <w:pPr>
              <w:jc w:val="right"/>
              <w:rPr>
                <w:rFonts w:cs="Arial"/>
                <w:color w:val="000000"/>
                <w:sz w:val="22"/>
                <w:szCs w:val="22"/>
                <w:lang w:eastAsia="en-AU"/>
              </w:rPr>
            </w:pPr>
            <w:r w:rsidRPr="00961BF6">
              <w:rPr>
                <w:rFonts w:cs="Arial"/>
                <w:b/>
                <w:bCs/>
                <w:color w:val="000000"/>
                <w:sz w:val="22"/>
                <w:szCs w:val="22"/>
                <w:lang w:eastAsia="en-AU"/>
              </w:rPr>
              <w:t>Carrying amount</w:t>
            </w:r>
          </w:p>
        </w:tc>
        <w:tc>
          <w:tcPr>
            <w:tcW w:w="1289" w:type="dxa"/>
            <w:tcBorders>
              <w:top w:val="nil"/>
              <w:left w:val="nil"/>
              <w:bottom w:val="nil"/>
              <w:right w:val="nil"/>
            </w:tcBorders>
            <w:shd w:val="clear" w:color="000000" w:fill="BFBFBF" w:themeFill="background1" w:themeFillShade="BF"/>
            <w:vAlign w:val="center"/>
            <w:hideMark/>
          </w:tcPr>
          <w:p w14:paraId="5EA74165" w14:textId="65B637A6" w:rsidR="00B20FD4" w:rsidRPr="00961BF6" w:rsidRDefault="00B20FD4" w:rsidP="00961BF6">
            <w:pPr>
              <w:jc w:val="right"/>
              <w:rPr>
                <w:rFonts w:cs="Arial"/>
                <w:color w:val="000000"/>
                <w:sz w:val="22"/>
                <w:szCs w:val="22"/>
                <w:lang w:eastAsia="en-AU"/>
              </w:rPr>
            </w:pPr>
            <w:r>
              <w:rPr>
                <w:rFonts w:cs="Arial"/>
                <w:b/>
                <w:bCs/>
                <w:color w:val="000000"/>
                <w:sz w:val="22"/>
                <w:szCs w:val="22"/>
                <w:lang w:eastAsia="en-AU"/>
              </w:rPr>
              <w:t xml:space="preserve">2015 </w:t>
            </w:r>
            <w:r w:rsidRPr="00961BF6">
              <w:rPr>
                <w:rFonts w:cs="Arial"/>
                <w:b/>
                <w:bCs/>
                <w:color w:val="000000"/>
                <w:sz w:val="22"/>
                <w:szCs w:val="22"/>
                <w:lang w:eastAsia="en-AU"/>
              </w:rPr>
              <w:t>Fair value</w:t>
            </w:r>
          </w:p>
        </w:tc>
        <w:tc>
          <w:tcPr>
            <w:tcW w:w="1289" w:type="dxa"/>
            <w:tcBorders>
              <w:top w:val="nil"/>
              <w:left w:val="nil"/>
              <w:bottom w:val="nil"/>
              <w:right w:val="nil"/>
            </w:tcBorders>
            <w:shd w:val="clear" w:color="auto" w:fill="auto"/>
            <w:vAlign w:val="center"/>
            <w:hideMark/>
          </w:tcPr>
          <w:p w14:paraId="5EA74167" w14:textId="6BF37899" w:rsidR="00B20FD4" w:rsidRPr="00961BF6" w:rsidRDefault="00B20FD4" w:rsidP="00961BF6">
            <w:pPr>
              <w:jc w:val="right"/>
              <w:rPr>
                <w:rFonts w:cs="Arial"/>
                <w:color w:val="000000"/>
                <w:sz w:val="22"/>
                <w:szCs w:val="22"/>
                <w:lang w:eastAsia="en-AU"/>
              </w:rPr>
            </w:pPr>
            <w:r>
              <w:rPr>
                <w:rFonts w:cs="Arial"/>
                <w:b/>
                <w:bCs/>
                <w:color w:val="000000"/>
                <w:sz w:val="22"/>
                <w:szCs w:val="22"/>
                <w:lang w:eastAsia="en-AU"/>
              </w:rPr>
              <w:t xml:space="preserve">2014 </w:t>
            </w:r>
            <w:r w:rsidRPr="00961BF6">
              <w:rPr>
                <w:rFonts w:cs="Arial"/>
                <w:b/>
                <w:bCs/>
                <w:color w:val="000000"/>
                <w:sz w:val="22"/>
                <w:szCs w:val="22"/>
                <w:lang w:eastAsia="en-AU"/>
              </w:rPr>
              <w:t>Carrying amount</w:t>
            </w:r>
          </w:p>
        </w:tc>
        <w:tc>
          <w:tcPr>
            <w:tcW w:w="1290" w:type="dxa"/>
            <w:tcBorders>
              <w:top w:val="nil"/>
              <w:left w:val="nil"/>
              <w:bottom w:val="nil"/>
              <w:right w:val="nil"/>
            </w:tcBorders>
            <w:shd w:val="clear" w:color="auto" w:fill="auto"/>
            <w:vAlign w:val="center"/>
            <w:hideMark/>
          </w:tcPr>
          <w:p w14:paraId="5EA74168" w14:textId="75072A45" w:rsidR="00B20FD4" w:rsidRPr="00961BF6" w:rsidRDefault="00B20FD4" w:rsidP="00961BF6">
            <w:pPr>
              <w:jc w:val="right"/>
              <w:rPr>
                <w:rFonts w:cs="Arial"/>
                <w:color w:val="000000"/>
                <w:sz w:val="22"/>
                <w:szCs w:val="22"/>
                <w:lang w:eastAsia="en-AU"/>
              </w:rPr>
            </w:pPr>
            <w:r>
              <w:rPr>
                <w:rFonts w:cs="Arial"/>
                <w:b/>
                <w:bCs/>
                <w:color w:val="000000"/>
                <w:sz w:val="22"/>
                <w:szCs w:val="22"/>
                <w:lang w:eastAsia="en-AU"/>
              </w:rPr>
              <w:t xml:space="preserve">2014 </w:t>
            </w:r>
            <w:r w:rsidRPr="00961BF6">
              <w:rPr>
                <w:rFonts w:cs="Arial"/>
                <w:b/>
                <w:bCs/>
                <w:color w:val="000000"/>
                <w:sz w:val="22"/>
                <w:szCs w:val="22"/>
                <w:lang w:eastAsia="en-AU"/>
              </w:rPr>
              <w:t>Fair value</w:t>
            </w:r>
          </w:p>
        </w:tc>
      </w:tr>
      <w:tr w:rsidR="00B20FD4" w:rsidRPr="00961BF6" w14:paraId="5EA74171" w14:textId="77777777" w:rsidTr="00B20FD4">
        <w:trPr>
          <w:trHeight w:val="372"/>
        </w:trPr>
        <w:tc>
          <w:tcPr>
            <w:tcW w:w="3847" w:type="dxa"/>
            <w:tcBorders>
              <w:top w:val="nil"/>
              <w:left w:val="nil"/>
              <w:bottom w:val="nil"/>
              <w:right w:val="nil"/>
            </w:tcBorders>
            <w:shd w:val="clear" w:color="auto" w:fill="auto"/>
            <w:vAlign w:val="center"/>
            <w:hideMark/>
          </w:tcPr>
          <w:p w14:paraId="5EA7416A" w14:textId="6A28C9C4"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Cash and cash equivalents</w:t>
            </w:r>
          </w:p>
        </w:tc>
        <w:tc>
          <w:tcPr>
            <w:tcW w:w="1282" w:type="dxa"/>
            <w:tcBorders>
              <w:top w:val="nil"/>
              <w:left w:val="nil"/>
              <w:bottom w:val="nil"/>
              <w:right w:val="nil"/>
            </w:tcBorders>
            <w:shd w:val="clear" w:color="000000" w:fill="BFBFBF" w:themeFill="background1" w:themeFillShade="BF"/>
            <w:vAlign w:val="center"/>
          </w:tcPr>
          <w:p w14:paraId="5EA7416C"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7,705</w:t>
            </w:r>
          </w:p>
        </w:tc>
        <w:tc>
          <w:tcPr>
            <w:tcW w:w="1289" w:type="dxa"/>
            <w:tcBorders>
              <w:top w:val="nil"/>
              <w:left w:val="nil"/>
              <w:bottom w:val="nil"/>
              <w:right w:val="nil"/>
            </w:tcBorders>
            <w:shd w:val="clear" w:color="000000" w:fill="BFBFBF" w:themeFill="background1" w:themeFillShade="BF"/>
            <w:vAlign w:val="center"/>
          </w:tcPr>
          <w:p w14:paraId="5EA7416D"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7,705</w:t>
            </w:r>
          </w:p>
        </w:tc>
        <w:tc>
          <w:tcPr>
            <w:tcW w:w="1289" w:type="dxa"/>
            <w:tcBorders>
              <w:top w:val="nil"/>
              <w:left w:val="nil"/>
              <w:bottom w:val="nil"/>
              <w:right w:val="nil"/>
            </w:tcBorders>
            <w:shd w:val="clear" w:color="auto" w:fill="auto"/>
            <w:vAlign w:val="center"/>
            <w:hideMark/>
          </w:tcPr>
          <w:p w14:paraId="5EA7416F"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11,966</w:t>
            </w:r>
          </w:p>
        </w:tc>
        <w:tc>
          <w:tcPr>
            <w:tcW w:w="1290" w:type="dxa"/>
            <w:tcBorders>
              <w:top w:val="nil"/>
              <w:left w:val="nil"/>
              <w:bottom w:val="nil"/>
              <w:right w:val="nil"/>
            </w:tcBorders>
            <w:shd w:val="clear" w:color="auto" w:fill="auto"/>
            <w:vAlign w:val="center"/>
            <w:hideMark/>
          </w:tcPr>
          <w:p w14:paraId="5EA74170"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11,966</w:t>
            </w:r>
          </w:p>
        </w:tc>
      </w:tr>
      <w:tr w:rsidR="00B20FD4" w:rsidRPr="00961BF6" w14:paraId="5EA74179" w14:textId="77777777" w:rsidTr="00B20FD4">
        <w:trPr>
          <w:trHeight w:val="372"/>
        </w:trPr>
        <w:tc>
          <w:tcPr>
            <w:tcW w:w="3847" w:type="dxa"/>
            <w:tcBorders>
              <w:top w:val="nil"/>
              <w:left w:val="nil"/>
              <w:bottom w:val="nil"/>
              <w:right w:val="nil"/>
            </w:tcBorders>
            <w:shd w:val="clear" w:color="auto" w:fill="auto"/>
            <w:vAlign w:val="center"/>
            <w:hideMark/>
          </w:tcPr>
          <w:p w14:paraId="5EA74172" w14:textId="77777777"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Trade receivables</w:t>
            </w:r>
          </w:p>
        </w:tc>
        <w:tc>
          <w:tcPr>
            <w:tcW w:w="1282" w:type="dxa"/>
            <w:tcBorders>
              <w:top w:val="nil"/>
              <w:left w:val="nil"/>
              <w:bottom w:val="nil"/>
              <w:right w:val="nil"/>
            </w:tcBorders>
            <w:shd w:val="clear" w:color="000000" w:fill="BFBFBF" w:themeFill="background1" w:themeFillShade="BF"/>
            <w:vAlign w:val="center"/>
          </w:tcPr>
          <w:p w14:paraId="5EA74174" w14:textId="77777777" w:rsidR="00B20FD4" w:rsidRPr="00961BF6" w:rsidRDefault="00B20FD4" w:rsidP="00902155">
            <w:pPr>
              <w:jc w:val="right"/>
              <w:rPr>
                <w:rFonts w:cs="Arial"/>
                <w:color w:val="000000"/>
                <w:sz w:val="22"/>
                <w:szCs w:val="22"/>
                <w:lang w:eastAsia="en-AU"/>
              </w:rPr>
            </w:pPr>
            <w:r>
              <w:rPr>
                <w:rFonts w:cs="Arial"/>
                <w:color w:val="000000"/>
                <w:sz w:val="22"/>
                <w:szCs w:val="22"/>
                <w:lang w:eastAsia="en-AU"/>
              </w:rPr>
              <w:t>1,207</w:t>
            </w:r>
          </w:p>
        </w:tc>
        <w:tc>
          <w:tcPr>
            <w:tcW w:w="1289" w:type="dxa"/>
            <w:tcBorders>
              <w:top w:val="nil"/>
              <w:left w:val="nil"/>
              <w:bottom w:val="nil"/>
              <w:right w:val="nil"/>
            </w:tcBorders>
            <w:shd w:val="clear" w:color="000000" w:fill="BFBFBF" w:themeFill="background1" w:themeFillShade="BF"/>
            <w:vAlign w:val="center"/>
          </w:tcPr>
          <w:p w14:paraId="5EA74175" w14:textId="77777777" w:rsidR="00B20FD4" w:rsidRPr="00961BF6" w:rsidRDefault="00B20FD4" w:rsidP="00902155">
            <w:pPr>
              <w:jc w:val="right"/>
              <w:rPr>
                <w:rFonts w:cs="Arial"/>
                <w:color w:val="000000"/>
                <w:sz w:val="22"/>
                <w:szCs w:val="22"/>
                <w:lang w:eastAsia="en-AU"/>
              </w:rPr>
            </w:pPr>
            <w:r>
              <w:rPr>
                <w:rFonts w:cs="Arial"/>
                <w:color w:val="000000"/>
                <w:sz w:val="22"/>
                <w:szCs w:val="22"/>
                <w:lang w:eastAsia="en-AU"/>
              </w:rPr>
              <w:t>1,207</w:t>
            </w:r>
          </w:p>
        </w:tc>
        <w:tc>
          <w:tcPr>
            <w:tcW w:w="1289" w:type="dxa"/>
            <w:tcBorders>
              <w:top w:val="nil"/>
              <w:left w:val="nil"/>
              <w:bottom w:val="nil"/>
              <w:right w:val="nil"/>
            </w:tcBorders>
            <w:shd w:val="clear" w:color="auto" w:fill="auto"/>
            <w:vAlign w:val="center"/>
            <w:hideMark/>
          </w:tcPr>
          <w:p w14:paraId="5EA74177"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1,318</w:t>
            </w:r>
          </w:p>
        </w:tc>
        <w:tc>
          <w:tcPr>
            <w:tcW w:w="1290" w:type="dxa"/>
            <w:tcBorders>
              <w:top w:val="nil"/>
              <w:left w:val="nil"/>
              <w:bottom w:val="nil"/>
              <w:right w:val="nil"/>
            </w:tcBorders>
            <w:shd w:val="clear" w:color="auto" w:fill="auto"/>
            <w:vAlign w:val="center"/>
            <w:hideMark/>
          </w:tcPr>
          <w:p w14:paraId="5EA74178"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1,318</w:t>
            </w:r>
          </w:p>
        </w:tc>
      </w:tr>
      <w:tr w:rsidR="00B20FD4" w:rsidRPr="00961BF6" w14:paraId="5EA74181" w14:textId="77777777" w:rsidTr="00B20FD4">
        <w:trPr>
          <w:trHeight w:val="372"/>
        </w:trPr>
        <w:tc>
          <w:tcPr>
            <w:tcW w:w="3847" w:type="dxa"/>
            <w:tcBorders>
              <w:top w:val="nil"/>
              <w:left w:val="nil"/>
              <w:bottom w:val="nil"/>
              <w:right w:val="nil"/>
            </w:tcBorders>
            <w:shd w:val="clear" w:color="auto" w:fill="auto"/>
            <w:vAlign w:val="center"/>
            <w:hideMark/>
          </w:tcPr>
          <w:p w14:paraId="5EA7417A" w14:textId="77777777"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Other receivables</w:t>
            </w:r>
          </w:p>
        </w:tc>
        <w:tc>
          <w:tcPr>
            <w:tcW w:w="1282" w:type="dxa"/>
            <w:tcBorders>
              <w:top w:val="nil"/>
              <w:left w:val="nil"/>
              <w:bottom w:val="nil"/>
              <w:right w:val="nil"/>
            </w:tcBorders>
            <w:shd w:val="clear" w:color="000000" w:fill="BFBFBF" w:themeFill="background1" w:themeFillShade="BF"/>
            <w:vAlign w:val="center"/>
          </w:tcPr>
          <w:p w14:paraId="5EA7417C" w14:textId="055A3B60" w:rsidR="00B20FD4" w:rsidRPr="00961BF6" w:rsidRDefault="00B20FD4">
            <w:pPr>
              <w:jc w:val="right"/>
              <w:rPr>
                <w:rFonts w:cs="Arial"/>
                <w:color w:val="000000"/>
                <w:sz w:val="22"/>
                <w:szCs w:val="22"/>
                <w:lang w:eastAsia="en-AU"/>
              </w:rPr>
            </w:pPr>
            <w:r>
              <w:rPr>
                <w:rFonts w:cs="Arial"/>
                <w:color w:val="000000"/>
                <w:sz w:val="22"/>
                <w:szCs w:val="22"/>
                <w:lang w:eastAsia="en-AU"/>
              </w:rPr>
              <w:t>1,853</w:t>
            </w:r>
          </w:p>
        </w:tc>
        <w:tc>
          <w:tcPr>
            <w:tcW w:w="1289" w:type="dxa"/>
            <w:tcBorders>
              <w:top w:val="nil"/>
              <w:left w:val="nil"/>
              <w:bottom w:val="nil"/>
              <w:right w:val="nil"/>
            </w:tcBorders>
            <w:shd w:val="clear" w:color="000000" w:fill="BFBFBF" w:themeFill="background1" w:themeFillShade="BF"/>
            <w:vAlign w:val="center"/>
          </w:tcPr>
          <w:p w14:paraId="5EA7417D" w14:textId="1909808B" w:rsidR="00B20FD4" w:rsidRPr="00961BF6" w:rsidRDefault="00B20FD4">
            <w:pPr>
              <w:jc w:val="right"/>
              <w:rPr>
                <w:rFonts w:cs="Arial"/>
                <w:color w:val="000000"/>
                <w:sz w:val="22"/>
                <w:szCs w:val="22"/>
                <w:lang w:eastAsia="en-AU"/>
              </w:rPr>
            </w:pPr>
            <w:r>
              <w:rPr>
                <w:rFonts w:cs="Arial"/>
                <w:color w:val="000000"/>
                <w:sz w:val="22"/>
                <w:szCs w:val="22"/>
                <w:lang w:eastAsia="en-AU"/>
              </w:rPr>
              <w:t>1,853</w:t>
            </w:r>
          </w:p>
        </w:tc>
        <w:tc>
          <w:tcPr>
            <w:tcW w:w="1289" w:type="dxa"/>
            <w:tcBorders>
              <w:top w:val="nil"/>
              <w:left w:val="nil"/>
              <w:bottom w:val="nil"/>
              <w:right w:val="nil"/>
            </w:tcBorders>
            <w:shd w:val="clear" w:color="auto" w:fill="auto"/>
            <w:vAlign w:val="center"/>
            <w:hideMark/>
          </w:tcPr>
          <w:p w14:paraId="5EA7417F"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1,865</w:t>
            </w:r>
          </w:p>
        </w:tc>
        <w:tc>
          <w:tcPr>
            <w:tcW w:w="1290" w:type="dxa"/>
            <w:tcBorders>
              <w:top w:val="nil"/>
              <w:left w:val="nil"/>
              <w:bottom w:val="nil"/>
              <w:right w:val="nil"/>
            </w:tcBorders>
            <w:shd w:val="clear" w:color="auto" w:fill="auto"/>
            <w:vAlign w:val="center"/>
            <w:hideMark/>
          </w:tcPr>
          <w:p w14:paraId="5EA74180"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1,865</w:t>
            </w:r>
          </w:p>
        </w:tc>
      </w:tr>
      <w:tr w:rsidR="00B20FD4" w:rsidRPr="00961BF6" w14:paraId="5EA74189" w14:textId="77777777" w:rsidTr="00B20FD4">
        <w:trPr>
          <w:trHeight w:val="372"/>
        </w:trPr>
        <w:tc>
          <w:tcPr>
            <w:tcW w:w="3847" w:type="dxa"/>
            <w:tcBorders>
              <w:top w:val="nil"/>
              <w:left w:val="nil"/>
              <w:bottom w:val="nil"/>
              <w:right w:val="nil"/>
            </w:tcBorders>
            <w:shd w:val="clear" w:color="auto" w:fill="auto"/>
            <w:vAlign w:val="center"/>
            <w:hideMark/>
          </w:tcPr>
          <w:p w14:paraId="5EA74182" w14:textId="77777777"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Interest bearing deposits</w:t>
            </w:r>
          </w:p>
        </w:tc>
        <w:tc>
          <w:tcPr>
            <w:tcW w:w="1282" w:type="dxa"/>
            <w:tcBorders>
              <w:top w:val="nil"/>
              <w:left w:val="nil"/>
              <w:bottom w:val="nil"/>
              <w:right w:val="nil"/>
            </w:tcBorders>
            <w:shd w:val="clear" w:color="000000" w:fill="BFBFBF" w:themeFill="background1" w:themeFillShade="BF"/>
            <w:vAlign w:val="center"/>
          </w:tcPr>
          <w:p w14:paraId="5EA74184"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21,453</w:t>
            </w:r>
          </w:p>
        </w:tc>
        <w:tc>
          <w:tcPr>
            <w:tcW w:w="1289" w:type="dxa"/>
            <w:tcBorders>
              <w:top w:val="nil"/>
              <w:left w:val="nil"/>
              <w:bottom w:val="nil"/>
              <w:right w:val="nil"/>
            </w:tcBorders>
            <w:shd w:val="clear" w:color="000000" w:fill="BFBFBF" w:themeFill="background1" w:themeFillShade="BF"/>
            <w:vAlign w:val="center"/>
          </w:tcPr>
          <w:p w14:paraId="5EA74185"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21,453</w:t>
            </w:r>
          </w:p>
        </w:tc>
        <w:tc>
          <w:tcPr>
            <w:tcW w:w="1289" w:type="dxa"/>
            <w:tcBorders>
              <w:top w:val="nil"/>
              <w:left w:val="nil"/>
              <w:bottom w:val="nil"/>
              <w:right w:val="nil"/>
            </w:tcBorders>
            <w:shd w:val="clear" w:color="auto" w:fill="auto"/>
            <w:vAlign w:val="center"/>
            <w:hideMark/>
          </w:tcPr>
          <w:p w14:paraId="5EA74187"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13,980</w:t>
            </w:r>
          </w:p>
        </w:tc>
        <w:tc>
          <w:tcPr>
            <w:tcW w:w="1290" w:type="dxa"/>
            <w:tcBorders>
              <w:top w:val="nil"/>
              <w:left w:val="nil"/>
              <w:bottom w:val="nil"/>
              <w:right w:val="nil"/>
            </w:tcBorders>
            <w:shd w:val="clear" w:color="auto" w:fill="auto"/>
            <w:vAlign w:val="center"/>
            <w:hideMark/>
          </w:tcPr>
          <w:p w14:paraId="5EA74188"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13,980</w:t>
            </w:r>
          </w:p>
        </w:tc>
      </w:tr>
      <w:tr w:rsidR="00B20FD4" w:rsidRPr="00961BF6" w14:paraId="5EA74191" w14:textId="77777777" w:rsidTr="00B20FD4">
        <w:trPr>
          <w:trHeight w:val="372"/>
        </w:trPr>
        <w:tc>
          <w:tcPr>
            <w:tcW w:w="3847" w:type="dxa"/>
            <w:tcBorders>
              <w:top w:val="nil"/>
              <w:left w:val="nil"/>
              <w:bottom w:val="nil"/>
              <w:right w:val="nil"/>
            </w:tcBorders>
            <w:shd w:val="clear" w:color="auto" w:fill="auto"/>
            <w:vAlign w:val="center"/>
            <w:hideMark/>
          </w:tcPr>
          <w:p w14:paraId="5EA7418A" w14:textId="77777777"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 xml:space="preserve">Shares </w:t>
            </w:r>
          </w:p>
        </w:tc>
        <w:tc>
          <w:tcPr>
            <w:tcW w:w="1282" w:type="dxa"/>
            <w:tcBorders>
              <w:top w:val="nil"/>
              <w:left w:val="nil"/>
              <w:bottom w:val="nil"/>
              <w:right w:val="nil"/>
            </w:tcBorders>
            <w:shd w:val="clear" w:color="000000" w:fill="BFBFBF" w:themeFill="background1" w:themeFillShade="BF"/>
            <w:vAlign w:val="center"/>
          </w:tcPr>
          <w:p w14:paraId="5EA7418C"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51,702</w:t>
            </w:r>
          </w:p>
        </w:tc>
        <w:tc>
          <w:tcPr>
            <w:tcW w:w="1289" w:type="dxa"/>
            <w:tcBorders>
              <w:top w:val="nil"/>
              <w:left w:val="nil"/>
              <w:bottom w:val="nil"/>
              <w:right w:val="nil"/>
            </w:tcBorders>
            <w:shd w:val="clear" w:color="000000" w:fill="BFBFBF" w:themeFill="background1" w:themeFillShade="BF"/>
            <w:vAlign w:val="center"/>
          </w:tcPr>
          <w:p w14:paraId="5EA7418D"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51,702</w:t>
            </w:r>
          </w:p>
        </w:tc>
        <w:tc>
          <w:tcPr>
            <w:tcW w:w="1289" w:type="dxa"/>
            <w:tcBorders>
              <w:top w:val="nil"/>
              <w:left w:val="nil"/>
              <w:bottom w:val="nil"/>
              <w:right w:val="nil"/>
            </w:tcBorders>
            <w:shd w:val="clear" w:color="auto" w:fill="auto"/>
            <w:vAlign w:val="center"/>
            <w:hideMark/>
          </w:tcPr>
          <w:p w14:paraId="5EA7418F"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50,585</w:t>
            </w:r>
          </w:p>
        </w:tc>
        <w:tc>
          <w:tcPr>
            <w:tcW w:w="1290" w:type="dxa"/>
            <w:tcBorders>
              <w:top w:val="nil"/>
              <w:left w:val="nil"/>
              <w:bottom w:val="nil"/>
              <w:right w:val="nil"/>
            </w:tcBorders>
            <w:shd w:val="clear" w:color="auto" w:fill="auto"/>
            <w:vAlign w:val="center"/>
            <w:hideMark/>
          </w:tcPr>
          <w:p w14:paraId="5EA74190"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50,585</w:t>
            </w:r>
          </w:p>
        </w:tc>
      </w:tr>
      <w:tr w:rsidR="00B20FD4" w:rsidRPr="00961BF6" w14:paraId="5EA74199" w14:textId="77777777" w:rsidTr="00B20FD4">
        <w:trPr>
          <w:trHeight w:val="372"/>
        </w:trPr>
        <w:tc>
          <w:tcPr>
            <w:tcW w:w="3847" w:type="dxa"/>
            <w:tcBorders>
              <w:top w:val="nil"/>
              <w:left w:val="nil"/>
              <w:bottom w:val="nil"/>
              <w:right w:val="nil"/>
            </w:tcBorders>
            <w:shd w:val="clear" w:color="auto" w:fill="auto"/>
            <w:vAlign w:val="center"/>
            <w:hideMark/>
          </w:tcPr>
          <w:p w14:paraId="5EA74192" w14:textId="77777777"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Managed trusts and funds</w:t>
            </w:r>
          </w:p>
        </w:tc>
        <w:tc>
          <w:tcPr>
            <w:tcW w:w="1282" w:type="dxa"/>
            <w:tcBorders>
              <w:top w:val="nil"/>
              <w:left w:val="nil"/>
              <w:bottom w:val="nil"/>
              <w:right w:val="nil"/>
            </w:tcBorders>
            <w:shd w:val="clear" w:color="000000" w:fill="BFBFBF" w:themeFill="background1" w:themeFillShade="BF"/>
            <w:vAlign w:val="center"/>
          </w:tcPr>
          <w:p w14:paraId="5EA74194"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18,410</w:t>
            </w:r>
          </w:p>
        </w:tc>
        <w:tc>
          <w:tcPr>
            <w:tcW w:w="1289" w:type="dxa"/>
            <w:tcBorders>
              <w:top w:val="nil"/>
              <w:left w:val="nil"/>
              <w:bottom w:val="nil"/>
              <w:right w:val="nil"/>
            </w:tcBorders>
            <w:shd w:val="clear" w:color="000000" w:fill="BFBFBF" w:themeFill="background1" w:themeFillShade="BF"/>
            <w:vAlign w:val="center"/>
          </w:tcPr>
          <w:p w14:paraId="5EA74195"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18,410</w:t>
            </w:r>
          </w:p>
        </w:tc>
        <w:tc>
          <w:tcPr>
            <w:tcW w:w="1289" w:type="dxa"/>
            <w:tcBorders>
              <w:top w:val="nil"/>
              <w:left w:val="nil"/>
              <w:bottom w:val="nil"/>
              <w:right w:val="nil"/>
            </w:tcBorders>
            <w:shd w:val="clear" w:color="auto" w:fill="auto"/>
            <w:vAlign w:val="center"/>
            <w:hideMark/>
          </w:tcPr>
          <w:p w14:paraId="5EA74197"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12,170</w:t>
            </w:r>
          </w:p>
        </w:tc>
        <w:tc>
          <w:tcPr>
            <w:tcW w:w="1290" w:type="dxa"/>
            <w:tcBorders>
              <w:top w:val="nil"/>
              <w:left w:val="nil"/>
              <w:bottom w:val="nil"/>
              <w:right w:val="nil"/>
            </w:tcBorders>
            <w:shd w:val="clear" w:color="auto" w:fill="auto"/>
            <w:vAlign w:val="center"/>
            <w:hideMark/>
          </w:tcPr>
          <w:p w14:paraId="5EA74198"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12,170</w:t>
            </w:r>
          </w:p>
        </w:tc>
      </w:tr>
      <w:tr w:rsidR="00B20FD4" w:rsidRPr="00961BF6" w14:paraId="5EA741A1" w14:textId="77777777" w:rsidTr="00B20FD4">
        <w:trPr>
          <w:trHeight w:val="392"/>
        </w:trPr>
        <w:tc>
          <w:tcPr>
            <w:tcW w:w="3847" w:type="dxa"/>
            <w:tcBorders>
              <w:top w:val="nil"/>
              <w:left w:val="nil"/>
              <w:bottom w:val="nil"/>
              <w:right w:val="nil"/>
            </w:tcBorders>
            <w:shd w:val="clear" w:color="auto" w:fill="auto"/>
            <w:vAlign w:val="center"/>
            <w:hideMark/>
          </w:tcPr>
          <w:p w14:paraId="5EA7419A" w14:textId="77777777"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Fixed interest securities</w:t>
            </w:r>
          </w:p>
        </w:tc>
        <w:tc>
          <w:tcPr>
            <w:tcW w:w="1282" w:type="dxa"/>
            <w:tcBorders>
              <w:top w:val="nil"/>
              <w:left w:val="nil"/>
              <w:bottom w:val="nil"/>
              <w:right w:val="nil"/>
            </w:tcBorders>
            <w:shd w:val="clear" w:color="000000" w:fill="BFBFBF" w:themeFill="background1" w:themeFillShade="BF"/>
            <w:vAlign w:val="center"/>
          </w:tcPr>
          <w:p w14:paraId="5EA7419C" w14:textId="77777777" w:rsidR="00B20FD4" w:rsidRPr="00961BF6" w:rsidRDefault="00B20FD4" w:rsidP="00902155">
            <w:pPr>
              <w:jc w:val="right"/>
              <w:rPr>
                <w:rFonts w:cs="Arial"/>
                <w:color w:val="000000"/>
                <w:sz w:val="22"/>
                <w:szCs w:val="22"/>
                <w:lang w:eastAsia="en-AU"/>
              </w:rPr>
            </w:pPr>
            <w:r>
              <w:rPr>
                <w:rFonts w:cs="Arial"/>
                <w:color w:val="000000"/>
                <w:sz w:val="22"/>
                <w:szCs w:val="22"/>
                <w:lang w:eastAsia="en-AU"/>
              </w:rPr>
              <w:t>18,426</w:t>
            </w:r>
          </w:p>
        </w:tc>
        <w:tc>
          <w:tcPr>
            <w:tcW w:w="1289" w:type="dxa"/>
            <w:tcBorders>
              <w:top w:val="nil"/>
              <w:left w:val="nil"/>
              <w:bottom w:val="nil"/>
              <w:right w:val="nil"/>
            </w:tcBorders>
            <w:shd w:val="clear" w:color="000000" w:fill="BFBFBF" w:themeFill="background1" w:themeFillShade="BF"/>
            <w:vAlign w:val="center"/>
          </w:tcPr>
          <w:p w14:paraId="5EA7419D" w14:textId="77777777" w:rsidR="00B20FD4" w:rsidRPr="00961BF6" w:rsidRDefault="00B20FD4" w:rsidP="00902155">
            <w:pPr>
              <w:jc w:val="right"/>
              <w:rPr>
                <w:rFonts w:cs="Arial"/>
                <w:color w:val="000000"/>
                <w:sz w:val="22"/>
                <w:szCs w:val="22"/>
                <w:lang w:eastAsia="en-AU"/>
              </w:rPr>
            </w:pPr>
            <w:r>
              <w:rPr>
                <w:rFonts w:cs="Arial"/>
                <w:color w:val="000000"/>
                <w:sz w:val="22"/>
                <w:szCs w:val="22"/>
                <w:lang w:eastAsia="en-AU"/>
              </w:rPr>
              <w:t>18,426</w:t>
            </w:r>
          </w:p>
        </w:tc>
        <w:tc>
          <w:tcPr>
            <w:tcW w:w="1289" w:type="dxa"/>
            <w:tcBorders>
              <w:top w:val="nil"/>
              <w:left w:val="nil"/>
              <w:bottom w:val="nil"/>
              <w:right w:val="nil"/>
            </w:tcBorders>
            <w:shd w:val="clear" w:color="auto" w:fill="auto"/>
            <w:vAlign w:val="center"/>
            <w:hideMark/>
          </w:tcPr>
          <w:p w14:paraId="5EA7419F"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19,639</w:t>
            </w:r>
          </w:p>
        </w:tc>
        <w:tc>
          <w:tcPr>
            <w:tcW w:w="1290" w:type="dxa"/>
            <w:tcBorders>
              <w:top w:val="nil"/>
              <w:left w:val="nil"/>
              <w:bottom w:val="nil"/>
              <w:right w:val="nil"/>
            </w:tcBorders>
            <w:shd w:val="clear" w:color="auto" w:fill="auto"/>
            <w:vAlign w:val="center"/>
            <w:hideMark/>
          </w:tcPr>
          <w:p w14:paraId="5EA741A0"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19,639</w:t>
            </w:r>
          </w:p>
        </w:tc>
      </w:tr>
      <w:tr w:rsidR="00B20FD4" w:rsidRPr="00961BF6" w14:paraId="5EA741A9" w14:textId="77777777" w:rsidTr="00B20FD4">
        <w:trPr>
          <w:trHeight w:val="411"/>
        </w:trPr>
        <w:tc>
          <w:tcPr>
            <w:tcW w:w="3847" w:type="dxa"/>
            <w:tcBorders>
              <w:top w:val="nil"/>
              <w:left w:val="nil"/>
              <w:bottom w:val="nil"/>
              <w:right w:val="nil"/>
            </w:tcBorders>
            <w:shd w:val="clear" w:color="auto" w:fill="auto"/>
            <w:vAlign w:val="center"/>
            <w:hideMark/>
          </w:tcPr>
          <w:p w14:paraId="5EA741A2" w14:textId="0FB09727" w:rsidR="00B20FD4" w:rsidRPr="00961BF6" w:rsidRDefault="00B20FD4" w:rsidP="00961BF6">
            <w:pPr>
              <w:rPr>
                <w:rFonts w:cs="Arial"/>
                <w:color w:val="000000"/>
                <w:sz w:val="22"/>
                <w:szCs w:val="22"/>
                <w:lang w:eastAsia="en-AU"/>
              </w:rPr>
            </w:pPr>
            <w:r>
              <w:rPr>
                <w:rFonts w:cs="Arial"/>
                <w:color w:val="000000"/>
                <w:sz w:val="22"/>
                <w:szCs w:val="22"/>
                <w:lang w:eastAsia="en-AU"/>
              </w:rPr>
              <w:t>Total</w:t>
            </w:r>
          </w:p>
        </w:tc>
        <w:tc>
          <w:tcPr>
            <w:tcW w:w="1282" w:type="dxa"/>
            <w:tcBorders>
              <w:top w:val="single" w:sz="12" w:space="0" w:color="auto"/>
              <w:left w:val="nil"/>
              <w:bottom w:val="single" w:sz="12" w:space="0" w:color="auto"/>
              <w:right w:val="nil"/>
            </w:tcBorders>
            <w:shd w:val="clear" w:color="000000" w:fill="BFBFBF" w:themeFill="background1" w:themeFillShade="BF"/>
            <w:vAlign w:val="center"/>
          </w:tcPr>
          <w:p w14:paraId="5EA741A4" w14:textId="77CA3CC5" w:rsidR="00B20FD4" w:rsidRPr="00961BF6" w:rsidRDefault="00B20FD4">
            <w:pPr>
              <w:jc w:val="right"/>
              <w:rPr>
                <w:rFonts w:cs="Arial"/>
                <w:color w:val="000000"/>
                <w:sz w:val="22"/>
                <w:szCs w:val="22"/>
                <w:lang w:eastAsia="en-AU"/>
              </w:rPr>
            </w:pPr>
            <w:r>
              <w:rPr>
                <w:rFonts w:cs="Arial"/>
                <w:color w:val="000000"/>
                <w:sz w:val="22"/>
                <w:szCs w:val="22"/>
                <w:lang w:eastAsia="en-AU"/>
              </w:rPr>
              <w:t>120,756</w:t>
            </w:r>
          </w:p>
        </w:tc>
        <w:tc>
          <w:tcPr>
            <w:tcW w:w="1289" w:type="dxa"/>
            <w:tcBorders>
              <w:top w:val="single" w:sz="12" w:space="0" w:color="auto"/>
              <w:left w:val="nil"/>
              <w:bottom w:val="single" w:sz="12" w:space="0" w:color="auto"/>
              <w:right w:val="nil"/>
            </w:tcBorders>
            <w:shd w:val="clear" w:color="000000" w:fill="BFBFBF" w:themeFill="background1" w:themeFillShade="BF"/>
            <w:vAlign w:val="center"/>
          </w:tcPr>
          <w:p w14:paraId="5EA741A5" w14:textId="738B6251" w:rsidR="00B20FD4" w:rsidRPr="00961BF6" w:rsidRDefault="00B20FD4">
            <w:pPr>
              <w:jc w:val="right"/>
              <w:rPr>
                <w:rFonts w:cs="Arial"/>
                <w:color w:val="000000"/>
                <w:sz w:val="22"/>
                <w:szCs w:val="22"/>
                <w:lang w:eastAsia="en-AU"/>
              </w:rPr>
            </w:pPr>
            <w:r>
              <w:rPr>
                <w:rFonts w:cs="Arial"/>
                <w:color w:val="000000"/>
                <w:sz w:val="22"/>
                <w:szCs w:val="22"/>
                <w:lang w:eastAsia="en-AU"/>
              </w:rPr>
              <w:t>120,756</w:t>
            </w:r>
          </w:p>
        </w:tc>
        <w:tc>
          <w:tcPr>
            <w:tcW w:w="1289" w:type="dxa"/>
            <w:tcBorders>
              <w:top w:val="single" w:sz="12" w:space="0" w:color="auto"/>
              <w:left w:val="nil"/>
              <w:bottom w:val="single" w:sz="12" w:space="0" w:color="auto"/>
              <w:right w:val="nil"/>
            </w:tcBorders>
            <w:shd w:val="clear" w:color="auto" w:fill="auto"/>
            <w:vAlign w:val="center"/>
            <w:hideMark/>
          </w:tcPr>
          <w:p w14:paraId="5EA741A7"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111,523</w:t>
            </w:r>
          </w:p>
        </w:tc>
        <w:tc>
          <w:tcPr>
            <w:tcW w:w="1290" w:type="dxa"/>
            <w:tcBorders>
              <w:top w:val="single" w:sz="12" w:space="0" w:color="auto"/>
              <w:left w:val="nil"/>
              <w:bottom w:val="single" w:sz="12" w:space="0" w:color="auto"/>
              <w:right w:val="nil"/>
            </w:tcBorders>
            <w:shd w:val="clear" w:color="auto" w:fill="auto"/>
            <w:vAlign w:val="center"/>
            <w:hideMark/>
          </w:tcPr>
          <w:p w14:paraId="5EA741A8"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111,523</w:t>
            </w:r>
          </w:p>
        </w:tc>
      </w:tr>
    </w:tbl>
    <w:p w14:paraId="23646399" w14:textId="77777777" w:rsidR="00B20FD4" w:rsidRDefault="00B20FD4"/>
    <w:tbl>
      <w:tblPr>
        <w:tblW w:w="8967" w:type="dxa"/>
        <w:tblInd w:w="108" w:type="dxa"/>
        <w:tblLook w:val="04A0" w:firstRow="1" w:lastRow="0" w:firstColumn="1" w:lastColumn="0" w:noHBand="0" w:noVBand="1"/>
      </w:tblPr>
      <w:tblGrid>
        <w:gridCol w:w="3834"/>
        <w:gridCol w:w="1277"/>
        <w:gridCol w:w="1285"/>
        <w:gridCol w:w="1285"/>
        <w:gridCol w:w="1286"/>
      </w:tblGrid>
      <w:tr w:rsidR="00B20FD4" w:rsidRPr="00961BF6" w14:paraId="5EA741B1" w14:textId="77777777" w:rsidTr="00B20FD4">
        <w:trPr>
          <w:trHeight w:val="520"/>
          <w:tblHeader/>
        </w:trPr>
        <w:tc>
          <w:tcPr>
            <w:tcW w:w="3834" w:type="dxa"/>
            <w:tcBorders>
              <w:top w:val="nil"/>
              <w:left w:val="nil"/>
              <w:bottom w:val="nil"/>
              <w:right w:val="nil"/>
            </w:tcBorders>
            <w:shd w:val="clear" w:color="auto" w:fill="auto"/>
            <w:vAlign w:val="center"/>
            <w:hideMark/>
          </w:tcPr>
          <w:p w14:paraId="5EA741AA" w14:textId="77777777" w:rsidR="00B20FD4" w:rsidRPr="00961BF6" w:rsidRDefault="00B20FD4" w:rsidP="00961BF6">
            <w:pPr>
              <w:rPr>
                <w:rFonts w:cs="Arial"/>
                <w:b/>
                <w:bCs/>
                <w:color w:val="000000"/>
                <w:sz w:val="22"/>
                <w:szCs w:val="22"/>
                <w:lang w:eastAsia="en-AU"/>
              </w:rPr>
            </w:pPr>
            <w:bookmarkStart w:id="344" w:name="Table_59"/>
            <w:bookmarkEnd w:id="344"/>
            <w:r w:rsidRPr="00961BF6">
              <w:rPr>
                <w:rFonts w:cs="Arial"/>
                <w:b/>
                <w:bCs/>
                <w:color w:val="000000"/>
                <w:sz w:val="22"/>
                <w:szCs w:val="22"/>
                <w:lang w:eastAsia="en-AU"/>
              </w:rPr>
              <w:t>Financial liabilities</w:t>
            </w:r>
          </w:p>
        </w:tc>
        <w:tc>
          <w:tcPr>
            <w:tcW w:w="1277" w:type="dxa"/>
            <w:tcBorders>
              <w:top w:val="nil"/>
              <w:left w:val="nil"/>
              <w:bottom w:val="nil"/>
              <w:right w:val="nil"/>
            </w:tcBorders>
            <w:shd w:val="clear" w:color="000000" w:fill="BFBFBF" w:themeFill="background1" w:themeFillShade="BF"/>
            <w:vAlign w:val="center"/>
          </w:tcPr>
          <w:p w14:paraId="171910F9" w14:textId="77777777" w:rsidR="00B20FD4" w:rsidRDefault="00B20FD4" w:rsidP="002B368D">
            <w:pPr>
              <w:jc w:val="right"/>
              <w:rPr>
                <w:rFonts w:cs="Arial"/>
                <w:b/>
                <w:bCs/>
                <w:color w:val="000000"/>
                <w:sz w:val="22"/>
                <w:szCs w:val="22"/>
                <w:lang w:eastAsia="en-AU"/>
              </w:rPr>
            </w:pPr>
            <w:r>
              <w:rPr>
                <w:rFonts w:cs="Arial"/>
                <w:b/>
                <w:bCs/>
                <w:color w:val="000000"/>
                <w:sz w:val="22"/>
                <w:szCs w:val="22"/>
                <w:lang w:eastAsia="en-AU"/>
              </w:rPr>
              <w:t>2015</w:t>
            </w:r>
          </w:p>
          <w:p w14:paraId="5EA741AC" w14:textId="37ACE970" w:rsidR="00B20FD4" w:rsidRPr="00961BF6" w:rsidRDefault="00B20FD4" w:rsidP="00961BF6">
            <w:pPr>
              <w:jc w:val="right"/>
              <w:rPr>
                <w:rFonts w:cs="Arial"/>
                <w:color w:val="000000"/>
                <w:sz w:val="22"/>
                <w:szCs w:val="22"/>
                <w:lang w:eastAsia="en-AU"/>
              </w:rPr>
            </w:pPr>
            <w:r w:rsidRPr="00961BF6">
              <w:rPr>
                <w:rFonts w:cs="Arial"/>
                <w:b/>
                <w:bCs/>
                <w:color w:val="000000"/>
                <w:sz w:val="22"/>
                <w:szCs w:val="22"/>
                <w:lang w:eastAsia="en-AU"/>
              </w:rPr>
              <w:t>Carrying amount</w:t>
            </w:r>
          </w:p>
        </w:tc>
        <w:tc>
          <w:tcPr>
            <w:tcW w:w="1285" w:type="dxa"/>
            <w:tcBorders>
              <w:top w:val="nil"/>
              <w:left w:val="nil"/>
              <w:bottom w:val="nil"/>
              <w:right w:val="nil"/>
            </w:tcBorders>
            <w:shd w:val="clear" w:color="000000" w:fill="BFBFBF" w:themeFill="background1" w:themeFillShade="BF"/>
            <w:vAlign w:val="center"/>
          </w:tcPr>
          <w:p w14:paraId="5EA741AD" w14:textId="7F844460" w:rsidR="00B20FD4" w:rsidRPr="00961BF6" w:rsidRDefault="00B20FD4" w:rsidP="00961BF6">
            <w:pPr>
              <w:jc w:val="right"/>
              <w:rPr>
                <w:rFonts w:cs="Arial"/>
                <w:color w:val="000000"/>
                <w:sz w:val="22"/>
                <w:szCs w:val="22"/>
                <w:lang w:eastAsia="en-AU"/>
              </w:rPr>
            </w:pPr>
            <w:r>
              <w:rPr>
                <w:rFonts w:cs="Arial"/>
                <w:b/>
                <w:bCs/>
                <w:color w:val="000000"/>
                <w:sz w:val="22"/>
                <w:szCs w:val="22"/>
                <w:lang w:eastAsia="en-AU"/>
              </w:rPr>
              <w:t xml:space="preserve">2015 </w:t>
            </w:r>
            <w:r w:rsidRPr="00961BF6">
              <w:rPr>
                <w:rFonts w:cs="Arial"/>
                <w:b/>
                <w:bCs/>
                <w:color w:val="000000"/>
                <w:sz w:val="22"/>
                <w:szCs w:val="22"/>
                <w:lang w:eastAsia="en-AU"/>
              </w:rPr>
              <w:t>Fair value</w:t>
            </w:r>
          </w:p>
        </w:tc>
        <w:tc>
          <w:tcPr>
            <w:tcW w:w="1285" w:type="dxa"/>
            <w:tcBorders>
              <w:top w:val="nil"/>
              <w:left w:val="nil"/>
              <w:bottom w:val="nil"/>
              <w:right w:val="nil"/>
            </w:tcBorders>
            <w:shd w:val="clear" w:color="auto" w:fill="auto"/>
            <w:vAlign w:val="center"/>
            <w:hideMark/>
          </w:tcPr>
          <w:p w14:paraId="5EA741AF" w14:textId="06AB0177" w:rsidR="00B20FD4" w:rsidRPr="00961BF6" w:rsidRDefault="00B20FD4" w:rsidP="00961BF6">
            <w:pPr>
              <w:jc w:val="right"/>
              <w:rPr>
                <w:rFonts w:cs="Arial"/>
                <w:color w:val="000000"/>
                <w:sz w:val="22"/>
                <w:szCs w:val="22"/>
                <w:lang w:eastAsia="en-AU"/>
              </w:rPr>
            </w:pPr>
            <w:r>
              <w:rPr>
                <w:rFonts w:cs="Arial"/>
                <w:b/>
                <w:bCs/>
                <w:color w:val="000000"/>
                <w:sz w:val="22"/>
                <w:szCs w:val="22"/>
                <w:lang w:eastAsia="en-AU"/>
              </w:rPr>
              <w:t xml:space="preserve">2014 </w:t>
            </w:r>
            <w:r w:rsidRPr="00961BF6">
              <w:rPr>
                <w:rFonts w:cs="Arial"/>
                <w:b/>
                <w:bCs/>
                <w:color w:val="000000"/>
                <w:sz w:val="22"/>
                <w:szCs w:val="22"/>
                <w:lang w:eastAsia="en-AU"/>
              </w:rPr>
              <w:t>Carrying amount</w:t>
            </w:r>
          </w:p>
        </w:tc>
        <w:tc>
          <w:tcPr>
            <w:tcW w:w="1286" w:type="dxa"/>
            <w:tcBorders>
              <w:top w:val="nil"/>
              <w:left w:val="nil"/>
              <w:bottom w:val="nil"/>
              <w:right w:val="nil"/>
            </w:tcBorders>
            <w:shd w:val="clear" w:color="auto" w:fill="auto"/>
            <w:vAlign w:val="center"/>
            <w:hideMark/>
          </w:tcPr>
          <w:p w14:paraId="5EA741B0" w14:textId="3A16AF6A" w:rsidR="00B20FD4" w:rsidRPr="00961BF6" w:rsidRDefault="00B20FD4" w:rsidP="00961BF6">
            <w:pPr>
              <w:jc w:val="right"/>
              <w:rPr>
                <w:rFonts w:cs="Arial"/>
                <w:color w:val="000000"/>
                <w:sz w:val="22"/>
                <w:szCs w:val="22"/>
                <w:lang w:eastAsia="en-AU"/>
              </w:rPr>
            </w:pPr>
            <w:r>
              <w:rPr>
                <w:rFonts w:cs="Arial"/>
                <w:b/>
                <w:bCs/>
                <w:color w:val="000000"/>
                <w:sz w:val="22"/>
                <w:szCs w:val="22"/>
                <w:lang w:eastAsia="en-AU"/>
              </w:rPr>
              <w:t xml:space="preserve">2014 </w:t>
            </w:r>
            <w:r w:rsidRPr="00961BF6">
              <w:rPr>
                <w:rFonts w:cs="Arial"/>
                <w:b/>
                <w:bCs/>
                <w:color w:val="000000"/>
                <w:sz w:val="22"/>
                <w:szCs w:val="22"/>
                <w:lang w:eastAsia="en-AU"/>
              </w:rPr>
              <w:t>Fair value</w:t>
            </w:r>
          </w:p>
        </w:tc>
      </w:tr>
      <w:tr w:rsidR="00B20FD4" w:rsidRPr="00961BF6" w14:paraId="5EA741B9" w14:textId="77777777" w:rsidTr="00B20FD4">
        <w:trPr>
          <w:trHeight w:val="471"/>
        </w:trPr>
        <w:tc>
          <w:tcPr>
            <w:tcW w:w="3834" w:type="dxa"/>
            <w:tcBorders>
              <w:top w:val="nil"/>
              <w:left w:val="nil"/>
              <w:bottom w:val="nil"/>
              <w:right w:val="nil"/>
            </w:tcBorders>
            <w:shd w:val="clear" w:color="auto" w:fill="auto"/>
            <w:vAlign w:val="center"/>
            <w:hideMark/>
          </w:tcPr>
          <w:p w14:paraId="5EA741B2" w14:textId="77777777"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Trade payables</w:t>
            </w:r>
          </w:p>
        </w:tc>
        <w:tc>
          <w:tcPr>
            <w:tcW w:w="1277" w:type="dxa"/>
            <w:tcBorders>
              <w:top w:val="nil"/>
              <w:left w:val="nil"/>
              <w:bottom w:val="nil"/>
              <w:right w:val="nil"/>
            </w:tcBorders>
            <w:shd w:val="clear" w:color="000000" w:fill="BFBFBF" w:themeFill="background1" w:themeFillShade="BF"/>
            <w:vAlign w:val="center"/>
          </w:tcPr>
          <w:p w14:paraId="5EA741B4"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601</w:t>
            </w:r>
          </w:p>
        </w:tc>
        <w:tc>
          <w:tcPr>
            <w:tcW w:w="1285" w:type="dxa"/>
            <w:tcBorders>
              <w:top w:val="nil"/>
              <w:left w:val="nil"/>
              <w:bottom w:val="nil"/>
              <w:right w:val="nil"/>
            </w:tcBorders>
            <w:shd w:val="clear" w:color="000000" w:fill="BFBFBF" w:themeFill="background1" w:themeFillShade="BF"/>
            <w:vAlign w:val="center"/>
          </w:tcPr>
          <w:p w14:paraId="5EA741B5"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601</w:t>
            </w:r>
          </w:p>
        </w:tc>
        <w:tc>
          <w:tcPr>
            <w:tcW w:w="1285" w:type="dxa"/>
            <w:tcBorders>
              <w:top w:val="nil"/>
              <w:left w:val="nil"/>
              <w:bottom w:val="nil"/>
              <w:right w:val="nil"/>
            </w:tcBorders>
            <w:shd w:val="clear" w:color="auto" w:fill="auto"/>
            <w:vAlign w:val="center"/>
            <w:hideMark/>
          </w:tcPr>
          <w:p w14:paraId="5EA741B7"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779</w:t>
            </w:r>
          </w:p>
        </w:tc>
        <w:tc>
          <w:tcPr>
            <w:tcW w:w="1286" w:type="dxa"/>
            <w:tcBorders>
              <w:top w:val="nil"/>
              <w:left w:val="nil"/>
              <w:bottom w:val="nil"/>
              <w:right w:val="nil"/>
            </w:tcBorders>
            <w:shd w:val="clear" w:color="auto" w:fill="auto"/>
            <w:vAlign w:val="center"/>
            <w:hideMark/>
          </w:tcPr>
          <w:p w14:paraId="5EA741B8"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779</w:t>
            </w:r>
          </w:p>
        </w:tc>
      </w:tr>
      <w:tr w:rsidR="00B20FD4" w:rsidRPr="00961BF6" w14:paraId="5EA741C1" w14:textId="77777777" w:rsidTr="00B20FD4">
        <w:trPr>
          <w:trHeight w:val="496"/>
        </w:trPr>
        <w:tc>
          <w:tcPr>
            <w:tcW w:w="3834" w:type="dxa"/>
            <w:tcBorders>
              <w:top w:val="nil"/>
              <w:left w:val="nil"/>
              <w:bottom w:val="nil"/>
              <w:right w:val="nil"/>
            </w:tcBorders>
            <w:shd w:val="clear" w:color="auto" w:fill="auto"/>
            <w:vAlign w:val="center"/>
            <w:hideMark/>
          </w:tcPr>
          <w:p w14:paraId="5EA741BA" w14:textId="77777777"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Other payables</w:t>
            </w:r>
          </w:p>
        </w:tc>
        <w:tc>
          <w:tcPr>
            <w:tcW w:w="1277" w:type="dxa"/>
            <w:tcBorders>
              <w:top w:val="nil"/>
              <w:left w:val="nil"/>
              <w:bottom w:val="nil"/>
              <w:right w:val="nil"/>
            </w:tcBorders>
            <w:shd w:val="clear" w:color="000000" w:fill="BFBFBF" w:themeFill="background1" w:themeFillShade="BF"/>
            <w:vAlign w:val="center"/>
          </w:tcPr>
          <w:p w14:paraId="5EA741BC" w14:textId="26FD3678" w:rsidR="00B20FD4" w:rsidRPr="00961BF6" w:rsidRDefault="00B20FD4">
            <w:pPr>
              <w:jc w:val="right"/>
              <w:rPr>
                <w:rFonts w:cs="Arial"/>
                <w:color w:val="000000"/>
                <w:sz w:val="22"/>
                <w:szCs w:val="22"/>
                <w:lang w:eastAsia="en-AU"/>
              </w:rPr>
            </w:pPr>
            <w:r>
              <w:rPr>
                <w:rFonts w:cs="Arial"/>
                <w:color w:val="000000"/>
                <w:sz w:val="22"/>
                <w:szCs w:val="22"/>
                <w:lang w:eastAsia="en-AU"/>
              </w:rPr>
              <w:t>7,388</w:t>
            </w:r>
          </w:p>
        </w:tc>
        <w:tc>
          <w:tcPr>
            <w:tcW w:w="1285" w:type="dxa"/>
            <w:tcBorders>
              <w:top w:val="nil"/>
              <w:left w:val="nil"/>
              <w:bottom w:val="nil"/>
              <w:right w:val="nil"/>
            </w:tcBorders>
            <w:shd w:val="clear" w:color="000000" w:fill="BFBFBF" w:themeFill="background1" w:themeFillShade="BF"/>
            <w:vAlign w:val="center"/>
          </w:tcPr>
          <w:p w14:paraId="5EA741BD" w14:textId="164C738D" w:rsidR="00B20FD4" w:rsidRPr="00961BF6" w:rsidRDefault="00B20FD4">
            <w:pPr>
              <w:jc w:val="right"/>
              <w:rPr>
                <w:rFonts w:cs="Arial"/>
                <w:color w:val="000000"/>
                <w:sz w:val="22"/>
                <w:szCs w:val="22"/>
                <w:lang w:eastAsia="en-AU"/>
              </w:rPr>
            </w:pPr>
            <w:r>
              <w:rPr>
                <w:rFonts w:cs="Arial"/>
                <w:color w:val="000000"/>
                <w:sz w:val="22"/>
                <w:szCs w:val="22"/>
                <w:lang w:eastAsia="en-AU"/>
              </w:rPr>
              <w:t>7,388</w:t>
            </w:r>
          </w:p>
        </w:tc>
        <w:tc>
          <w:tcPr>
            <w:tcW w:w="1285" w:type="dxa"/>
            <w:tcBorders>
              <w:top w:val="nil"/>
              <w:left w:val="nil"/>
              <w:bottom w:val="nil"/>
              <w:right w:val="nil"/>
            </w:tcBorders>
            <w:shd w:val="clear" w:color="auto" w:fill="auto"/>
            <w:vAlign w:val="center"/>
            <w:hideMark/>
          </w:tcPr>
          <w:p w14:paraId="5EA741BF"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6,511</w:t>
            </w:r>
          </w:p>
        </w:tc>
        <w:tc>
          <w:tcPr>
            <w:tcW w:w="1286" w:type="dxa"/>
            <w:tcBorders>
              <w:top w:val="nil"/>
              <w:left w:val="nil"/>
              <w:bottom w:val="nil"/>
              <w:right w:val="nil"/>
            </w:tcBorders>
            <w:shd w:val="clear" w:color="auto" w:fill="auto"/>
            <w:vAlign w:val="center"/>
            <w:hideMark/>
          </w:tcPr>
          <w:p w14:paraId="5EA741C0"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6,511</w:t>
            </w:r>
          </w:p>
        </w:tc>
      </w:tr>
      <w:tr w:rsidR="00B20FD4" w:rsidRPr="00961BF6" w14:paraId="5EA741C9" w14:textId="77777777" w:rsidTr="00B20FD4">
        <w:trPr>
          <w:trHeight w:val="520"/>
        </w:trPr>
        <w:tc>
          <w:tcPr>
            <w:tcW w:w="3834" w:type="dxa"/>
            <w:tcBorders>
              <w:top w:val="nil"/>
              <w:left w:val="nil"/>
              <w:right w:val="nil"/>
            </w:tcBorders>
            <w:shd w:val="clear" w:color="auto" w:fill="auto"/>
            <w:vAlign w:val="center"/>
            <w:hideMark/>
          </w:tcPr>
          <w:p w14:paraId="5EA741C2" w14:textId="329B6CFB" w:rsidR="00B20FD4" w:rsidRPr="00961BF6" w:rsidRDefault="00B20FD4" w:rsidP="00961BF6">
            <w:pPr>
              <w:rPr>
                <w:rFonts w:cs="Arial"/>
                <w:color w:val="000000"/>
                <w:sz w:val="22"/>
                <w:szCs w:val="22"/>
                <w:lang w:eastAsia="en-AU"/>
              </w:rPr>
            </w:pPr>
            <w:r>
              <w:rPr>
                <w:rFonts w:cs="Arial"/>
                <w:color w:val="000000"/>
                <w:sz w:val="22"/>
                <w:szCs w:val="22"/>
                <w:lang w:eastAsia="en-AU"/>
              </w:rPr>
              <w:t>Total</w:t>
            </w:r>
          </w:p>
        </w:tc>
        <w:tc>
          <w:tcPr>
            <w:tcW w:w="1277" w:type="dxa"/>
            <w:tcBorders>
              <w:top w:val="single" w:sz="12" w:space="0" w:color="auto"/>
              <w:left w:val="nil"/>
              <w:right w:val="nil"/>
            </w:tcBorders>
            <w:shd w:val="clear" w:color="000000" w:fill="BFBFBF" w:themeFill="background1" w:themeFillShade="BF"/>
            <w:vAlign w:val="center"/>
          </w:tcPr>
          <w:p w14:paraId="5EA741C4" w14:textId="1AD6C608" w:rsidR="00B20FD4" w:rsidRPr="00961BF6" w:rsidRDefault="00B20FD4">
            <w:pPr>
              <w:jc w:val="right"/>
              <w:rPr>
                <w:rFonts w:cs="Arial"/>
                <w:color w:val="000000"/>
                <w:sz w:val="22"/>
                <w:szCs w:val="22"/>
                <w:lang w:eastAsia="en-AU"/>
              </w:rPr>
            </w:pPr>
            <w:r>
              <w:rPr>
                <w:rFonts w:cs="Arial"/>
                <w:color w:val="000000"/>
                <w:sz w:val="22"/>
                <w:szCs w:val="22"/>
                <w:lang w:eastAsia="en-AU"/>
              </w:rPr>
              <w:t>7,989</w:t>
            </w:r>
          </w:p>
        </w:tc>
        <w:tc>
          <w:tcPr>
            <w:tcW w:w="1285" w:type="dxa"/>
            <w:tcBorders>
              <w:top w:val="single" w:sz="12" w:space="0" w:color="auto"/>
              <w:left w:val="nil"/>
              <w:right w:val="nil"/>
            </w:tcBorders>
            <w:shd w:val="clear" w:color="000000" w:fill="BFBFBF" w:themeFill="background1" w:themeFillShade="BF"/>
            <w:vAlign w:val="center"/>
          </w:tcPr>
          <w:p w14:paraId="5EA741C5" w14:textId="26D4A7D2" w:rsidR="00B20FD4" w:rsidRPr="00961BF6" w:rsidRDefault="00B20FD4">
            <w:pPr>
              <w:jc w:val="right"/>
              <w:rPr>
                <w:rFonts w:cs="Arial"/>
                <w:color w:val="000000"/>
                <w:sz w:val="22"/>
                <w:szCs w:val="22"/>
                <w:lang w:eastAsia="en-AU"/>
              </w:rPr>
            </w:pPr>
            <w:r>
              <w:rPr>
                <w:rFonts w:cs="Arial"/>
                <w:color w:val="000000"/>
                <w:sz w:val="22"/>
                <w:szCs w:val="22"/>
                <w:lang w:eastAsia="en-AU"/>
              </w:rPr>
              <w:t>7,989</w:t>
            </w:r>
          </w:p>
        </w:tc>
        <w:tc>
          <w:tcPr>
            <w:tcW w:w="1285" w:type="dxa"/>
            <w:tcBorders>
              <w:top w:val="single" w:sz="12" w:space="0" w:color="auto"/>
              <w:left w:val="nil"/>
              <w:right w:val="nil"/>
            </w:tcBorders>
            <w:shd w:val="clear" w:color="auto" w:fill="auto"/>
            <w:vAlign w:val="center"/>
            <w:hideMark/>
          </w:tcPr>
          <w:p w14:paraId="5EA741C7"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7,290</w:t>
            </w:r>
          </w:p>
        </w:tc>
        <w:tc>
          <w:tcPr>
            <w:tcW w:w="1286" w:type="dxa"/>
            <w:tcBorders>
              <w:top w:val="single" w:sz="12" w:space="0" w:color="auto"/>
              <w:left w:val="nil"/>
              <w:right w:val="nil"/>
            </w:tcBorders>
            <w:shd w:val="clear" w:color="auto" w:fill="auto"/>
            <w:vAlign w:val="center"/>
            <w:hideMark/>
          </w:tcPr>
          <w:p w14:paraId="5EA741C8"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7,290</w:t>
            </w:r>
          </w:p>
        </w:tc>
      </w:tr>
    </w:tbl>
    <w:p w14:paraId="1FA70F1B" w14:textId="77777777" w:rsidR="00045F1D" w:rsidRDefault="00045F1D"/>
    <w:p w14:paraId="7DCFF0D9" w14:textId="77777777" w:rsidR="00BF287B" w:rsidRDefault="00BF287B">
      <w:pPr>
        <w:rPr>
          <w:b/>
          <w:sz w:val="22"/>
          <w:szCs w:val="22"/>
        </w:rPr>
      </w:pPr>
      <w:r>
        <w:rPr>
          <w:sz w:val="22"/>
          <w:szCs w:val="22"/>
        </w:rPr>
        <w:br w:type="page"/>
      </w:r>
    </w:p>
    <w:p w14:paraId="27E1ED63" w14:textId="16D3390F" w:rsidR="00BF287B" w:rsidRPr="00BF287B" w:rsidRDefault="00BF287B" w:rsidP="00BF287B">
      <w:pPr>
        <w:pStyle w:val="Heading2"/>
        <w:rPr>
          <w:sz w:val="22"/>
          <w:szCs w:val="22"/>
        </w:rPr>
      </w:pPr>
      <w:bookmarkStart w:id="345" w:name="_Toc430613408"/>
      <w:bookmarkStart w:id="346" w:name="_Toc430613779"/>
      <w:r w:rsidRPr="00BF287B">
        <w:rPr>
          <w:sz w:val="22"/>
          <w:szCs w:val="22"/>
        </w:rPr>
        <w:lastRenderedPageBreak/>
        <w:t>24.2 Financial Instruments</w:t>
      </w:r>
      <w:bookmarkEnd w:id="345"/>
      <w:bookmarkEnd w:id="346"/>
    </w:p>
    <w:p w14:paraId="2661DC7A" w14:textId="77777777" w:rsidR="00BF287B" w:rsidRDefault="00BF287B">
      <w:pPr>
        <w:rPr>
          <w:b/>
          <w:sz w:val="22"/>
          <w:szCs w:val="22"/>
        </w:rPr>
      </w:pPr>
    </w:p>
    <w:tbl>
      <w:tblPr>
        <w:tblW w:w="6157" w:type="dxa"/>
        <w:tblInd w:w="108" w:type="dxa"/>
        <w:tblLook w:val="04A0" w:firstRow="1" w:lastRow="0" w:firstColumn="1" w:lastColumn="0" w:noHBand="0" w:noVBand="1"/>
      </w:tblPr>
      <w:tblGrid>
        <w:gridCol w:w="3686"/>
        <w:gridCol w:w="1235"/>
        <w:gridCol w:w="1236"/>
      </w:tblGrid>
      <w:tr w:rsidR="00B20FD4" w:rsidRPr="00961BF6" w14:paraId="5EA741FC" w14:textId="77777777" w:rsidTr="00B20FD4">
        <w:trPr>
          <w:trHeight w:val="372"/>
        </w:trPr>
        <w:tc>
          <w:tcPr>
            <w:tcW w:w="3686" w:type="dxa"/>
            <w:tcBorders>
              <w:top w:val="nil"/>
              <w:left w:val="nil"/>
              <w:bottom w:val="nil"/>
              <w:right w:val="nil"/>
            </w:tcBorders>
            <w:vAlign w:val="center"/>
            <w:hideMark/>
          </w:tcPr>
          <w:p w14:paraId="5EA741F5" w14:textId="77777777" w:rsidR="00B20FD4" w:rsidRPr="00961BF6" w:rsidRDefault="00B20FD4" w:rsidP="00961BF6">
            <w:pPr>
              <w:rPr>
                <w:rFonts w:cs="Arial"/>
                <w:b/>
                <w:bCs/>
                <w:color w:val="000000"/>
                <w:sz w:val="22"/>
                <w:szCs w:val="22"/>
                <w:lang w:eastAsia="en-AU"/>
              </w:rPr>
            </w:pPr>
          </w:p>
        </w:tc>
        <w:tc>
          <w:tcPr>
            <w:tcW w:w="1235" w:type="dxa"/>
            <w:tcBorders>
              <w:top w:val="nil"/>
              <w:left w:val="nil"/>
              <w:bottom w:val="single" w:sz="12" w:space="0" w:color="auto"/>
              <w:right w:val="nil"/>
            </w:tcBorders>
            <w:shd w:val="clear" w:color="000000" w:fill="BFBFBF" w:themeFill="background1" w:themeFillShade="BF"/>
            <w:vAlign w:val="center"/>
          </w:tcPr>
          <w:p w14:paraId="5EA741FA" w14:textId="10E66F82" w:rsidR="00B20FD4" w:rsidRPr="00961BF6" w:rsidRDefault="00B20FD4" w:rsidP="00961BF6">
            <w:pPr>
              <w:jc w:val="center"/>
              <w:rPr>
                <w:rFonts w:cs="Arial"/>
                <w:color w:val="000000"/>
                <w:sz w:val="22"/>
                <w:szCs w:val="22"/>
                <w:lang w:eastAsia="en-AU"/>
              </w:rPr>
            </w:pPr>
            <w:r>
              <w:rPr>
                <w:rFonts w:cs="Arial"/>
                <w:color w:val="000000"/>
                <w:sz w:val="22"/>
                <w:szCs w:val="22"/>
                <w:lang w:eastAsia="en-AU"/>
              </w:rPr>
              <w:t>2015</w:t>
            </w:r>
          </w:p>
        </w:tc>
        <w:tc>
          <w:tcPr>
            <w:tcW w:w="1236" w:type="dxa"/>
            <w:tcBorders>
              <w:top w:val="nil"/>
              <w:left w:val="nil"/>
              <w:bottom w:val="single" w:sz="12" w:space="0" w:color="auto"/>
              <w:right w:val="nil"/>
            </w:tcBorders>
            <w:shd w:val="clear" w:color="auto" w:fill="auto"/>
            <w:vAlign w:val="center"/>
          </w:tcPr>
          <w:p w14:paraId="5EA741FB" w14:textId="73507E67" w:rsidR="00B20FD4" w:rsidRPr="00961BF6" w:rsidRDefault="00B20FD4" w:rsidP="00961BF6">
            <w:pPr>
              <w:jc w:val="center"/>
              <w:rPr>
                <w:rFonts w:cs="Arial"/>
                <w:color w:val="000000"/>
                <w:sz w:val="22"/>
                <w:szCs w:val="22"/>
                <w:lang w:eastAsia="en-AU"/>
              </w:rPr>
            </w:pPr>
            <w:r>
              <w:rPr>
                <w:rFonts w:cs="Arial"/>
                <w:color w:val="000000"/>
                <w:sz w:val="22"/>
                <w:szCs w:val="22"/>
                <w:lang w:eastAsia="en-AU"/>
              </w:rPr>
              <w:t>2014</w:t>
            </w:r>
          </w:p>
        </w:tc>
      </w:tr>
      <w:tr w:rsidR="00B20FD4" w:rsidRPr="00961BF6" w14:paraId="5EA74204" w14:textId="77777777" w:rsidTr="00B20FD4">
        <w:trPr>
          <w:trHeight w:val="390"/>
        </w:trPr>
        <w:tc>
          <w:tcPr>
            <w:tcW w:w="3686" w:type="dxa"/>
            <w:tcBorders>
              <w:top w:val="nil"/>
              <w:left w:val="nil"/>
              <w:bottom w:val="nil"/>
              <w:right w:val="nil"/>
            </w:tcBorders>
            <w:shd w:val="clear" w:color="auto" w:fill="auto"/>
            <w:vAlign w:val="center"/>
            <w:hideMark/>
          </w:tcPr>
          <w:p w14:paraId="5EA741FD" w14:textId="77777777" w:rsidR="00B20FD4" w:rsidRPr="00961BF6" w:rsidRDefault="00B20FD4" w:rsidP="00961BF6">
            <w:pPr>
              <w:jc w:val="both"/>
              <w:rPr>
                <w:rFonts w:cs="Arial"/>
                <w:color w:val="000000"/>
                <w:sz w:val="22"/>
                <w:szCs w:val="22"/>
                <w:lang w:eastAsia="en-AU"/>
              </w:rPr>
            </w:pPr>
            <w:r w:rsidRPr="00961BF6">
              <w:rPr>
                <w:rFonts w:cs="Arial"/>
                <w:color w:val="000000"/>
                <w:sz w:val="22"/>
                <w:szCs w:val="22"/>
                <w:lang w:eastAsia="en-AU"/>
              </w:rPr>
              <w:t>Cash and cash equivalents</w:t>
            </w:r>
          </w:p>
        </w:tc>
        <w:tc>
          <w:tcPr>
            <w:tcW w:w="1235" w:type="dxa"/>
            <w:tcBorders>
              <w:top w:val="nil"/>
              <w:left w:val="nil"/>
              <w:bottom w:val="nil"/>
              <w:right w:val="nil"/>
            </w:tcBorders>
            <w:shd w:val="clear" w:color="000000" w:fill="BFBFBF" w:themeFill="background1" w:themeFillShade="BF"/>
            <w:vAlign w:val="center"/>
          </w:tcPr>
          <w:p w14:paraId="5EA74202" w14:textId="77777777" w:rsidR="00B20FD4" w:rsidRPr="00961BF6" w:rsidRDefault="00B20FD4" w:rsidP="00902155">
            <w:pPr>
              <w:jc w:val="right"/>
              <w:rPr>
                <w:rFonts w:cs="Arial"/>
                <w:color w:val="000000"/>
                <w:sz w:val="22"/>
                <w:szCs w:val="22"/>
                <w:lang w:eastAsia="en-AU"/>
              </w:rPr>
            </w:pPr>
            <w:r>
              <w:rPr>
                <w:rFonts w:cs="Arial"/>
                <w:color w:val="000000"/>
                <w:sz w:val="22"/>
                <w:szCs w:val="22"/>
                <w:lang w:eastAsia="en-AU"/>
              </w:rPr>
              <w:t>7,705</w:t>
            </w:r>
          </w:p>
        </w:tc>
        <w:tc>
          <w:tcPr>
            <w:tcW w:w="1236" w:type="dxa"/>
            <w:tcBorders>
              <w:top w:val="nil"/>
              <w:left w:val="nil"/>
              <w:bottom w:val="nil"/>
              <w:right w:val="nil"/>
            </w:tcBorders>
            <w:shd w:val="clear" w:color="auto" w:fill="auto"/>
            <w:vAlign w:val="center"/>
            <w:hideMark/>
          </w:tcPr>
          <w:p w14:paraId="5EA74203"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11,966</w:t>
            </w:r>
          </w:p>
        </w:tc>
      </w:tr>
      <w:tr w:rsidR="00B20FD4" w:rsidRPr="00961BF6" w14:paraId="5EA7420C" w14:textId="77777777" w:rsidTr="00B20FD4">
        <w:trPr>
          <w:trHeight w:val="390"/>
        </w:trPr>
        <w:tc>
          <w:tcPr>
            <w:tcW w:w="3686" w:type="dxa"/>
            <w:tcBorders>
              <w:top w:val="nil"/>
              <w:left w:val="nil"/>
              <w:bottom w:val="nil"/>
              <w:right w:val="nil"/>
            </w:tcBorders>
            <w:shd w:val="clear" w:color="auto" w:fill="auto"/>
            <w:vAlign w:val="center"/>
            <w:hideMark/>
          </w:tcPr>
          <w:p w14:paraId="5EA74205" w14:textId="77777777" w:rsidR="00B20FD4" w:rsidRPr="00961BF6" w:rsidRDefault="00B20FD4" w:rsidP="00961BF6">
            <w:pPr>
              <w:jc w:val="both"/>
              <w:rPr>
                <w:rFonts w:cs="Arial"/>
                <w:color w:val="000000"/>
                <w:sz w:val="22"/>
                <w:szCs w:val="22"/>
                <w:lang w:eastAsia="en-AU"/>
              </w:rPr>
            </w:pPr>
            <w:r w:rsidRPr="00961BF6">
              <w:rPr>
                <w:rFonts w:cs="Arial"/>
                <w:color w:val="000000"/>
                <w:sz w:val="22"/>
                <w:szCs w:val="22"/>
                <w:lang w:eastAsia="en-AU"/>
              </w:rPr>
              <w:t>Trade and other receivables</w:t>
            </w:r>
          </w:p>
        </w:tc>
        <w:tc>
          <w:tcPr>
            <w:tcW w:w="1235" w:type="dxa"/>
            <w:tcBorders>
              <w:top w:val="nil"/>
              <w:left w:val="nil"/>
              <w:bottom w:val="nil"/>
              <w:right w:val="nil"/>
            </w:tcBorders>
            <w:shd w:val="clear" w:color="000000" w:fill="BFBFBF" w:themeFill="background1" w:themeFillShade="BF"/>
            <w:vAlign w:val="center"/>
          </w:tcPr>
          <w:p w14:paraId="5EA7420A" w14:textId="16713888" w:rsidR="00B20FD4" w:rsidRPr="00961BF6" w:rsidRDefault="00B20FD4">
            <w:pPr>
              <w:jc w:val="right"/>
              <w:rPr>
                <w:rFonts w:cs="Arial"/>
                <w:color w:val="000000"/>
                <w:sz w:val="22"/>
                <w:szCs w:val="22"/>
                <w:lang w:eastAsia="en-AU"/>
              </w:rPr>
            </w:pPr>
            <w:r>
              <w:rPr>
                <w:rFonts w:cs="Arial"/>
                <w:color w:val="000000"/>
                <w:sz w:val="22"/>
                <w:szCs w:val="22"/>
                <w:lang w:eastAsia="en-AU"/>
              </w:rPr>
              <w:t>3,060</w:t>
            </w:r>
          </w:p>
        </w:tc>
        <w:tc>
          <w:tcPr>
            <w:tcW w:w="1236" w:type="dxa"/>
            <w:tcBorders>
              <w:top w:val="nil"/>
              <w:left w:val="nil"/>
              <w:bottom w:val="nil"/>
              <w:right w:val="nil"/>
            </w:tcBorders>
            <w:shd w:val="clear" w:color="auto" w:fill="auto"/>
            <w:vAlign w:val="center"/>
            <w:hideMark/>
          </w:tcPr>
          <w:p w14:paraId="5EA7420B"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3,183</w:t>
            </w:r>
          </w:p>
        </w:tc>
      </w:tr>
      <w:tr w:rsidR="00B20FD4" w:rsidRPr="00961BF6" w14:paraId="5EA74214" w14:textId="77777777" w:rsidTr="00B20FD4">
        <w:trPr>
          <w:trHeight w:val="390"/>
        </w:trPr>
        <w:tc>
          <w:tcPr>
            <w:tcW w:w="3686" w:type="dxa"/>
            <w:tcBorders>
              <w:top w:val="nil"/>
              <w:left w:val="nil"/>
              <w:bottom w:val="nil"/>
              <w:right w:val="nil"/>
            </w:tcBorders>
            <w:shd w:val="clear" w:color="auto" w:fill="auto"/>
            <w:vAlign w:val="center"/>
            <w:hideMark/>
          </w:tcPr>
          <w:p w14:paraId="5EA7420D" w14:textId="77777777" w:rsidR="00B20FD4" w:rsidRPr="00961BF6" w:rsidRDefault="00B20FD4" w:rsidP="00961BF6">
            <w:pPr>
              <w:jc w:val="both"/>
              <w:rPr>
                <w:rFonts w:cs="Arial"/>
                <w:color w:val="000000"/>
                <w:sz w:val="22"/>
                <w:szCs w:val="22"/>
                <w:lang w:eastAsia="en-AU"/>
              </w:rPr>
            </w:pPr>
            <w:r w:rsidRPr="00961BF6">
              <w:rPr>
                <w:rFonts w:cs="Arial"/>
                <w:color w:val="000000"/>
                <w:sz w:val="22"/>
                <w:szCs w:val="22"/>
                <w:lang w:eastAsia="en-AU"/>
              </w:rPr>
              <w:t>Held to maturity investments</w:t>
            </w:r>
          </w:p>
        </w:tc>
        <w:tc>
          <w:tcPr>
            <w:tcW w:w="1235" w:type="dxa"/>
            <w:tcBorders>
              <w:top w:val="nil"/>
              <w:left w:val="nil"/>
              <w:bottom w:val="nil"/>
              <w:right w:val="nil"/>
            </w:tcBorders>
            <w:shd w:val="clear" w:color="000000" w:fill="BFBFBF" w:themeFill="background1" w:themeFillShade="BF"/>
            <w:vAlign w:val="center"/>
          </w:tcPr>
          <w:p w14:paraId="5EA74212"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21,453</w:t>
            </w:r>
          </w:p>
        </w:tc>
        <w:tc>
          <w:tcPr>
            <w:tcW w:w="1236" w:type="dxa"/>
            <w:tcBorders>
              <w:top w:val="nil"/>
              <w:left w:val="nil"/>
              <w:bottom w:val="nil"/>
              <w:right w:val="nil"/>
            </w:tcBorders>
            <w:shd w:val="clear" w:color="auto" w:fill="auto"/>
            <w:vAlign w:val="center"/>
            <w:hideMark/>
          </w:tcPr>
          <w:p w14:paraId="5EA74213"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13,980</w:t>
            </w:r>
          </w:p>
        </w:tc>
      </w:tr>
      <w:tr w:rsidR="00B20FD4" w:rsidRPr="00961BF6" w14:paraId="5EA7421C" w14:textId="77777777" w:rsidTr="00B20FD4">
        <w:trPr>
          <w:trHeight w:val="390"/>
        </w:trPr>
        <w:tc>
          <w:tcPr>
            <w:tcW w:w="3686" w:type="dxa"/>
            <w:tcBorders>
              <w:top w:val="nil"/>
              <w:left w:val="nil"/>
              <w:bottom w:val="nil"/>
              <w:right w:val="nil"/>
            </w:tcBorders>
            <w:shd w:val="clear" w:color="auto" w:fill="auto"/>
            <w:vAlign w:val="center"/>
            <w:hideMark/>
          </w:tcPr>
          <w:p w14:paraId="5EA74215" w14:textId="77777777" w:rsidR="00B20FD4" w:rsidRPr="00961BF6" w:rsidRDefault="00B20FD4" w:rsidP="00961BF6">
            <w:pPr>
              <w:jc w:val="both"/>
              <w:rPr>
                <w:rFonts w:cs="Arial"/>
                <w:color w:val="000000"/>
                <w:sz w:val="22"/>
                <w:szCs w:val="22"/>
                <w:lang w:eastAsia="en-AU"/>
              </w:rPr>
            </w:pPr>
            <w:r w:rsidRPr="00961BF6">
              <w:rPr>
                <w:rFonts w:cs="Arial"/>
                <w:color w:val="000000"/>
                <w:sz w:val="22"/>
                <w:szCs w:val="22"/>
                <w:lang w:eastAsia="en-AU"/>
              </w:rPr>
              <w:t>Available for Sale Financial Assets</w:t>
            </w:r>
          </w:p>
        </w:tc>
        <w:tc>
          <w:tcPr>
            <w:tcW w:w="1235" w:type="dxa"/>
            <w:tcBorders>
              <w:top w:val="nil"/>
              <w:left w:val="nil"/>
              <w:bottom w:val="nil"/>
              <w:right w:val="nil"/>
            </w:tcBorders>
            <w:shd w:val="clear" w:color="000000" w:fill="BFBFBF" w:themeFill="background1" w:themeFillShade="BF"/>
            <w:vAlign w:val="center"/>
          </w:tcPr>
          <w:p w14:paraId="5EA7421A" w14:textId="77777777" w:rsidR="00B20FD4" w:rsidRPr="00961BF6" w:rsidRDefault="00B20FD4" w:rsidP="00961BF6">
            <w:pPr>
              <w:jc w:val="right"/>
              <w:rPr>
                <w:rFonts w:cs="Arial"/>
                <w:color w:val="000000"/>
                <w:sz w:val="22"/>
                <w:szCs w:val="22"/>
                <w:lang w:eastAsia="en-AU"/>
              </w:rPr>
            </w:pPr>
            <w:r>
              <w:rPr>
                <w:rFonts w:cs="Arial"/>
                <w:color w:val="000000"/>
                <w:sz w:val="22"/>
                <w:szCs w:val="22"/>
                <w:lang w:eastAsia="en-AU"/>
              </w:rPr>
              <w:t>88,538</w:t>
            </w:r>
          </w:p>
        </w:tc>
        <w:tc>
          <w:tcPr>
            <w:tcW w:w="1236" w:type="dxa"/>
            <w:tcBorders>
              <w:top w:val="nil"/>
              <w:left w:val="nil"/>
              <w:bottom w:val="nil"/>
              <w:right w:val="nil"/>
            </w:tcBorders>
            <w:shd w:val="clear" w:color="auto" w:fill="auto"/>
            <w:vAlign w:val="center"/>
            <w:hideMark/>
          </w:tcPr>
          <w:p w14:paraId="5EA7421B" w14:textId="77777777" w:rsidR="00B20FD4" w:rsidRPr="00961BF6" w:rsidRDefault="00B20FD4" w:rsidP="00961BF6">
            <w:pPr>
              <w:jc w:val="right"/>
              <w:rPr>
                <w:rFonts w:cs="Arial"/>
                <w:color w:val="000000"/>
                <w:sz w:val="22"/>
                <w:szCs w:val="22"/>
                <w:lang w:eastAsia="en-AU"/>
              </w:rPr>
            </w:pPr>
            <w:r w:rsidRPr="00961BF6">
              <w:rPr>
                <w:rFonts w:cs="Arial"/>
                <w:color w:val="000000"/>
                <w:sz w:val="22"/>
                <w:szCs w:val="22"/>
                <w:lang w:eastAsia="en-AU"/>
              </w:rPr>
              <w:t>82,394</w:t>
            </w:r>
          </w:p>
        </w:tc>
      </w:tr>
    </w:tbl>
    <w:p w14:paraId="5EA7421F" w14:textId="04B68D63" w:rsidR="001578F6" w:rsidRDefault="001578F6">
      <w:pPr>
        <w:rPr>
          <w:rFonts w:ascii="Times New Roman" w:hAnsi="Times New Roman"/>
          <w:sz w:val="20"/>
          <w:szCs w:val="20"/>
          <w:lang w:eastAsia="en-AU"/>
        </w:rPr>
      </w:pPr>
    </w:p>
    <w:p w14:paraId="41B01292" w14:textId="77777777" w:rsidR="00A9569E" w:rsidRDefault="00A9569E">
      <w:pPr>
        <w:rPr>
          <w:sz w:val="22"/>
          <w:szCs w:val="22"/>
        </w:rPr>
      </w:pPr>
      <w:r>
        <w:rPr>
          <w:sz w:val="22"/>
          <w:szCs w:val="22"/>
        </w:rPr>
        <w:br w:type="page"/>
      </w:r>
    </w:p>
    <w:p w14:paraId="5EDF00D5" w14:textId="77777777" w:rsidR="00A9569E" w:rsidRDefault="00A9569E" w:rsidP="00BF287B">
      <w:pPr>
        <w:pStyle w:val="Heading1"/>
      </w:pPr>
      <w:bookmarkStart w:id="347" w:name="_Toc430613780"/>
      <w:r w:rsidRPr="00A9569E">
        <w:lastRenderedPageBreak/>
        <w:t>Note 25: Key management personnel remuneration and related party disclosures</w:t>
      </w:r>
      <w:bookmarkEnd w:id="347"/>
      <w:r>
        <w:t xml:space="preserve"> </w:t>
      </w:r>
    </w:p>
    <w:p w14:paraId="172F22A8" w14:textId="77777777" w:rsidR="00B20FD4" w:rsidRDefault="00B20FD4" w:rsidP="00B20FD4"/>
    <w:p w14:paraId="06513C4F" w14:textId="75835BCB" w:rsidR="00B20FD4" w:rsidRDefault="00B20FD4" w:rsidP="00B20FD4">
      <w:pPr>
        <w:rPr>
          <w:rFonts w:cs="Arial"/>
          <w:color w:val="000000"/>
          <w:sz w:val="22"/>
          <w:szCs w:val="22"/>
          <w:lang w:eastAsia="en-AU"/>
        </w:rPr>
      </w:pPr>
      <w:r w:rsidRPr="00320FFA">
        <w:rPr>
          <w:rFonts w:cs="Arial"/>
          <w:color w:val="000000"/>
          <w:sz w:val="22"/>
          <w:szCs w:val="22"/>
          <w:lang w:eastAsia="en-AU"/>
        </w:rPr>
        <w:t>The names and positions of those having authority for planning, directing and controlling the company's activities, directly or indirectly, during the financial year are:</w:t>
      </w:r>
    </w:p>
    <w:p w14:paraId="55A749DF" w14:textId="77777777" w:rsidR="00B20FD4" w:rsidRDefault="00B20FD4" w:rsidP="00B20FD4">
      <w:pPr>
        <w:rPr>
          <w:rFonts w:cs="Arial"/>
          <w:color w:val="000000"/>
          <w:sz w:val="22"/>
          <w:szCs w:val="22"/>
          <w:lang w:eastAsia="en-AU"/>
        </w:rPr>
      </w:pPr>
    </w:p>
    <w:p w14:paraId="5E97B216" w14:textId="77777777" w:rsidR="00B20FD4" w:rsidRPr="00B20FD4" w:rsidRDefault="00B20FD4" w:rsidP="00B20FD4">
      <w:pPr>
        <w:rPr>
          <w:rFonts w:cs="Arial"/>
          <w:color w:val="000000"/>
          <w:sz w:val="22"/>
          <w:szCs w:val="22"/>
          <w:lang w:eastAsia="en-AU"/>
        </w:rPr>
      </w:pPr>
      <w:r w:rsidRPr="00B20FD4">
        <w:rPr>
          <w:rFonts w:cs="Arial"/>
          <w:color w:val="000000"/>
          <w:sz w:val="22"/>
          <w:szCs w:val="22"/>
          <w:lang w:eastAsia="en-AU"/>
        </w:rPr>
        <w:t>- Mr Kevin Murfitt, Chair</w:t>
      </w:r>
    </w:p>
    <w:p w14:paraId="7C97EBC7" w14:textId="77777777" w:rsidR="00B20FD4" w:rsidRPr="00B20FD4" w:rsidRDefault="00B20FD4" w:rsidP="00B20FD4">
      <w:pPr>
        <w:rPr>
          <w:rFonts w:cs="Arial"/>
          <w:color w:val="000000"/>
          <w:sz w:val="22"/>
          <w:szCs w:val="22"/>
          <w:lang w:eastAsia="en-AU"/>
        </w:rPr>
      </w:pPr>
      <w:r w:rsidRPr="00B20FD4">
        <w:rPr>
          <w:rFonts w:cs="Arial"/>
          <w:color w:val="000000"/>
          <w:sz w:val="22"/>
          <w:szCs w:val="22"/>
          <w:lang w:eastAsia="en-AU"/>
        </w:rPr>
        <w:t xml:space="preserve">- Mr Ron Hooton, Chief Executive Officer </w:t>
      </w:r>
    </w:p>
    <w:p w14:paraId="6B3D1FCF" w14:textId="77777777" w:rsidR="00B20FD4" w:rsidRPr="00B20FD4" w:rsidRDefault="00B20FD4" w:rsidP="00B20FD4">
      <w:pPr>
        <w:rPr>
          <w:rFonts w:cs="Arial"/>
          <w:color w:val="000000"/>
          <w:sz w:val="22"/>
          <w:szCs w:val="22"/>
          <w:lang w:eastAsia="en-AU"/>
        </w:rPr>
      </w:pPr>
      <w:r w:rsidRPr="00B20FD4">
        <w:rPr>
          <w:rFonts w:cs="Arial"/>
          <w:color w:val="000000"/>
          <w:sz w:val="22"/>
          <w:szCs w:val="22"/>
          <w:lang w:eastAsia="en-AU"/>
        </w:rPr>
        <w:t>- Mr David Speyer, Chief Financial Officer</w:t>
      </w:r>
    </w:p>
    <w:p w14:paraId="22FA4568" w14:textId="77777777" w:rsidR="00B20FD4" w:rsidRPr="00B20FD4" w:rsidRDefault="00B20FD4" w:rsidP="00B20FD4">
      <w:pPr>
        <w:rPr>
          <w:rFonts w:cs="Arial"/>
          <w:color w:val="000000"/>
          <w:sz w:val="22"/>
          <w:szCs w:val="22"/>
          <w:lang w:eastAsia="en-AU"/>
        </w:rPr>
      </w:pPr>
      <w:r w:rsidRPr="00B20FD4">
        <w:rPr>
          <w:rFonts w:cs="Arial"/>
          <w:color w:val="000000"/>
          <w:sz w:val="22"/>
          <w:szCs w:val="22"/>
          <w:lang w:eastAsia="en-AU"/>
        </w:rPr>
        <w:t>- Ms Maryanne Diamond, General Manager Advocacy and Engagement</w:t>
      </w:r>
    </w:p>
    <w:p w14:paraId="76456E56" w14:textId="77777777" w:rsidR="00B20FD4" w:rsidRPr="00B20FD4" w:rsidRDefault="00B20FD4" w:rsidP="00B20FD4">
      <w:pPr>
        <w:rPr>
          <w:rFonts w:cs="Arial"/>
          <w:color w:val="000000"/>
          <w:sz w:val="22"/>
          <w:szCs w:val="22"/>
          <w:lang w:eastAsia="en-AU"/>
        </w:rPr>
      </w:pPr>
      <w:r w:rsidRPr="00B20FD4">
        <w:rPr>
          <w:rFonts w:cs="Arial"/>
          <w:color w:val="000000"/>
          <w:sz w:val="22"/>
          <w:szCs w:val="22"/>
          <w:lang w:eastAsia="en-AU"/>
        </w:rPr>
        <w:t xml:space="preserve">- Mr Leigh Garwood, General Manager Victoria, South Australia and Seeing Eye Dogs </w:t>
      </w:r>
    </w:p>
    <w:p w14:paraId="60A6C4FD" w14:textId="77777777" w:rsidR="00B20FD4" w:rsidRPr="00B20FD4" w:rsidRDefault="00B20FD4" w:rsidP="00B20FD4">
      <w:pPr>
        <w:rPr>
          <w:rFonts w:cs="Arial"/>
          <w:color w:val="000000"/>
          <w:sz w:val="22"/>
          <w:szCs w:val="22"/>
          <w:lang w:eastAsia="en-AU"/>
        </w:rPr>
      </w:pPr>
      <w:r w:rsidRPr="00B20FD4">
        <w:rPr>
          <w:rFonts w:cs="Arial"/>
          <w:color w:val="000000"/>
          <w:sz w:val="22"/>
          <w:szCs w:val="22"/>
          <w:lang w:eastAsia="en-AU"/>
        </w:rPr>
        <w:t>- Ms Jan Chisholm, General Manager Service Promotion</w:t>
      </w:r>
    </w:p>
    <w:p w14:paraId="78DFFF64" w14:textId="77777777" w:rsidR="00B20FD4" w:rsidRPr="00B20FD4" w:rsidRDefault="00B20FD4" w:rsidP="00B20FD4">
      <w:pPr>
        <w:rPr>
          <w:rFonts w:cs="Arial"/>
          <w:color w:val="000000"/>
          <w:sz w:val="22"/>
          <w:szCs w:val="22"/>
          <w:lang w:eastAsia="en-AU"/>
        </w:rPr>
      </w:pPr>
      <w:r w:rsidRPr="00B20FD4">
        <w:rPr>
          <w:rFonts w:cs="Arial"/>
          <w:color w:val="000000"/>
          <w:sz w:val="22"/>
          <w:szCs w:val="22"/>
          <w:lang w:eastAsia="en-AU"/>
        </w:rPr>
        <w:t xml:space="preserve">- Mr Michael Simpson, General Manager New South Wales and AIS </w:t>
      </w:r>
    </w:p>
    <w:p w14:paraId="4455853B" w14:textId="77777777" w:rsidR="00B20FD4" w:rsidRPr="00B20FD4" w:rsidRDefault="00B20FD4" w:rsidP="00B20FD4">
      <w:pPr>
        <w:rPr>
          <w:rFonts w:cs="Arial"/>
          <w:color w:val="000000"/>
          <w:sz w:val="22"/>
          <w:szCs w:val="22"/>
          <w:lang w:eastAsia="en-AU"/>
        </w:rPr>
      </w:pPr>
      <w:r w:rsidRPr="00B20FD4">
        <w:rPr>
          <w:rFonts w:cs="Arial"/>
          <w:color w:val="000000"/>
          <w:sz w:val="22"/>
          <w:szCs w:val="22"/>
          <w:lang w:eastAsia="en-AU"/>
        </w:rPr>
        <w:t>- Ms Karen Knight, General Manager Queensland and Northern Territory</w:t>
      </w:r>
    </w:p>
    <w:p w14:paraId="1FE50379" w14:textId="77777777" w:rsidR="00B20FD4" w:rsidRPr="00B20FD4" w:rsidRDefault="00B20FD4" w:rsidP="00B20FD4">
      <w:pPr>
        <w:rPr>
          <w:rFonts w:cs="Arial"/>
          <w:color w:val="000000"/>
          <w:sz w:val="22"/>
          <w:szCs w:val="22"/>
          <w:lang w:eastAsia="en-AU"/>
        </w:rPr>
      </w:pPr>
      <w:r w:rsidRPr="00B20FD4">
        <w:rPr>
          <w:rFonts w:cs="Arial"/>
          <w:color w:val="000000"/>
          <w:sz w:val="22"/>
          <w:szCs w:val="22"/>
          <w:lang w:eastAsia="en-AU"/>
        </w:rPr>
        <w:t>- Ms Linda Hornsey, General Manager Business Transformation</w:t>
      </w:r>
    </w:p>
    <w:p w14:paraId="2FC30709" w14:textId="77777777" w:rsidR="00B20FD4" w:rsidRPr="00B20FD4" w:rsidRDefault="00B20FD4" w:rsidP="00B20FD4">
      <w:pPr>
        <w:rPr>
          <w:rFonts w:cs="Arial"/>
          <w:color w:val="000000"/>
          <w:sz w:val="22"/>
          <w:szCs w:val="22"/>
          <w:lang w:eastAsia="en-AU"/>
        </w:rPr>
      </w:pPr>
      <w:r w:rsidRPr="00B20FD4">
        <w:rPr>
          <w:rFonts w:cs="Arial"/>
          <w:color w:val="000000"/>
          <w:sz w:val="22"/>
          <w:szCs w:val="22"/>
          <w:lang w:eastAsia="en-AU"/>
        </w:rPr>
        <w:t>- Mr John Gow, General Manager People and Culture</w:t>
      </w:r>
    </w:p>
    <w:p w14:paraId="0DC9CD13" w14:textId="67F1A215" w:rsidR="00B20FD4" w:rsidRDefault="00B20FD4" w:rsidP="00B20FD4">
      <w:pPr>
        <w:rPr>
          <w:rFonts w:cs="Arial"/>
          <w:color w:val="000000"/>
          <w:sz w:val="22"/>
          <w:szCs w:val="22"/>
          <w:lang w:eastAsia="en-AU"/>
        </w:rPr>
      </w:pPr>
      <w:r w:rsidRPr="00B20FD4">
        <w:rPr>
          <w:rFonts w:cs="Arial"/>
          <w:color w:val="000000"/>
          <w:sz w:val="22"/>
          <w:szCs w:val="22"/>
          <w:lang w:eastAsia="en-AU"/>
        </w:rPr>
        <w:t>- Mr Graeme Craig, General Manager NDIS</w:t>
      </w:r>
    </w:p>
    <w:p w14:paraId="4B656452" w14:textId="29DCE4A5" w:rsidR="00B20FD4" w:rsidRDefault="00B20FD4" w:rsidP="00B20FD4">
      <w:pPr>
        <w:rPr>
          <w:rFonts w:cs="Arial"/>
          <w:color w:val="000000"/>
          <w:sz w:val="22"/>
          <w:szCs w:val="22"/>
          <w:lang w:eastAsia="en-AU"/>
        </w:rPr>
      </w:pPr>
      <w:r w:rsidRPr="00961BF6">
        <w:rPr>
          <w:rFonts w:cs="Arial"/>
          <w:color w:val="000000"/>
          <w:sz w:val="22"/>
          <w:szCs w:val="22"/>
          <w:lang w:eastAsia="en-AU"/>
        </w:rPr>
        <w:t>The aggregate compensation of the key management personnel of the Group is set out below:</w:t>
      </w:r>
    </w:p>
    <w:p w14:paraId="1A3C47CA" w14:textId="77777777" w:rsidR="00B20FD4" w:rsidRDefault="00B20FD4" w:rsidP="00B20FD4">
      <w:pPr>
        <w:rPr>
          <w:rFonts w:cs="Arial"/>
          <w:color w:val="000000"/>
          <w:sz w:val="22"/>
          <w:szCs w:val="22"/>
          <w:lang w:eastAsia="en-AU"/>
        </w:rPr>
      </w:pPr>
    </w:p>
    <w:p w14:paraId="6EA61197" w14:textId="0E6DDC19" w:rsidR="00B20FD4" w:rsidRDefault="00B20FD4" w:rsidP="00B20FD4">
      <w:pPr>
        <w:rPr>
          <w:rFonts w:cs="Arial"/>
          <w:color w:val="000000"/>
          <w:sz w:val="22"/>
          <w:szCs w:val="22"/>
          <w:lang w:eastAsia="en-AU"/>
        </w:rPr>
      </w:pPr>
      <w:r>
        <w:rPr>
          <w:rFonts w:cs="Arial"/>
          <w:color w:val="000000"/>
          <w:sz w:val="22"/>
          <w:szCs w:val="22"/>
          <w:lang w:eastAsia="en-AU"/>
        </w:rPr>
        <w:t>Note: The below amounts are not in $’000s.</w:t>
      </w:r>
    </w:p>
    <w:p w14:paraId="159ACC8E" w14:textId="77777777" w:rsidR="00B20FD4" w:rsidRPr="00B20FD4" w:rsidRDefault="00B20FD4" w:rsidP="00B20FD4"/>
    <w:tbl>
      <w:tblPr>
        <w:tblW w:w="8561" w:type="dxa"/>
        <w:tblInd w:w="108" w:type="dxa"/>
        <w:tblLook w:val="04A0" w:firstRow="1" w:lastRow="0" w:firstColumn="1" w:lastColumn="0" w:noHBand="0" w:noVBand="1"/>
      </w:tblPr>
      <w:tblGrid>
        <w:gridCol w:w="5039"/>
        <w:gridCol w:w="1761"/>
        <w:gridCol w:w="1761"/>
      </w:tblGrid>
      <w:tr w:rsidR="00B20FD4" w:rsidRPr="00961BF6" w14:paraId="5EA74255" w14:textId="77777777" w:rsidTr="00B20FD4">
        <w:trPr>
          <w:trHeight w:val="233"/>
        </w:trPr>
        <w:tc>
          <w:tcPr>
            <w:tcW w:w="5039" w:type="dxa"/>
            <w:tcBorders>
              <w:top w:val="nil"/>
              <w:left w:val="nil"/>
              <w:bottom w:val="nil"/>
              <w:right w:val="nil"/>
            </w:tcBorders>
            <w:shd w:val="clear" w:color="auto" w:fill="auto"/>
            <w:vAlign w:val="center"/>
            <w:hideMark/>
          </w:tcPr>
          <w:p w14:paraId="5EA74251" w14:textId="77777777" w:rsidR="00B20FD4" w:rsidRPr="00961BF6" w:rsidRDefault="00B20FD4" w:rsidP="00961BF6">
            <w:pPr>
              <w:rPr>
                <w:rFonts w:cs="Arial"/>
                <w:color w:val="000000"/>
                <w:sz w:val="22"/>
                <w:szCs w:val="22"/>
                <w:lang w:eastAsia="en-AU"/>
              </w:rPr>
            </w:pPr>
            <w:bookmarkStart w:id="348" w:name="Table_60"/>
            <w:bookmarkEnd w:id="348"/>
            <w:r w:rsidRPr="00961BF6">
              <w:rPr>
                <w:rFonts w:cs="Arial"/>
                <w:color w:val="000000"/>
                <w:sz w:val="22"/>
                <w:szCs w:val="22"/>
                <w:lang w:eastAsia="en-AU"/>
              </w:rPr>
              <w:t>Short term employee benefits</w:t>
            </w:r>
          </w:p>
        </w:tc>
        <w:tc>
          <w:tcPr>
            <w:tcW w:w="1761" w:type="dxa"/>
            <w:tcBorders>
              <w:top w:val="nil"/>
              <w:left w:val="nil"/>
              <w:bottom w:val="nil"/>
              <w:right w:val="nil"/>
            </w:tcBorders>
            <w:shd w:val="clear" w:color="auto" w:fill="BFBFBF" w:themeFill="background1" w:themeFillShade="BF"/>
            <w:vAlign w:val="center"/>
          </w:tcPr>
          <w:p w14:paraId="5EA74253" w14:textId="3DEF21BF" w:rsidR="00B20FD4" w:rsidRPr="00961BF6" w:rsidRDefault="00B20FD4" w:rsidP="00961BF6">
            <w:pPr>
              <w:jc w:val="right"/>
              <w:rPr>
                <w:rFonts w:cs="Arial"/>
                <w:color w:val="000000"/>
                <w:sz w:val="22"/>
                <w:szCs w:val="22"/>
                <w:lang w:eastAsia="en-AU"/>
              </w:rPr>
            </w:pPr>
            <w:r>
              <w:rPr>
                <w:rFonts w:cs="Arial"/>
                <w:color w:val="000000"/>
                <w:sz w:val="22"/>
                <w:szCs w:val="22"/>
                <w:lang w:eastAsia="en-AU"/>
              </w:rPr>
              <w:t>$2,254,345</w:t>
            </w:r>
          </w:p>
        </w:tc>
        <w:tc>
          <w:tcPr>
            <w:tcW w:w="1761" w:type="dxa"/>
            <w:tcBorders>
              <w:top w:val="nil"/>
              <w:left w:val="nil"/>
              <w:bottom w:val="nil"/>
              <w:right w:val="nil"/>
            </w:tcBorders>
            <w:shd w:val="clear" w:color="auto" w:fill="auto"/>
            <w:vAlign w:val="center"/>
            <w:hideMark/>
          </w:tcPr>
          <w:p w14:paraId="5EA74254" w14:textId="42EF77AE" w:rsidR="00B20FD4" w:rsidRPr="00961BF6" w:rsidRDefault="00B20FD4" w:rsidP="00961BF6">
            <w:pPr>
              <w:jc w:val="right"/>
              <w:rPr>
                <w:rFonts w:cs="Arial"/>
                <w:color w:val="000000"/>
                <w:sz w:val="22"/>
                <w:szCs w:val="22"/>
                <w:lang w:eastAsia="en-AU"/>
              </w:rPr>
            </w:pPr>
            <w:r>
              <w:rPr>
                <w:rFonts w:cs="Arial"/>
                <w:color w:val="000000"/>
                <w:sz w:val="22"/>
                <w:szCs w:val="22"/>
                <w:lang w:eastAsia="en-AU"/>
              </w:rPr>
              <w:t>$2,089,220</w:t>
            </w:r>
          </w:p>
        </w:tc>
      </w:tr>
      <w:tr w:rsidR="00B20FD4" w:rsidRPr="00961BF6" w14:paraId="5EA7425A" w14:textId="77777777" w:rsidTr="00B20FD4">
        <w:trPr>
          <w:trHeight w:val="233"/>
        </w:trPr>
        <w:tc>
          <w:tcPr>
            <w:tcW w:w="5039" w:type="dxa"/>
            <w:tcBorders>
              <w:top w:val="nil"/>
              <w:left w:val="nil"/>
              <w:right w:val="nil"/>
            </w:tcBorders>
            <w:shd w:val="clear" w:color="auto" w:fill="auto"/>
            <w:vAlign w:val="center"/>
            <w:hideMark/>
          </w:tcPr>
          <w:p w14:paraId="5EA74256" w14:textId="77777777"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Post-employment benefits</w:t>
            </w:r>
          </w:p>
        </w:tc>
        <w:tc>
          <w:tcPr>
            <w:tcW w:w="1761" w:type="dxa"/>
            <w:tcBorders>
              <w:top w:val="nil"/>
              <w:left w:val="nil"/>
              <w:right w:val="nil"/>
            </w:tcBorders>
            <w:shd w:val="clear" w:color="auto" w:fill="BFBFBF" w:themeFill="background1" w:themeFillShade="BF"/>
            <w:vAlign w:val="center"/>
          </w:tcPr>
          <w:p w14:paraId="5EA74258" w14:textId="19EE7AA6" w:rsidR="00B20FD4" w:rsidRPr="00961BF6" w:rsidRDefault="00B20FD4" w:rsidP="00961BF6">
            <w:pPr>
              <w:jc w:val="right"/>
              <w:rPr>
                <w:rFonts w:cs="Arial"/>
                <w:color w:val="000000"/>
                <w:sz w:val="22"/>
                <w:szCs w:val="22"/>
                <w:lang w:eastAsia="en-AU"/>
              </w:rPr>
            </w:pPr>
            <w:r>
              <w:rPr>
                <w:rFonts w:cs="Arial"/>
                <w:color w:val="000000"/>
                <w:sz w:val="22"/>
                <w:szCs w:val="22"/>
                <w:lang w:eastAsia="en-AU"/>
              </w:rPr>
              <w:t>$193,313</w:t>
            </w:r>
          </w:p>
        </w:tc>
        <w:tc>
          <w:tcPr>
            <w:tcW w:w="1761" w:type="dxa"/>
            <w:tcBorders>
              <w:top w:val="nil"/>
              <w:left w:val="nil"/>
              <w:right w:val="nil"/>
            </w:tcBorders>
            <w:shd w:val="clear" w:color="auto" w:fill="auto"/>
            <w:vAlign w:val="center"/>
            <w:hideMark/>
          </w:tcPr>
          <w:p w14:paraId="5EA74259" w14:textId="77CF392B" w:rsidR="00B20FD4" w:rsidRPr="00961BF6" w:rsidRDefault="00B20FD4" w:rsidP="00961BF6">
            <w:pPr>
              <w:jc w:val="right"/>
              <w:rPr>
                <w:rFonts w:cs="Arial"/>
                <w:color w:val="000000"/>
                <w:sz w:val="22"/>
                <w:szCs w:val="22"/>
                <w:lang w:eastAsia="en-AU"/>
              </w:rPr>
            </w:pPr>
            <w:r>
              <w:rPr>
                <w:rFonts w:cs="Arial"/>
                <w:color w:val="000000"/>
                <w:sz w:val="22"/>
                <w:szCs w:val="22"/>
                <w:lang w:eastAsia="en-AU"/>
              </w:rPr>
              <w:t>$</w:t>
            </w:r>
            <w:r w:rsidRPr="00961BF6">
              <w:rPr>
                <w:rFonts w:cs="Arial"/>
                <w:color w:val="000000"/>
                <w:sz w:val="22"/>
                <w:szCs w:val="22"/>
                <w:lang w:eastAsia="en-AU"/>
              </w:rPr>
              <w:t>162,125</w:t>
            </w:r>
          </w:p>
        </w:tc>
      </w:tr>
      <w:tr w:rsidR="00B20FD4" w:rsidRPr="00961BF6" w14:paraId="5EA7425F" w14:textId="77777777" w:rsidTr="00B20FD4">
        <w:trPr>
          <w:trHeight w:val="233"/>
        </w:trPr>
        <w:tc>
          <w:tcPr>
            <w:tcW w:w="5039" w:type="dxa"/>
            <w:shd w:val="clear" w:color="auto" w:fill="auto"/>
            <w:vAlign w:val="center"/>
            <w:hideMark/>
          </w:tcPr>
          <w:p w14:paraId="5EA7425B" w14:textId="77777777"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Other long term employee benefits</w:t>
            </w:r>
          </w:p>
        </w:tc>
        <w:tc>
          <w:tcPr>
            <w:tcW w:w="1761" w:type="dxa"/>
            <w:shd w:val="clear" w:color="auto" w:fill="BFBFBF" w:themeFill="background1" w:themeFillShade="BF"/>
            <w:vAlign w:val="center"/>
          </w:tcPr>
          <w:p w14:paraId="5EA7425D" w14:textId="6CE3F91C" w:rsidR="00B20FD4" w:rsidRPr="00961BF6" w:rsidRDefault="00B20FD4" w:rsidP="00961BF6">
            <w:pPr>
              <w:jc w:val="right"/>
              <w:rPr>
                <w:rFonts w:cs="Arial"/>
                <w:color w:val="000000"/>
                <w:sz w:val="22"/>
                <w:szCs w:val="22"/>
                <w:lang w:eastAsia="en-AU"/>
              </w:rPr>
            </w:pPr>
            <w:r>
              <w:rPr>
                <w:rFonts w:cs="Arial"/>
                <w:color w:val="000000"/>
                <w:sz w:val="22"/>
                <w:szCs w:val="22"/>
                <w:lang w:eastAsia="en-AU"/>
              </w:rPr>
              <w:t>$374,455</w:t>
            </w:r>
          </w:p>
        </w:tc>
        <w:tc>
          <w:tcPr>
            <w:tcW w:w="1761" w:type="dxa"/>
            <w:shd w:val="clear" w:color="auto" w:fill="auto"/>
            <w:vAlign w:val="center"/>
            <w:hideMark/>
          </w:tcPr>
          <w:p w14:paraId="5EA7425E" w14:textId="302AA005" w:rsidR="00B20FD4" w:rsidRPr="00961BF6" w:rsidRDefault="00B20FD4" w:rsidP="00961BF6">
            <w:pPr>
              <w:jc w:val="right"/>
              <w:rPr>
                <w:rFonts w:cs="Arial"/>
                <w:color w:val="000000"/>
                <w:sz w:val="22"/>
                <w:szCs w:val="22"/>
                <w:lang w:eastAsia="en-AU"/>
              </w:rPr>
            </w:pPr>
            <w:r>
              <w:rPr>
                <w:rFonts w:cs="Arial"/>
                <w:color w:val="000000"/>
                <w:sz w:val="22"/>
                <w:szCs w:val="22"/>
                <w:lang w:eastAsia="en-AU"/>
              </w:rPr>
              <w:t>$</w:t>
            </w:r>
            <w:r w:rsidRPr="00961BF6">
              <w:rPr>
                <w:rFonts w:cs="Arial"/>
                <w:color w:val="000000"/>
                <w:sz w:val="22"/>
                <w:szCs w:val="22"/>
                <w:lang w:eastAsia="en-AU"/>
              </w:rPr>
              <w:t>320,036</w:t>
            </w:r>
          </w:p>
        </w:tc>
      </w:tr>
      <w:tr w:rsidR="00B20FD4" w:rsidRPr="00961BF6" w14:paraId="5EA74264" w14:textId="77777777" w:rsidTr="00B20FD4">
        <w:trPr>
          <w:trHeight w:val="233"/>
        </w:trPr>
        <w:tc>
          <w:tcPr>
            <w:tcW w:w="5039" w:type="dxa"/>
            <w:shd w:val="clear" w:color="auto" w:fill="auto"/>
            <w:vAlign w:val="center"/>
            <w:hideMark/>
          </w:tcPr>
          <w:p w14:paraId="5EA74260" w14:textId="77777777" w:rsidR="00B20FD4" w:rsidRPr="00961BF6" w:rsidRDefault="00B20FD4" w:rsidP="00961BF6">
            <w:pPr>
              <w:rPr>
                <w:rFonts w:cs="Arial"/>
                <w:color w:val="000000"/>
                <w:sz w:val="22"/>
                <w:szCs w:val="22"/>
                <w:lang w:eastAsia="en-AU"/>
              </w:rPr>
            </w:pPr>
            <w:r w:rsidRPr="00961BF6">
              <w:rPr>
                <w:rFonts w:cs="Arial"/>
                <w:color w:val="000000"/>
                <w:sz w:val="22"/>
                <w:szCs w:val="22"/>
                <w:lang w:eastAsia="en-AU"/>
              </w:rPr>
              <w:t>Termination benefits</w:t>
            </w:r>
          </w:p>
        </w:tc>
        <w:tc>
          <w:tcPr>
            <w:tcW w:w="1761" w:type="dxa"/>
            <w:shd w:val="clear" w:color="auto" w:fill="BFBFBF" w:themeFill="background1" w:themeFillShade="BF"/>
            <w:vAlign w:val="center"/>
          </w:tcPr>
          <w:p w14:paraId="5EA74262" w14:textId="109756B3" w:rsidR="00B20FD4" w:rsidRPr="00961BF6" w:rsidRDefault="00B20FD4" w:rsidP="00961BF6">
            <w:pPr>
              <w:jc w:val="right"/>
              <w:rPr>
                <w:rFonts w:cs="Arial"/>
                <w:color w:val="000000"/>
                <w:sz w:val="22"/>
                <w:szCs w:val="22"/>
                <w:lang w:eastAsia="en-AU"/>
              </w:rPr>
            </w:pPr>
            <w:r>
              <w:rPr>
                <w:rFonts w:cs="Arial"/>
                <w:color w:val="000000"/>
                <w:sz w:val="22"/>
                <w:szCs w:val="22"/>
                <w:lang w:eastAsia="en-AU"/>
              </w:rPr>
              <w:t>0</w:t>
            </w:r>
          </w:p>
        </w:tc>
        <w:tc>
          <w:tcPr>
            <w:tcW w:w="1761" w:type="dxa"/>
            <w:shd w:val="clear" w:color="auto" w:fill="auto"/>
            <w:vAlign w:val="center"/>
            <w:hideMark/>
          </w:tcPr>
          <w:p w14:paraId="5EA74263" w14:textId="6E49BD8D" w:rsidR="00B20FD4" w:rsidRPr="00961BF6" w:rsidRDefault="00B20FD4" w:rsidP="00961BF6">
            <w:pPr>
              <w:jc w:val="right"/>
              <w:rPr>
                <w:rFonts w:cs="Arial"/>
                <w:color w:val="000000"/>
                <w:sz w:val="22"/>
                <w:szCs w:val="22"/>
                <w:lang w:eastAsia="en-AU"/>
              </w:rPr>
            </w:pPr>
            <w:r>
              <w:rPr>
                <w:rFonts w:cs="Arial"/>
                <w:color w:val="000000"/>
                <w:sz w:val="22"/>
                <w:szCs w:val="22"/>
                <w:lang w:eastAsia="en-AU"/>
              </w:rPr>
              <w:t>$</w:t>
            </w:r>
            <w:r w:rsidRPr="00961BF6">
              <w:rPr>
                <w:rFonts w:cs="Arial"/>
                <w:color w:val="000000"/>
                <w:sz w:val="22"/>
                <w:szCs w:val="22"/>
                <w:lang w:eastAsia="en-AU"/>
              </w:rPr>
              <w:t>280,001</w:t>
            </w:r>
          </w:p>
        </w:tc>
      </w:tr>
      <w:tr w:rsidR="00B20FD4" w:rsidRPr="00961BF6" w14:paraId="5EA74269" w14:textId="77777777" w:rsidTr="00B20FD4">
        <w:trPr>
          <w:trHeight w:val="233"/>
        </w:trPr>
        <w:tc>
          <w:tcPr>
            <w:tcW w:w="5039" w:type="dxa"/>
            <w:shd w:val="clear" w:color="auto" w:fill="auto"/>
            <w:vAlign w:val="center"/>
            <w:hideMark/>
          </w:tcPr>
          <w:p w14:paraId="5EA74265" w14:textId="27A1666D" w:rsidR="00B20FD4" w:rsidRPr="00961BF6" w:rsidRDefault="00B20FD4" w:rsidP="00961BF6">
            <w:pPr>
              <w:rPr>
                <w:rFonts w:cs="Arial"/>
                <w:color w:val="000000"/>
                <w:sz w:val="22"/>
                <w:szCs w:val="22"/>
                <w:lang w:eastAsia="en-AU"/>
              </w:rPr>
            </w:pPr>
            <w:r>
              <w:rPr>
                <w:rFonts w:cs="Arial"/>
                <w:color w:val="000000"/>
                <w:sz w:val="22"/>
                <w:szCs w:val="22"/>
                <w:lang w:eastAsia="en-AU"/>
              </w:rPr>
              <w:t>Total</w:t>
            </w:r>
          </w:p>
        </w:tc>
        <w:tc>
          <w:tcPr>
            <w:tcW w:w="1761" w:type="dxa"/>
            <w:shd w:val="clear" w:color="auto" w:fill="BFBFBF" w:themeFill="background1" w:themeFillShade="BF"/>
            <w:vAlign w:val="center"/>
          </w:tcPr>
          <w:p w14:paraId="5EA74267" w14:textId="18E5CCD3" w:rsidR="00B20FD4" w:rsidRPr="00961BF6" w:rsidRDefault="00B20FD4" w:rsidP="00961BF6">
            <w:pPr>
              <w:jc w:val="right"/>
              <w:rPr>
                <w:rFonts w:cs="Arial"/>
                <w:color w:val="000000"/>
                <w:sz w:val="22"/>
                <w:szCs w:val="22"/>
                <w:lang w:eastAsia="en-AU"/>
              </w:rPr>
            </w:pPr>
            <w:r>
              <w:rPr>
                <w:rFonts w:cs="Arial"/>
                <w:color w:val="000000"/>
                <w:sz w:val="22"/>
                <w:szCs w:val="22"/>
                <w:lang w:eastAsia="en-AU"/>
              </w:rPr>
              <w:t>$2,822,113</w:t>
            </w:r>
          </w:p>
        </w:tc>
        <w:tc>
          <w:tcPr>
            <w:tcW w:w="1761" w:type="dxa"/>
            <w:shd w:val="clear" w:color="auto" w:fill="auto"/>
            <w:vAlign w:val="center"/>
            <w:hideMark/>
          </w:tcPr>
          <w:p w14:paraId="5EA74268" w14:textId="1DF9ACFB" w:rsidR="00B20FD4" w:rsidRPr="00961BF6" w:rsidRDefault="00B20FD4" w:rsidP="00961BF6">
            <w:pPr>
              <w:jc w:val="right"/>
              <w:rPr>
                <w:rFonts w:cs="Arial"/>
                <w:color w:val="000000"/>
                <w:sz w:val="22"/>
                <w:szCs w:val="22"/>
                <w:lang w:eastAsia="en-AU"/>
              </w:rPr>
            </w:pPr>
            <w:r>
              <w:rPr>
                <w:rFonts w:cs="Arial"/>
                <w:color w:val="000000"/>
                <w:sz w:val="22"/>
                <w:szCs w:val="22"/>
                <w:lang w:eastAsia="en-AU"/>
              </w:rPr>
              <w:t>$2,851,382</w:t>
            </w:r>
          </w:p>
        </w:tc>
      </w:tr>
    </w:tbl>
    <w:p w14:paraId="53240FFA" w14:textId="2985DC63" w:rsidR="00045F1D" w:rsidRDefault="00045F1D"/>
    <w:p w14:paraId="343665AD" w14:textId="5F216B24" w:rsidR="00A9569E" w:rsidRPr="00A9569E" w:rsidRDefault="00A9569E" w:rsidP="00BF287B">
      <w:pPr>
        <w:pStyle w:val="Heading2"/>
      </w:pPr>
      <w:bookmarkStart w:id="349" w:name="_Toc430613410"/>
      <w:bookmarkStart w:id="350" w:name="_Toc430613781"/>
      <w:r w:rsidRPr="00A9569E">
        <w:t>25.1 Parent entity</w:t>
      </w:r>
      <w:bookmarkEnd w:id="349"/>
      <w:bookmarkEnd w:id="350"/>
    </w:p>
    <w:p w14:paraId="5554F491" w14:textId="3737446E" w:rsidR="00B20FD4" w:rsidRDefault="00B20FD4" w:rsidP="00A9569E">
      <w:r w:rsidRPr="00961BF6">
        <w:rPr>
          <w:rFonts w:cs="Arial"/>
          <w:color w:val="000000"/>
          <w:sz w:val="22"/>
          <w:szCs w:val="22"/>
          <w:lang w:eastAsia="en-AU"/>
        </w:rPr>
        <w:t>The parent entity of the Group is Vision Australia Limited.</w:t>
      </w:r>
    </w:p>
    <w:p w14:paraId="25E77524" w14:textId="77777777" w:rsidR="00A9569E" w:rsidRDefault="00A9569E" w:rsidP="00A9569E"/>
    <w:p w14:paraId="6913B6B8" w14:textId="3536A8C4" w:rsidR="00A9569E" w:rsidRDefault="00A9569E" w:rsidP="00BF287B">
      <w:pPr>
        <w:pStyle w:val="Heading2"/>
        <w:rPr>
          <w:lang w:eastAsia="en-AU"/>
        </w:rPr>
      </w:pPr>
      <w:bookmarkStart w:id="351" w:name="_Toc430613411"/>
      <w:bookmarkStart w:id="352" w:name="_Toc430613782"/>
      <w:r w:rsidRPr="00A9569E">
        <w:t xml:space="preserve">25.2 </w:t>
      </w:r>
      <w:r w:rsidRPr="00A9569E">
        <w:rPr>
          <w:lang w:eastAsia="en-AU"/>
        </w:rPr>
        <w:t>Ownership interest in related parties</w:t>
      </w:r>
      <w:bookmarkEnd w:id="351"/>
      <w:bookmarkEnd w:id="352"/>
    </w:p>
    <w:p w14:paraId="5EA660C4" w14:textId="77777777" w:rsidR="00A9569E" w:rsidRDefault="00A9569E" w:rsidP="00A9569E">
      <w:pPr>
        <w:jc w:val="both"/>
        <w:rPr>
          <w:rFonts w:cs="Arial"/>
          <w:color w:val="000000"/>
          <w:sz w:val="22"/>
          <w:szCs w:val="22"/>
          <w:lang w:eastAsia="en-AU"/>
        </w:rPr>
      </w:pPr>
      <w:r w:rsidRPr="00961BF6">
        <w:rPr>
          <w:rFonts w:cs="Arial"/>
          <w:color w:val="000000"/>
          <w:sz w:val="22"/>
          <w:szCs w:val="22"/>
          <w:lang w:eastAsia="en-AU"/>
        </w:rPr>
        <w:t xml:space="preserve">Details and ownership interest held in subsidiaries are disclosed in Note </w:t>
      </w:r>
      <w:r>
        <w:rPr>
          <w:rFonts w:cs="Arial"/>
          <w:color w:val="000000"/>
          <w:sz w:val="22"/>
          <w:szCs w:val="22"/>
          <w:lang w:eastAsia="en-AU"/>
        </w:rPr>
        <w:t>26</w:t>
      </w:r>
      <w:r w:rsidRPr="00961BF6">
        <w:rPr>
          <w:rFonts w:cs="Arial"/>
          <w:color w:val="000000"/>
          <w:sz w:val="22"/>
          <w:szCs w:val="22"/>
          <w:lang w:eastAsia="en-AU"/>
        </w:rPr>
        <w:t xml:space="preserve"> to the financial statements</w:t>
      </w:r>
    </w:p>
    <w:p w14:paraId="7281803C" w14:textId="6D2182DE" w:rsidR="00A9569E" w:rsidRDefault="00A9569E" w:rsidP="00A9569E"/>
    <w:p w14:paraId="118BB626" w14:textId="77777777" w:rsidR="00A9569E" w:rsidRPr="00A9569E" w:rsidRDefault="00A9569E" w:rsidP="00BF287B">
      <w:pPr>
        <w:pStyle w:val="Heading2"/>
      </w:pPr>
      <w:bookmarkStart w:id="353" w:name="_Toc430613412"/>
      <w:bookmarkStart w:id="354" w:name="_Toc430613783"/>
      <w:r w:rsidRPr="00A9569E">
        <w:t>25.3 Loan disclosures</w:t>
      </w:r>
      <w:bookmarkEnd w:id="353"/>
      <w:bookmarkEnd w:id="354"/>
    </w:p>
    <w:p w14:paraId="11D63362" w14:textId="77777777" w:rsidR="00B20FD4" w:rsidRPr="00961BF6" w:rsidRDefault="00B20FD4" w:rsidP="00B20FD4">
      <w:pPr>
        <w:rPr>
          <w:rFonts w:cs="Arial"/>
          <w:color w:val="000000"/>
          <w:sz w:val="22"/>
          <w:szCs w:val="22"/>
          <w:lang w:eastAsia="en-AU"/>
        </w:rPr>
      </w:pPr>
      <w:r w:rsidRPr="00961BF6">
        <w:rPr>
          <w:rFonts w:cs="Arial"/>
          <w:color w:val="000000"/>
          <w:sz w:val="22"/>
          <w:szCs w:val="22"/>
          <w:lang w:eastAsia="en-AU"/>
        </w:rPr>
        <w:t>There were no loans between Vision Australia Limited and its directors or executives.</w:t>
      </w:r>
    </w:p>
    <w:p w14:paraId="0B1B67D4" w14:textId="77777777" w:rsidR="00A9569E" w:rsidRPr="00A9569E" w:rsidRDefault="00A9569E" w:rsidP="00A9569E">
      <w:pPr>
        <w:rPr>
          <w:sz w:val="22"/>
          <w:szCs w:val="22"/>
        </w:rPr>
      </w:pPr>
    </w:p>
    <w:p w14:paraId="003B60E0" w14:textId="77777777" w:rsidR="00A9569E" w:rsidRPr="00A9569E" w:rsidRDefault="00A9569E" w:rsidP="00BF287B">
      <w:pPr>
        <w:pStyle w:val="Heading2"/>
      </w:pPr>
      <w:bookmarkStart w:id="355" w:name="_Toc430613413"/>
      <w:bookmarkStart w:id="356" w:name="_Toc430613784"/>
      <w:r w:rsidRPr="00A9569E">
        <w:t>25.4 Director transactions</w:t>
      </w:r>
      <w:bookmarkEnd w:id="355"/>
      <w:bookmarkEnd w:id="356"/>
    </w:p>
    <w:p w14:paraId="4F72BEA4" w14:textId="77777777" w:rsidR="00B20FD4" w:rsidRPr="00961BF6" w:rsidRDefault="00B20FD4" w:rsidP="00B20FD4">
      <w:pPr>
        <w:rPr>
          <w:rFonts w:cs="Arial"/>
          <w:color w:val="000000"/>
          <w:sz w:val="22"/>
          <w:szCs w:val="22"/>
          <w:lang w:eastAsia="en-AU"/>
        </w:rPr>
      </w:pPr>
      <w:r w:rsidRPr="00961BF6">
        <w:rPr>
          <w:rFonts w:cs="Arial"/>
          <w:color w:val="000000"/>
          <w:sz w:val="22"/>
          <w:szCs w:val="22"/>
          <w:lang w:eastAsia="en-AU"/>
        </w:rPr>
        <w:t>Some directors receive services from Vision Australia Limited as clients on a normal commercial basis and pay the applicable fees, if any, for those services.</w:t>
      </w:r>
    </w:p>
    <w:p w14:paraId="7CE6241F" w14:textId="77777777" w:rsidR="00A9569E" w:rsidRDefault="00A9569E" w:rsidP="00A9569E"/>
    <w:p w14:paraId="0E154E14" w14:textId="0100205C" w:rsidR="00A9569E" w:rsidRDefault="00A9569E">
      <w:r>
        <w:br w:type="page"/>
      </w:r>
    </w:p>
    <w:p w14:paraId="5EA742AE" w14:textId="222C3386" w:rsidR="009D45BE" w:rsidRPr="00A9569E" w:rsidRDefault="00DD3EBA" w:rsidP="00BF287B">
      <w:pPr>
        <w:pStyle w:val="Heading1"/>
      </w:pPr>
      <w:bookmarkStart w:id="357" w:name="_Toc430613785"/>
      <w:r w:rsidRPr="00A9569E">
        <w:lastRenderedPageBreak/>
        <w:t xml:space="preserve">Note </w:t>
      </w:r>
      <w:r w:rsidR="00FD563D" w:rsidRPr="00A9569E">
        <w:t>26</w:t>
      </w:r>
      <w:r w:rsidR="009D45BE" w:rsidRPr="00A9569E">
        <w:t>:  Subsidiaries</w:t>
      </w:r>
      <w:bookmarkEnd w:id="357"/>
      <w:r w:rsidR="009D45BE" w:rsidRPr="00A9569E">
        <w:t xml:space="preserve">  </w:t>
      </w:r>
    </w:p>
    <w:p w14:paraId="5EA742AF" w14:textId="77777777" w:rsidR="00980372" w:rsidRPr="007540D9" w:rsidRDefault="00980372" w:rsidP="0058691E">
      <w:pPr>
        <w:pStyle w:val="TextPara"/>
        <w:autoSpaceDE/>
        <w:autoSpaceDN/>
        <w:adjustRightInd/>
        <w:jc w:val="both"/>
        <w:rPr>
          <w:rFonts w:cs="Arial"/>
          <w:sz w:val="22"/>
          <w:szCs w:val="22"/>
        </w:rPr>
      </w:pPr>
    </w:p>
    <w:p w14:paraId="5EA742B0" w14:textId="4C92E52A" w:rsidR="00980372" w:rsidRDefault="00980372" w:rsidP="0058691E">
      <w:pPr>
        <w:pStyle w:val="TextPara"/>
        <w:autoSpaceDE/>
        <w:autoSpaceDN/>
        <w:adjustRightInd/>
        <w:jc w:val="both"/>
        <w:rPr>
          <w:rFonts w:cs="Arial"/>
          <w:sz w:val="22"/>
          <w:szCs w:val="22"/>
        </w:rPr>
      </w:pPr>
      <w:r w:rsidRPr="007540D9">
        <w:rPr>
          <w:rFonts w:cs="Arial"/>
          <w:sz w:val="22"/>
          <w:szCs w:val="22"/>
        </w:rPr>
        <w:t>The consolidated financial statements include the financial statements of Vision Australia Limited and the subsidiaries listed in the following table.</w:t>
      </w:r>
      <w:r w:rsidR="00B20FD4">
        <w:rPr>
          <w:rFonts w:cs="Arial"/>
          <w:sz w:val="22"/>
          <w:szCs w:val="22"/>
        </w:rPr>
        <w:t xml:space="preserve"> </w:t>
      </w:r>
    </w:p>
    <w:p w14:paraId="75666694" w14:textId="77777777" w:rsidR="00B20FD4" w:rsidRDefault="00B20FD4" w:rsidP="0058691E">
      <w:pPr>
        <w:pStyle w:val="TextPara"/>
        <w:autoSpaceDE/>
        <w:autoSpaceDN/>
        <w:adjustRightInd/>
        <w:jc w:val="both"/>
        <w:rPr>
          <w:rFonts w:cs="Arial"/>
          <w:sz w:val="22"/>
          <w:szCs w:val="22"/>
        </w:rPr>
      </w:pPr>
    </w:p>
    <w:p w14:paraId="19F2C22B" w14:textId="6DF81681" w:rsidR="00B20FD4" w:rsidRPr="007540D9" w:rsidRDefault="00B20FD4" w:rsidP="0058691E">
      <w:pPr>
        <w:pStyle w:val="TextPara"/>
        <w:autoSpaceDE/>
        <w:autoSpaceDN/>
        <w:adjustRightInd/>
        <w:jc w:val="both"/>
        <w:rPr>
          <w:rFonts w:cs="Arial"/>
          <w:sz w:val="22"/>
          <w:szCs w:val="22"/>
        </w:rPr>
      </w:pPr>
      <w:r>
        <w:rPr>
          <w:rFonts w:cs="Arial"/>
          <w:sz w:val="22"/>
          <w:szCs w:val="22"/>
        </w:rPr>
        <w:t xml:space="preserve">Parent entity </w:t>
      </w:r>
      <w:r w:rsidRPr="007540D9">
        <w:rPr>
          <w:rFonts w:cs="Arial"/>
          <w:sz w:val="22"/>
          <w:szCs w:val="22"/>
        </w:rPr>
        <w:t>Vision Australia Ltd</w:t>
      </w:r>
      <w:r>
        <w:rPr>
          <w:rFonts w:cs="Arial"/>
          <w:sz w:val="22"/>
          <w:szCs w:val="22"/>
        </w:rPr>
        <w:t xml:space="preserve"> incorporated in Australia.</w:t>
      </w:r>
    </w:p>
    <w:p w14:paraId="747A2A95" w14:textId="2E4EA3E8" w:rsidR="00B20FD4" w:rsidRPr="007540D9" w:rsidRDefault="00B20FD4" w:rsidP="0058691E">
      <w:pPr>
        <w:pStyle w:val="TextPara"/>
        <w:autoSpaceDE/>
        <w:autoSpaceDN/>
        <w:adjustRightInd/>
        <w:jc w:val="both"/>
        <w:rPr>
          <w:rFonts w:cs="Arial"/>
          <w:sz w:val="22"/>
          <w:szCs w:val="22"/>
        </w:rPr>
      </w:pPr>
    </w:p>
    <w:tbl>
      <w:tblPr>
        <w:tblW w:w="9221" w:type="dxa"/>
        <w:tblLook w:val="0000" w:firstRow="0" w:lastRow="0" w:firstColumn="0" w:lastColumn="0" w:noHBand="0" w:noVBand="0"/>
      </w:tblPr>
      <w:tblGrid>
        <w:gridCol w:w="4124"/>
        <w:gridCol w:w="2228"/>
        <w:gridCol w:w="1434"/>
        <w:gridCol w:w="1435"/>
      </w:tblGrid>
      <w:tr w:rsidR="00B20FD4" w:rsidRPr="007540D9" w14:paraId="5EA742C1" w14:textId="77777777" w:rsidTr="00B20FD4">
        <w:trPr>
          <w:trHeight w:val="269"/>
          <w:tblHeader/>
        </w:trPr>
        <w:tc>
          <w:tcPr>
            <w:tcW w:w="4124" w:type="dxa"/>
            <w:shd w:val="clear" w:color="auto" w:fill="auto"/>
            <w:vAlign w:val="center"/>
          </w:tcPr>
          <w:p w14:paraId="5EA742BD" w14:textId="1413E7F3" w:rsidR="00B20FD4" w:rsidRPr="007540D9" w:rsidRDefault="00B20FD4" w:rsidP="00B46FE4">
            <w:pPr>
              <w:pStyle w:val="TextPara"/>
              <w:autoSpaceDE/>
              <w:autoSpaceDN/>
              <w:adjustRightInd/>
              <w:rPr>
                <w:rFonts w:cs="Arial"/>
                <w:b/>
                <w:bCs/>
                <w:sz w:val="22"/>
                <w:szCs w:val="22"/>
              </w:rPr>
            </w:pPr>
            <w:bookmarkStart w:id="358" w:name="Table_61"/>
            <w:bookmarkEnd w:id="358"/>
            <w:r w:rsidRPr="007540D9">
              <w:rPr>
                <w:rFonts w:cs="Arial"/>
                <w:b/>
                <w:bCs/>
                <w:sz w:val="22"/>
                <w:szCs w:val="22"/>
              </w:rPr>
              <w:t>Subsidiaries</w:t>
            </w:r>
          </w:p>
        </w:tc>
        <w:tc>
          <w:tcPr>
            <w:tcW w:w="2228" w:type="dxa"/>
            <w:shd w:val="clear" w:color="auto" w:fill="auto"/>
            <w:vAlign w:val="center"/>
          </w:tcPr>
          <w:p w14:paraId="17995E69" w14:textId="77777777" w:rsidR="00B20FD4" w:rsidRDefault="00B20FD4" w:rsidP="00B20FD4">
            <w:pPr>
              <w:pStyle w:val="TextPara"/>
              <w:jc w:val="center"/>
              <w:rPr>
                <w:rFonts w:cs="Arial"/>
                <w:b/>
                <w:bCs/>
                <w:color w:val="000000"/>
                <w:sz w:val="22"/>
                <w:szCs w:val="22"/>
              </w:rPr>
            </w:pPr>
            <w:r>
              <w:rPr>
                <w:rFonts w:cs="Arial"/>
                <w:b/>
                <w:bCs/>
                <w:color w:val="000000"/>
                <w:sz w:val="22"/>
                <w:szCs w:val="22"/>
              </w:rPr>
              <w:t>Country of incorporation</w:t>
            </w:r>
          </w:p>
          <w:p w14:paraId="5EA742BE" w14:textId="77777777" w:rsidR="00B20FD4" w:rsidRPr="007540D9" w:rsidRDefault="00B20FD4" w:rsidP="00B46FE4">
            <w:pPr>
              <w:pStyle w:val="TextPara"/>
              <w:autoSpaceDE/>
              <w:autoSpaceDN/>
              <w:adjustRightInd/>
              <w:jc w:val="center"/>
              <w:rPr>
                <w:rFonts w:cs="Arial"/>
                <w:sz w:val="22"/>
                <w:szCs w:val="22"/>
              </w:rPr>
            </w:pPr>
          </w:p>
        </w:tc>
        <w:tc>
          <w:tcPr>
            <w:tcW w:w="1434" w:type="dxa"/>
            <w:shd w:val="clear" w:color="auto" w:fill="auto"/>
            <w:vAlign w:val="center"/>
          </w:tcPr>
          <w:p w14:paraId="7FAF4807" w14:textId="77777777" w:rsidR="00B20FD4" w:rsidRDefault="00B20FD4">
            <w:pPr>
              <w:pStyle w:val="TextPara"/>
              <w:autoSpaceDE/>
              <w:adjustRightInd/>
              <w:jc w:val="center"/>
              <w:rPr>
                <w:rFonts w:cs="Arial"/>
                <w:b/>
                <w:bCs/>
                <w:color w:val="000000"/>
                <w:sz w:val="22"/>
                <w:szCs w:val="22"/>
              </w:rPr>
            </w:pPr>
            <w:r>
              <w:rPr>
                <w:rFonts w:cs="Arial"/>
                <w:b/>
                <w:bCs/>
                <w:color w:val="000000"/>
                <w:sz w:val="22"/>
                <w:szCs w:val="22"/>
              </w:rPr>
              <w:t>Ownership interest</w:t>
            </w:r>
          </w:p>
          <w:p w14:paraId="026B28B0" w14:textId="77777777" w:rsidR="00B20FD4" w:rsidRDefault="00B20FD4">
            <w:pPr>
              <w:pStyle w:val="TextPara"/>
              <w:autoSpaceDE/>
              <w:adjustRightInd/>
              <w:jc w:val="center"/>
              <w:rPr>
                <w:rFonts w:cs="Arial"/>
                <w:b/>
                <w:bCs/>
                <w:color w:val="000000"/>
                <w:sz w:val="22"/>
                <w:szCs w:val="22"/>
              </w:rPr>
            </w:pPr>
            <w:r>
              <w:rPr>
                <w:rFonts w:cs="Arial"/>
                <w:b/>
                <w:bCs/>
                <w:color w:val="000000"/>
                <w:sz w:val="22"/>
                <w:szCs w:val="22"/>
              </w:rPr>
              <w:t>2015</w:t>
            </w:r>
          </w:p>
          <w:p w14:paraId="5EA742BF" w14:textId="640489E1" w:rsidR="00B20FD4" w:rsidRPr="007540D9" w:rsidRDefault="00B20FD4" w:rsidP="00B46FE4">
            <w:pPr>
              <w:pStyle w:val="TextPara"/>
              <w:autoSpaceDE/>
              <w:autoSpaceDN/>
              <w:adjustRightInd/>
              <w:jc w:val="center"/>
              <w:rPr>
                <w:rFonts w:cs="Arial"/>
                <w:sz w:val="22"/>
                <w:szCs w:val="22"/>
              </w:rPr>
            </w:pPr>
            <w:r>
              <w:rPr>
                <w:rFonts w:cs="Arial"/>
                <w:b/>
                <w:bCs/>
                <w:color w:val="000000"/>
                <w:sz w:val="22"/>
                <w:szCs w:val="22"/>
              </w:rPr>
              <w:t>%</w:t>
            </w:r>
          </w:p>
        </w:tc>
        <w:tc>
          <w:tcPr>
            <w:tcW w:w="1435" w:type="dxa"/>
            <w:shd w:val="clear" w:color="auto" w:fill="auto"/>
            <w:vAlign w:val="center"/>
          </w:tcPr>
          <w:p w14:paraId="1D2A6172" w14:textId="77777777" w:rsidR="00B20FD4" w:rsidRDefault="00B20FD4">
            <w:pPr>
              <w:pStyle w:val="TextPara"/>
              <w:autoSpaceDE/>
              <w:adjustRightInd/>
              <w:jc w:val="center"/>
              <w:rPr>
                <w:rFonts w:cs="Arial"/>
                <w:b/>
                <w:bCs/>
                <w:color w:val="000000"/>
                <w:sz w:val="22"/>
                <w:szCs w:val="22"/>
              </w:rPr>
            </w:pPr>
            <w:r>
              <w:rPr>
                <w:rFonts w:cs="Arial"/>
                <w:b/>
                <w:bCs/>
                <w:color w:val="000000"/>
                <w:sz w:val="22"/>
                <w:szCs w:val="22"/>
              </w:rPr>
              <w:t>Ownership interest</w:t>
            </w:r>
          </w:p>
          <w:p w14:paraId="7DE921AF" w14:textId="77777777" w:rsidR="00B20FD4" w:rsidRDefault="00B20FD4">
            <w:pPr>
              <w:pStyle w:val="TextPara"/>
              <w:autoSpaceDE/>
              <w:adjustRightInd/>
              <w:jc w:val="center"/>
              <w:rPr>
                <w:rFonts w:cs="Arial"/>
                <w:b/>
                <w:bCs/>
                <w:color w:val="000000"/>
                <w:sz w:val="22"/>
                <w:szCs w:val="22"/>
              </w:rPr>
            </w:pPr>
            <w:r>
              <w:rPr>
                <w:rFonts w:cs="Arial"/>
                <w:b/>
                <w:bCs/>
                <w:color w:val="000000"/>
                <w:sz w:val="22"/>
                <w:szCs w:val="22"/>
              </w:rPr>
              <w:t>2014</w:t>
            </w:r>
          </w:p>
          <w:p w14:paraId="5EA742C0" w14:textId="73BE3D84" w:rsidR="00B20FD4" w:rsidRPr="007540D9" w:rsidRDefault="00B20FD4" w:rsidP="00A45BD8">
            <w:pPr>
              <w:pStyle w:val="TextPara"/>
              <w:autoSpaceDE/>
              <w:autoSpaceDN/>
              <w:adjustRightInd/>
              <w:jc w:val="center"/>
              <w:rPr>
                <w:rFonts w:cs="Arial"/>
                <w:sz w:val="22"/>
                <w:szCs w:val="22"/>
              </w:rPr>
            </w:pPr>
            <w:r>
              <w:rPr>
                <w:rFonts w:cs="Arial"/>
                <w:b/>
                <w:bCs/>
                <w:color w:val="000000"/>
                <w:sz w:val="22"/>
                <w:szCs w:val="22"/>
              </w:rPr>
              <w:t>%</w:t>
            </w:r>
          </w:p>
        </w:tc>
      </w:tr>
      <w:tr w:rsidR="00FC27F9" w:rsidRPr="007540D9" w14:paraId="5EA742D0" w14:textId="77777777" w:rsidTr="00B20FD4">
        <w:trPr>
          <w:trHeight w:val="269"/>
        </w:trPr>
        <w:tc>
          <w:tcPr>
            <w:tcW w:w="4124" w:type="dxa"/>
            <w:shd w:val="clear" w:color="auto" w:fill="auto"/>
            <w:vAlign w:val="center"/>
          </w:tcPr>
          <w:p w14:paraId="5EA742CC" w14:textId="77777777" w:rsidR="00FC27F9" w:rsidRPr="007540D9" w:rsidRDefault="00FC27F9" w:rsidP="00B46FE4">
            <w:pPr>
              <w:pStyle w:val="TextPara"/>
              <w:autoSpaceDE/>
              <w:autoSpaceDN/>
              <w:adjustRightInd/>
              <w:rPr>
                <w:rFonts w:cs="Arial"/>
                <w:sz w:val="22"/>
                <w:szCs w:val="22"/>
              </w:rPr>
            </w:pPr>
            <w:r w:rsidRPr="007540D9">
              <w:rPr>
                <w:rFonts w:cs="Arial"/>
                <w:sz w:val="22"/>
                <w:szCs w:val="22"/>
              </w:rPr>
              <w:t>Vision Australia Foundation</w:t>
            </w:r>
          </w:p>
        </w:tc>
        <w:tc>
          <w:tcPr>
            <w:tcW w:w="2228" w:type="dxa"/>
            <w:shd w:val="clear" w:color="auto" w:fill="auto"/>
            <w:vAlign w:val="center"/>
          </w:tcPr>
          <w:p w14:paraId="5EA742CD" w14:textId="77777777" w:rsidR="00FC27F9" w:rsidRPr="007540D9" w:rsidRDefault="00FC27F9" w:rsidP="00B46FE4">
            <w:pPr>
              <w:pStyle w:val="TextPara"/>
              <w:autoSpaceDE/>
              <w:autoSpaceDN/>
              <w:adjustRightInd/>
              <w:jc w:val="center"/>
              <w:rPr>
                <w:rFonts w:cs="Arial"/>
                <w:sz w:val="22"/>
                <w:szCs w:val="22"/>
              </w:rPr>
            </w:pPr>
            <w:r w:rsidRPr="007540D9">
              <w:rPr>
                <w:rFonts w:cs="Arial"/>
                <w:sz w:val="22"/>
                <w:szCs w:val="22"/>
              </w:rPr>
              <w:t>Australia</w:t>
            </w:r>
          </w:p>
        </w:tc>
        <w:tc>
          <w:tcPr>
            <w:tcW w:w="1434" w:type="dxa"/>
            <w:shd w:val="clear" w:color="auto" w:fill="BFBFBF" w:themeFill="background1" w:themeFillShade="BF"/>
            <w:vAlign w:val="center"/>
          </w:tcPr>
          <w:p w14:paraId="5EA742CE" w14:textId="77777777" w:rsidR="00FC27F9" w:rsidRPr="007540D9" w:rsidRDefault="00FC27F9" w:rsidP="00A743E1">
            <w:pPr>
              <w:pStyle w:val="TextPara"/>
              <w:autoSpaceDE/>
              <w:autoSpaceDN/>
              <w:adjustRightInd/>
              <w:jc w:val="center"/>
              <w:rPr>
                <w:rFonts w:cs="Arial"/>
                <w:sz w:val="22"/>
                <w:szCs w:val="22"/>
                <w:highlight w:val="darkRed"/>
              </w:rPr>
            </w:pPr>
            <w:r w:rsidRPr="007540D9">
              <w:rPr>
                <w:rFonts w:cs="Arial"/>
                <w:sz w:val="22"/>
                <w:szCs w:val="22"/>
              </w:rPr>
              <w:t>100%</w:t>
            </w:r>
          </w:p>
        </w:tc>
        <w:tc>
          <w:tcPr>
            <w:tcW w:w="1435" w:type="dxa"/>
            <w:shd w:val="clear" w:color="auto" w:fill="auto"/>
            <w:vAlign w:val="center"/>
          </w:tcPr>
          <w:p w14:paraId="5EA742CF" w14:textId="77777777" w:rsidR="00FC27F9" w:rsidRPr="007540D9" w:rsidRDefault="00FC27F9" w:rsidP="00A45BD8">
            <w:pPr>
              <w:pStyle w:val="TextPara"/>
              <w:autoSpaceDE/>
              <w:autoSpaceDN/>
              <w:adjustRightInd/>
              <w:jc w:val="center"/>
              <w:rPr>
                <w:rFonts w:cs="Arial"/>
                <w:sz w:val="22"/>
                <w:szCs w:val="22"/>
                <w:highlight w:val="darkRed"/>
              </w:rPr>
            </w:pPr>
            <w:r w:rsidRPr="007540D9">
              <w:rPr>
                <w:rFonts w:cs="Arial"/>
                <w:sz w:val="22"/>
                <w:szCs w:val="22"/>
              </w:rPr>
              <w:t>100%</w:t>
            </w:r>
          </w:p>
        </w:tc>
      </w:tr>
      <w:tr w:rsidR="00FC27F9" w:rsidRPr="007540D9" w14:paraId="5EA742D5" w14:textId="77777777" w:rsidTr="00B20FD4">
        <w:trPr>
          <w:trHeight w:val="253"/>
        </w:trPr>
        <w:tc>
          <w:tcPr>
            <w:tcW w:w="4124" w:type="dxa"/>
            <w:shd w:val="clear" w:color="auto" w:fill="auto"/>
            <w:vAlign w:val="center"/>
          </w:tcPr>
          <w:p w14:paraId="5EA742D1" w14:textId="77777777" w:rsidR="00FC27F9" w:rsidRPr="007540D9" w:rsidRDefault="00FC27F9" w:rsidP="00E511B2">
            <w:pPr>
              <w:pStyle w:val="TextPara"/>
              <w:autoSpaceDE/>
              <w:autoSpaceDN/>
              <w:adjustRightInd/>
              <w:rPr>
                <w:rFonts w:cs="Arial"/>
                <w:sz w:val="22"/>
                <w:szCs w:val="22"/>
              </w:rPr>
            </w:pPr>
            <w:r w:rsidRPr="007540D9">
              <w:rPr>
                <w:rFonts w:cs="Arial"/>
                <w:sz w:val="22"/>
                <w:szCs w:val="22"/>
              </w:rPr>
              <w:t>Vision Australia Trust</w:t>
            </w:r>
          </w:p>
        </w:tc>
        <w:tc>
          <w:tcPr>
            <w:tcW w:w="2228" w:type="dxa"/>
            <w:shd w:val="clear" w:color="auto" w:fill="auto"/>
            <w:vAlign w:val="center"/>
          </w:tcPr>
          <w:p w14:paraId="5EA742D2" w14:textId="77777777" w:rsidR="00FC27F9" w:rsidRPr="007540D9" w:rsidRDefault="00FC27F9" w:rsidP="00E511B2">
            <w:pPr>
              <w:pStyle w:val="TextPara"/>
              <w:autoSpaceDE/>
              <w:autoSpaceDN/>
              <w:adjustRightInd/>
              <w:jc w:val="center"/>
              <w:rPr>
                <w:rFonts w:cs="Arial"/>
                <w:sz w:val="22"/>
                <w:szCs w:val="22"/>
              </w:rPr>
            </w:pPr>
            <w:r w:rsidRPr="007540D9">
              <w:rPr>
                <w:rFonts w:cs="Arial"/>
                <w:sz w:val="22"/>
                <w:szCs w:val="22"/>
              </w:rPr>
              <w:t>Not incorporated</w:t>
            </w:r>
          </w:p>
        </w:tc>
        <w:tc>
          <w:tcPr>
            <w:tcW w:w="1434" w:type="dxa"/>
            <w:shd w:val="clear" w:color="auto" w:fill="BFBFBF" w:themeFill="background1" w:themeFillShade="BF"/>
            <w:vAlign w:val="center"/>
          </w:tcPr>
          <w:p w14:paraId="5EA742D3" w14:textId="77777777" w:rsidR="00FC27F9" w:rsidRPr="007540D9" w:rsidRDefault="00FC27F9" w:rsidP="00E511B2">
            <w:pPr>
              <w:pStyle w:val="TextPara"/>
              <w:autoSpaceDE/>
              <w:autoSpaceDN/>
              <w:adjustRightInd/>
              <w:jc w:val="center"/>
              <w:rPr>
                <w:rFonts w:cs="Arial"/>
                <w:sz w:val="22"/>
                <w:szCs w:val="22"/>
                <w:highlight w:val="darkRed"/>
              </w:rPr>
            </w:pPr>
            <w:r w:rsidRPr="007540D9">
              <w:rPr>
                <w:rFonts w:cs="Arial"/>
                <w:sz w:val="22"/>
                <w:szCs w:val="22"/>
              </w:rPr>
              <w:t>100%</w:t>
            </w:r>
          </w:p>
        </w:tc>
        <w:tc>
          <w:tcPr>
            <w:tcW w:w="1435" w:type="dxa"/>
            <w:shd w:val="clear" w:color="auto" w:fill="auto"/>
            <w:vAlign w:val="center"/>
          </w:tcPr>
          <w:p w14:paraId="5EA742D4" w14:textId="77777777" w:rsidR="00FC27F9" w:rsidRPr="007540D9" w:rsidRDefault="00FC27F9" w:rsidP="00A45BD8">
            <w:pPr>
              <w:pStyle w:val="TextPara"/>
              <w:autoSpaceDE/>
              <w:autoSpaceDN/>
              <w:adjustRightInd/>
              <w:jc w:val="center"/>
              <w:rPr>
                <w:rFonts w:cs="Arial"/>
                <w:sz w:val="22"/>
                <w:szCs w:val="22"/>
                <w:highlight w:val="darkRed"/>
              </w:rPr>
            </w:pPr>
            <w:r w:rsidRPr="007540D9">
              <w:rPr>
                <w:rFonts w:cs="Arial"/>
                <w:sz w:val="22"/>
                <w:szCs w:val="22"/>
              </w:rPr>
              <w:t>100%</w:t>
            </w:r>
          </w:p>
        </w:tc>
      </w:tr>
      <w:tr w:rsidR="00FC27F9" w:rsidRPr="007540D9" w14:paraId="5EA742DA" w14:textId="77777777" w:rsidTr="00B20FD4">
        <w:trPr>
          <w:trHeight w:val="269"/>
        </w:trPr>
        <w:tc>
          <w:tcPr>
            <w:tcW w:w="4124" w:type="dxa"/>
            <w:shd w:val="clear" w:color="auto" w:fill="auto"/>
            <w:vAlign w:val="center"/>
          </w:tcPr>
          <w:p w14:paraId="5EA742D6" w14:textId="77777777" w:rsidR="00FC27F9" w:rsidRPr="007540D9" w:rsidRDefault="00FC27F9" w:rsidP="00E511B2">
            <w:pPr>
              <w:pStyle w:val="TextPara"/>
              <w:autoSpaceDE/>
              <w:autoSpaceDN/>
              <w:adjustRightInd/>
              <w:rPr>
                <w:rFonts w:cs="Arial"/>
                <w:sz w:val="22"/>
                <w:szCs w:val="22"/>
              </w:rPr>
            </w:pPr>
            <w:r w:rsidRPr="00A171A7">
              <w:rPr>
                <w:rFonts w:cs="Arial"/>
                <w:sz w:val="22"/>
                <w:szCs w:val="22"/>
              </w:rPr>
              <w:t>RVIB Foundation (Charitable Trust)</w:t>
            </w:r>
          </w:p>
        </w:tc>
        <w:tc>
          <w:tcPr>
            <w:tcW w:w="2228" w:type="dxa"/>
            <w:shd w:val="clear" w:color="auto" w:fill="auto"/>
            <w:vAlign w:val="center"/>
          </w:tcPr>
          <w:p w14:paraId="5EA742D7" w14:textId="77777777" w:rsidR="00FC27F9" w:rsidRPr="007540D9" w:rsidRDefault="00FC27F9" w:rsidP="00E511B2">
            <w:pPr>
              <w:pStyle w:val="TextPara"/>
              <w:autoSpaceDE/>
              <w:autoSpaceDN/>
              <w:adjustRightInd/>
              <w:jc w:val="center"/>
              <w:rPr>
                <w:rFonts w:cs="Arial"/>
                <w:sz w:val="22"/>
                <w:szCs w:val="22"/>
              </w:rPr>
            </w:pPr>
            <w:r w:rsidRPr="007540D9">
              <w:rPr>
                <w:rFonts w:cs="Arial"/>
                <w:sz w:val="22"/>
                <w:szCs w:val="22"/>
              </w:rPr>
              <w:t>Not incorporated</w:t>
            </w:r>
          </w:p>
        </w:tc>
        <w:tc>
          <w:tcPr>
            <w:tcW w:w="1434" w:type="dxa"/>
            <w:shd w:val="clear" w:color="auto" w:fill="BFBFBF" w:themeFill="background1" w:themeFillShade="BF"/>
            <w:vAlign w:val="center"/>
          </w:tcPr>
          <w:p w14:paraId="5EA742D8" w14:textId="77777777" w:rsidR="00FC27F9" w:rsidRPr="007540D9" w:rsidRDefault="00FC27F9" w:rsidP="00E511B2">
            <w:pPr>
              <w:pStyle w:val="TextPara"/>
              <w:autoSpaceDE/>
              <w:autoSpaceDN/>
              <w:adjustRightInd/>
              <w:jc w:val="center"/>
              <w:rPr>
                <w:rFonts w:cs="Arial"/>
                <w:sz w:val="22"/>
                <w:szCs w:val="22"/>
              </w:rPr>
            </w:pPr>
            <w:r w:rsidRPr="007540D9">
              <w:rPr>
                <w:rFonts w:cs="Arial"/>
                <w:sz w:val="22"/>
                <w:szCs w:val="22"/>
              </w:rPr>
              <w:t>100%</w:t>
            </w:r>
          </w:p>
        </w:tc>
        <w:tc>
          <w:tcPr>
            <w:tcW w:w="1435" w:type="dxa"/>
            <w:shd w:val="clear" w:color="auto" w:fill="auto"/>
            <w:vAlign w:val="center"/>
          </w:tcPr>
          <w:p w14:paraId="5EA742D9" w14:textId="77777777" w:rsidR="00FC27F9" w:rsidRPr="007540D9" w:rsidRDefault="00FC27F9" w:rsidP="00A45BD8">
            <w:pPr>
              <w:pStyle w:val="TextPara"/>
              <w:autoSpaceDE/>
              <w:autoSpaceDN/>
              <w:adjustRightInd/>
              <w:jc w:val="center"/>
              <w:rPr>
                <w:rFonts w:cs="Arial"/>
                <w:sz w:val="22"/>
                <w:szCs w:val="22"/>
              </w:rPr>
            </w:pPr>
            <w:r w:rsidRPr="007540D9">
              <w:rPr>
                <w:rFonts w:cs="Arial"/>
                <w:sz w:val="22"/>
                <w:szCs w:val="22"/>
              </w:rPr>
              <w:t>100%</w:t>
            </w:r>
          </w:p>
        </w:tc>
      </w:tr>
      <w:tr w:rsidR="00941E72" w:rsidRPr="007540D9" w14:paraId="78FC598B" w14:textId="77777777" w:rsidTr="00B20FD4">
        <w:trPr>
          <w:trHeight w:val="269"/>
        </w:trPr>
        <w:tc>
          <w:tcPr>
            <w:tcW w:w="4124" w:type="dxa"/>
            <w:shd w:val="clear" w:color="auto" w:fill="auto"/>
            <w:vAlign w:val="center"/>
          </w:tcPr>
          <w:p w14:paraId="3733E0C4" w14:textId="2D659AA7" w:rsidR="00941E72" w:rsidRPr="00A171A7" w:rsidRDefault="001141C0" w:rsidP="00941E72">
            <w:pPr>
              <w:pStyle w:val="TextPara"/>
              <w:autoSpaceDE/>
              <w:autoSpaceDN/>
              <w:adjustRightInd/>
              <w:rPr>
                <w:rFonts w:cs="Arial"/>
                <w:sz w:val="22"/>
                <w:szCs w:val="22"/>
              </w:rPr>
            </w:pPr>
            <w:r>
              <w:rPr>
                <w:rFonts w:cs="Arial"/>
                <w:sz w:val="22"/>
                <w:szCs w:val="22"/>
              </w:rPr>
              <w:t>Seeing Eye Dogs Australia Pty L</w:t>
            </w:r>
            <w:r w:rsidR="006F4829">
              <w:rPr>
                <w:rFonts w:cs="Arial"/>
                <w:sz w:val="22"/>
                <w:szCs w:val="22"/>
              </w:rPr>
              <w:t>imited</w:t>
            </w:r>
          </w:p>
        </w:tc>
        <w:tc>
          <w:tcPr>
            <w:tcW w:w="2228" w:type="dxa"/>
            <w:shd w:val="clear" w:color="auto" w:fill="auto"/>
            <w:vAlign w:val="center"/>
          </w:tcPr>
          <w:p w14:paraId="5C4285BF" w14:textId="4E046391" w:rsidR="00941E72" w:rsidRPr="007540D9" w:rsidRDefault="00941E72" w:rsidP="00E511B2">
            <w:pPr>
              <w:pStyle w:val="TextPara"/>
              <w:autoSpaceDE/>
              <w:autoSpaceDN/>
              <w:adjustRightInd/>
              <w:jc w:val="center"/>
              <w:rPr>
                <w:rFonts w:cs="Arial"/>
                <w:sz w:val="22"/>
                <w:szCs w:val="22"/>
              </w:rPr>
            </w:pPr>
            <w:r>
              <w:rPr>
                <w:rFonts w:cs="Arial"/>
                <w:sz w:val="22"/>
                <w:szCs w:val="22"/>
              </w:rPr>
              <w:t>Australia</w:t>
            </w:r>
          </w:p>
        </w:tc>
        <w:tc>
          <w:tcPr>
            <w:tcW w:w="1434" w:type="dxa"/>
            <w:shd w:val="clear" w:color="auto" w:fill="BFBFBF" w:themeFill="background1" w:themeFillShade="BF"/>
            <w:vAlign w:val="center"/>
          </w:tcPr>
          <w:p w14:paraId="7F11DE01" w14:textId="1DD9F7CE" w:rsidR="00941E72" w:rsidRPr="007540D9" w:rsidRDefault="00941E72" w:rsidP="00E511B2">
            <w:pPr>
              <w:pStyle w:val="TextPara"/>
              <w:autoSpaceDE/>
              <w:autoSpaceDN/>
              <w:adjustRightInd/>
              <w:jc w:val="center"/>
              <w:rPr>
                <w:rFonts w:cs="Arial"/>
                <w:sz w:val="22"/>
                <w:szCs w:val="22"/>
              </w:rPr>
            </w:pPr>
            <w:r>
              <w:rPr>
                <w:rFonts w:cs="Arial"/>
                <w:sz w:val="22"/>
                <w:szCs w:val="22"/>
              </w:rPr>
              <w:t>100%</w:t>
            </w:r>
          </w:p>
        </w:tc>
        <w:tc>
          <w:tcPr>
            <w:tcW w:w="1435" w:type="dxa"/>
            <w:shd w:val="clear" w:color="auto" w:fill="auto"/>
            <w:vAlign w:val="center"/>
          </w:tcPr>
          <w:p w14:paraId="6B7EC299" w14:textId="15271E07" w:rsidR="00941E72" w:rsidRPr="007540D9" w:rsidRDefault="00B20FD4" w:rsidP="00A45BD8">
            <w:pPr>
              <w:pStyle w:val="TextPara"/>
              <w:autoSpaceDE/>
              <w:autoSpaceDN/>
              <w:adjustRightInd/>
              <w:jc w:val="center"/>
              <w:rPr>
                <w:rFonts w:cs="Arial"/>
                <w:sz w:val="22"/>
                <w:szCs w:val="22"/>
              </w:rPr>
            </w:pPr>
            <w:r>
              <w:rPr>
                <w:rFonts w:cs="Arial"/>
                <w:sz w:val="22"/>
                <w:szCs w:val="22"/>
              </w:rPr>
              <w:t>0</w:t>
            </w:r>
          </w:p>
        </w:tc>
      </w:tr>
    </w:tbl>
    <w:p w14:paraId="5EA742DB" w14:textId="77777777" w:rsidR="00BA4D71" w:rsidRDefault="00BA4D71" w:rsidP="00183296">
      <w:pPr>
        <w:pStyle w:val="TextPara"/>
        <w:autoSpaceDE/>
        <w:autoSpaceDN/>
        <w:adjustRightInd/>
        <w:rPr>
          <w:rFonts w:ascii="Times New Roman" w:hAnsi="Times New Roman"/>
          <w:lang w:eastAsia="en-AU"/>
        </w:rPr>
      </w:pPr>
    </w:p>
    <w:p w14:paraId="6BAC089C" w14:textId="6E018E89" w:rsidR="00A9569E" w:rsidRDefault="00A9569E" w:rsidP="00BF287B">
      <w:pPr>
        <w:pStyle w:val="Heading1"/>
        <w:divId w:val="572543552"/>
      </w:pPr>
      <w:bookmarkStart w:id="359" w:name="_Toc430613786"/>
      <w:r w:rsidRPr="00A9569E">
        <w:t xml:space="preserve">Note 27: </w:t>
      </w:r>
      <w:r w:rsidRPr="00A9569E">
        <w:rPr>
          <w:lang w:eastAsia="en-AU"/>
        </w:rPr>
        <w:t>Parent entity disclosures</w:t>
      </w:r>
      <w:bookmarkEnd w:id="359"/>
      <w:r w:rsidRPr="00A9569E">
        <w:t xml:space="preserve"> </w:t>
      </w:r>
    </w:p>
    <w:p w14:paraId="7819E5C5" w14:textId="77777777" w:rsidR="00B20FD4" w:rsidRPr="00A45BD8" w:rsidRDefault="00B20FD4" w:rsidP="00B20FD4">
      <w:pPr>
        <w:divId w:val="572543552"/>
        <w:rPr>
          <w:rFonts w:cs="Arial"/>
          <w:color w:val="000000"/>
          <w:sz w:val="22"/>
          <w:szCs w:val="22"/>
          <w:lang w:eastAsia="en-AU"/>
        </w:rPr>
      </w:pPr>
      <w:r w:rsidRPr="00A45BD8">
        <w:rPr>
          <w:rFonts w:cs="Arial"/>
          <w:color w:val="000000"/>
          <w:sz w:val="22"/>
          <w:szCs w:val="22"/>
          <w:lang w:eastAsia="en-AU"/>
        </w:rPr>
        <w:t>The accounting policies of the parent entity, which have been applied in determining the financial information below, are the same as those applied in the consolidated financial statements.  Refer to note 3 for a summary of the significant accounting policies relating to the Group.</w:t>
      </w:r>
    </w:p>
    <w:p w14:paraId="4CC60997" w14:textId="77777777" w:rsidR="00A9569E" w:rsidRDefault="00A9569E" w:rsidP="00A9569E">
      <w:pPr>
        <w:divId w:val="572543552"/>
      </w:pPr>
    </w:p>
    <w:p w14:paraId="38894192" w14:textId="77777777" w:rsidR="00B20FD4" w:rsidRPr="00A9569E" w:rsidRDefault="00B20FD4" w:rsidP="00A9569E">
      <w:pPr>
        <w:divId w:val="572543552"/>
      </w:pPr>
    </w:p>
    <w:tbl>
      <w:tblPr>
        <w:tblW w:w="9175" w:type="dxa"/>
        <w:tblInd w:w="108" w:type="dxa"/>
        <w:tblLook w:val="04A0" w:firstRow="1" w:lastRow="0" w:firstColumn="1" w:lastColumn="0" w:noHBand="0" w:noVBand="1"/>
      </w:tblPr>
      <w:tblGrid>
        <w:gridCol w:w="5947"/>
        <w:gridCol w:w="1614"/>
        <w:gridCol w:w="1614"/>
      </w:tblGrid>
      <w:tr w:rsidR="00CC6DF7" w:rsidRPr="00A45BD8" w14:paraId="5EA742F2" w14:textId="77777777" w:rsidTr="00CC6DF7">
        <w:trPr>
          <w:divId w:val="572543552"/>
          <w:trHeight w:val="378"/>
          <w:tblHeader/>
        </w:trPr>
        <w:tc>
          <w:tcPr>
            <w:tcW w:w="5947" w:type="dxa"/>
            <w:tcBorders>
              <w:top w:val="nil"/>
              <w:left w:val="nil"/>
              <w:bottom w:val="nil"/>
              <w:right w:val="nil"/>
            </w:tcBorders>
            <w:shd w:val="clear" w:color="auto" w:fill="auto"/>
            <w:vAlign w:val="center"/>
            <w:hideMark/>
          </w:tcPr>
          <w:p w14:paraId="5EA742ED" w14:textId="77777777" w:rsidR="00CC6DF7" w:rsidRPr="00A45BD8" w:rsidRDefault="00CC6DF7" w:rsidP="00A45BD8">
            <w:pPr>
              <w:rPr>
                <w:rFonts w:cs="Arial"/>
                <w:b/>
                <w:bCs/>
                <w:color w:val="000000"/>
                <w:sz w:val="22"/>
                <w:szCs w:val="22"/>
                <w:lang w:eastAsia="en-AU"/>
              </w:rPr>
            </w:pPr>
            <w:bookmarkStart w:id="360" w:name="Table_62"/>
            <w:bookmarkEnd w:id="360"/>
            <w:r w:rsidRPr="00A45BD8">
              <w:rPr>
                <w:rFonts w:cs="Arial"/>
                <w:b/>
                <w:bCs/>
                <w:color w:val="000000"/>
                <w:sz w:val="22"/>
                <w:szCs w:val="22"/>
                <w:lang w:eastAsia="en-AU"/>
              </w:rPr>
              <w:t xml:space="preserve">Surplus </w:t>
            </w:r>
            <w:r>
              <w:rPr>
                <w:rFonts w:cs="Arial"/>
                <w:b/>
                <w:bCs/>
                <w:color w:val="000000"/>
                <w:sz w:val="22"/>
                <w:szCs w:val="22"/>
                <w:lang w:eastAsia="en-AU"/>
              </w:rPr>
              <w:t xml:space="preserve">/ (deficit) </w:t>
            </w:r>
            <w:r w:rsidRPr="00A45BD8">
              <w:rPr>
                <w:rFonts w:cs="Arial"/>
                <w:b/>
                <w:bCs/>
                <w:color w:val="000000"/>
                <w:sz w:val="22"/>
                <w:szCs w:val="22"/>
                <w:lang w:eastAsia="en-AU"/>
              </w:rPr>
              <w:t>of the parent entity</w:t>
            </w:r>
          </w:p>
        </w:tc>
        <w:tc>
          <w:tcPr>
            <w:tcW w:w="1614" w:type="dxa"/>
            <w:tcBorders>
              <w:top w:val="single" w:sz="8" w:space="0" w:color="auto"/>
              <w:left w:val="nil"/>
              <w:bottom w:val="nil"/>
              <w:right w:val="nil"/>
            </w:tcBorders>
            <w:shd w:val="clear" w:color="auto" w:fill="BFBFBF" w:themeFill="background1" w:themeFillShade="BF"/>
            <w:vAlign w:val="center"/>
            <w:hideMark/>
          </w:tcPr>
          <w:p w14:paraId="5EA742F0" w14:textId="77777777" w:rsidR="00CC6DF7" w:rsidRPr="00A45BD8" w:rsidRDefault="00CC6DF7" w:rsidP="0016002F">
            <w:pPr>
              <w:jc w:val="center"/>
              <w:rPr>
                <w:rFonts w:cs="Arial"/>
                <w:color w:val="000000"/>
                <w:sz w:val="22"/>
                <w:szCs w:val="22"/>
                <w:lang w:eastAsia="en-AU"/>
              </w:rPr>
            </w:pPr>
            <w:r w:rsidRPr="00A45BD8">
              <w:rPr>
                <w:rFonts w:cs="Arial"/>
                <w:color w:val="000000"/>
                <w:sz w:val="22"/>
                <w:szCs w:val="22"/>
                <w:lang w:eastAsia="en-AU"/>
              </w:rPr>
              <w:t>201</w:t>
            </w:r>
            <w:r>
              <w:rPr>
                <w:rFonts w:cs="Arial"/>
                <w:color w:val="000000"/>
                <w:sz w:val="22"/>
                <w:szCs w:val="22"/>
                <w:lang w:eastAsia="en-AU"/>
              </w:rPr>
              <w:t>5</w:t>
            </w:r>
          </w:p>
        </w:tc>
        <w:tc>
          <w:tcPr>
            <w:tcW w:w="1614" w:type="dxa"/>
            <w:tcBorders>
              <w:top w:val="single" w:sz="8" w:space="0" w:color="auto"/>
              <w:left w:val="nil"/>
              <w:bottom w:val="nil"/>
              <w:right w:val="nil"/>
            </w:tcBorders>
            <w:shd w:val="clear" w:color="auto" w:fill="auto"/>
            <w:vAlign w:val="center"/>
            <w:hideMark/>
          </w:tcPr>
          <w:p w14:paraId="5EA742F1" w14:textId="77777777" w:rsidR="00CC6DF7" w:rsidRPr="00A45BD8" w:rsidRDefault="00CC6DF7" w:rsidP="0016002F">
            <w:pPr>
              <w:jc w:val="center"/>
              <w:rPr>
                <w:rFonts w:cs="Arial"/>
                <w:color w:val="000000"/>
                <w:sz w:val="22"/>
                <w:szCs w:val="22"/>
                <w:lang w:eastAsia="en-AU"/>
              </w:rPr>
            </w:pPr>
            <w:r w:rsidRPr="00A45BD8">
              <w:rPr>
                <w:rFonts w:cs="Arial"/>
                <w:color w:val="000000"/>
                <w:sz w:val="22"/>
                <w:szCs w:val="22"/>
                <w:lang w:eastAsia="en-AU"/>
              </w:rPr>
              <w:t>201</w:t>
            </w:r>
            <w:r>
              <w:rPr>
                <w:rFonts w:cs="Arial"/>
                <w:color w:val="000000"/>
                <w:sz w:val="22"/>
                <w:szCs w:val="22"/>
                <w:lang w:eastAsia="en-AU"/>
              </w:rPr>
              <w:t>4</w:t>
            </w:r>
          </w:p>
        </w:tc>
      </w:tr>
      <w:tr w:rsidR="00CC6DF7" w:rsidRPr="00A45BD8" w14:paraId="5EA742FE" w14:textId="77777777" w:rsidTr="00CC6DF7">
        <w:trPr>
          <w:divId w:val="572543552"/>
          <w:trHeight w:val="346"/>
        </w:trPr>
        <w:tc>
          <w:tcPr>
            <w:tcW w:w="5947" w:type="dxa"/>
            <w:tcBorders>
              <w:top w:val="nil"/>
              <w:left w:val="nil"/>
              <w:bottom w:val="nil"/>
              <w:right w:val="nil"/>
            </w:tcBorders>
            <w:shd w:val="clear" w:color="auto" w:fill="auto"/>
            <w:vAlign w:val="center"/>
          </w:tcPr>
          <w:p w14:paraId="5EA742F9" w14:textId="77777777" w:rsidR="00CC6DF7" w:rsidRPr="00A45BD8" w:rsidRDefault="00CC6DF7" w:rsidP="0018235C">
            <w:pPr>
              <w:rPr>
                <w:rFonts w:cs="Arial"/>
                <w:color w:val="000000"/>
                <w:sz w:val="22"/>
                <w:szCs w:val="22"/>
                <w:lang w:eastAsia="en-AU"/>
              </w:rPr>
            </w:pPr>
            <w:r>
              <w:rPr>
                <w:rFonts w:cs="Arial"/>
                <w:color w:val="000000"/>
                <w:sz w:val="22"/>
                <w:szCs w:val="22"/>
                <w:lang w:eastAsia="en-AU"/>
              </w:rPr>
              <w:t>Surplus / (d</w:t>
            </w:r>
            <w:r w:rsidRPr="00A45BD8">
              <w:rPr>
                <w:rFonts w:cs="Arial"/>
                <w:color w:val="000000"/>
                <w:sz w:val="22"/>
                <w:szCs w:val="22"/>
                <w:lang w:eastAsia="en-AU"/>
              </w:rPr>
              <w:t>eficit</w:t>
            </w:r>
            <w:r>
              <w:rPr>
                <w:rFonts w:cs="Arial"/>
                <w:color w:val="000000"/>
                <w:sz w:val="22"/>
                <w:szCs w:val="22"/>
                <w:lang w:eastAsia="en-AU"/>
              </w:rPr>
              <w:t>)</w:t>
            </w:r>
            <w:r w:rsidRPr="00A45BD8">
              <w:rPr>
                <w:rFonts w:cs="Arial"/>
                <w:color w:val="000000"/>
                <w:sz w:val="22"/>
                <w:szCs w:val="22"/>
                <w:lang w:eastAsia="en-AU"/>
              </w:rPr>
              <w:t xml:space="preserve"> for the year</w:t>
            </w:r>
          </w:p>
        </w:tc>
        <w:tc>
          <w:tcPr>
            <w:tcW w:w="1614" w:type="dxa"/>
            <w:tcBorders>
              <w:top w:val="single" w:sz="8" w:space="0" w:color="auto"/>
              <w:left w:val="nil"/>
              <w:right w:val="nil"/>
            </w:tcBorders>
            <w:shd w:val="clear" w:color="auto" w:fill="BFBFBF" w:themeFill="background1" w:themeFillShade="BF"/>
            <w:vAlign w:val="center"/>
          </w:tcPr>
          <w:p w14:paraId="5EA742FC" w14:textId="77777777" w:rsidR="00CC6DF7" w:rsidRPr="00A45BD8" w:rsidRDefault="00CC6DF7" w:rsidP="00902155">
            <w:pPr>
              <w:jc w:val="right"/>
              <w:rPr>
                <w:rFonts w:cs="Arial"/>
                <w:color w:val="000000"/>
                <w:sz w:val="22"/>
                <w:szCs w:val="22"/>
                <w:lang w:eastAsia="en-AU"/>
              </w:rPr>
            </w:pPr>
            <w:r>
              <w:rPr>
                <w:rFonts w:cs="Arial"/>
                <w:color w:val="000000"/>
                <w:sz w:val="22"/>
                <w:szCs w:val="22"/>
                <w:lang w:eastAsia="en-AU"/>
              </w:rPr>
              <w:t>868</w:t>
            </w:r>
          </w:p>
        </w:tc>
        <w:tc>
          <w:tcPr>
            <w:tcW w:w="1614" w:type="dxa"/>
            <w:tcBorders>
              <w:top w:val="single" w:sz="8" w:space="0" w:color="auto"/>
              <w:left w:val="nil"/>
              <w:right w:val="nil"/>
            </w:tcBorders>
            <w:shd w:val="clear" w:color="auto" w:fill="auto"/>
            <w:vAlign w:val="center"/>
          </w:tcPr>
          <w:p w14:paraId="5EA742FD" w14:textId="77777777" w:rsidR="00CC6DF7" w:rsidRPr="00A45BD8" w:rsidRDefault="00CC6DF7" w:rsidP="00A45BD8">
            <w:pPr>
              <w:jc w:val="right"/>
              <w:rPr>
                <w:rFonts w:cs="Arial"/>
                <w:color w:val="000000"/>
                <w:sz w:val="22"/>
                <w:szCs w:val="22"/>
                <w:lang w:eastAsia="en-AU"/>
              </w:rPr>
            </w:pPr>
            <w:r>
              <w:rPr>
                <w:rFonts w:cs="Arial"/>
                <w:color w:val="000000"/>
                <w:sz w:val="22"/>
                <w:szCs w:val="22"/>
                <w:lang w:eastAsia="en-AU"/>
              </w:rPr>
              <w:t>(440)</w:t>
            </w:r>
          </w:p>
        </w:tc>
      </w:tr>
      <w:tr w:rsidR="00CC6DF7" w:rsidRPr="00A45BD8" w14:paraId="5EA74304" w14:textId="77777777" w:rsidTr="00CC6DF7">
        <w:trPr>
          <w:divId w:val="572543552"/>
          <w:trHeight w:val="346"/>
        </w:trPr>
        <w:tc>
          <w:tcPr>
            <w:tcW w:w="5947" w:type="dxa"/>
            <w:vMerge w:val="restart"/>
            <w:tcBorders>
              <w:top w:val="nil"/>
              <w:left w:val="nil"/>
              <w:bottom w:val="nil"/>
              <w:right w:val="nil"/>
            </w:tcBorders>
            <w:shd w:val="clear" w:color="auto" w:fill="auto"/>
            <w:vAlign w:val="center"/>
            <w:hideMark/>
          </w:tcPr>
          <w:p w14:paraId="5EA742FF" w14:textId="77777777" w:rsidR="00CC6DF7" w:rsidRPr="00A45BD8" w:rsidRDefault="00CC6DF7" w:rsidP="0018235C">
            <w:pPr>
              <w:rPr>
                <w:rFonts w:cs="Arial"/>
                <w:color w:val="000000"/>
                <w:sz w:val="22"/>
                <w:szCs w:val="22"/>
                <w:lang w:eastAsia="en-AU"/>
              </w:rPr>
            </w:pPr>
            <w:r w:rsidRPr="00A45BD8">
              <w:rPr>
                <w:rFonts w:cs="Arial"/>
                <w:color w:val="000000"/>
                <w:sz w:val="22"/>
                <w:szCs w:val="22"/>
                <w:lang w:eastAsia="en-AU"/>
              </w:rPr>
              <w:t xml:space="preserve">Total comprehensive </w:t>
            </w:r>
            <w:r>
              <w:rPr>
                <w:rFonts w:cs="Arial"/>
                <w:color w:val="000000"/>
                <w:sz w:val="22"/>
                <w:szCs w:val="22"/>
                <w:lang w:eastAsia="en-AU"/>
              </w:rPr>
              <w:t xml:space="preserve">surplus </w:t>
            </w:r>
            <w:r w:rsidRPr="00A45BD8">
              <w:rPr>
                <w:rFonts w:cs="Arial"/>
                <w:color w:val="000000"/>
                <w:sz w:val="22"/>
                <w:szCs w:val="22"/>
                <w:lang w:eastAsia="en-AU"/>
              </w:rPr>
              <w:t>for the year</w:t>
            </w:r>
          </w:p>
        </w:tc>
        <w:tc>
          <w:tcPr>
            <w:tcW w:w="1614" w:type="dxa"/>
            <w:vMerge w:val="restart"/>
            <w:tcBorders>
              <w:left w:val="nil"/>
              <w:bottom w:val="nil"/>
              <w:right w:val="nil"/>
            </w:tcBorders>
            <w:shd w:val="clear" w:color="auto" w:fill="BFBFBF" w:themeFill="background1" w:themeFillShade="BF"/>
            <w:vAlign w:val="center"/>
          </w:tcPr>
          <w:p w14:paraId="5EA74302" w14:textId="77777777" w:rsidR="00CC6DF7" w:rsidRPr="00A45BD8" w:rsidRDefault="00CC6DF7" w:rsidP="00902155">
            <w:pPr>
              <w:jc w:val="right"/>
              <w:rPr>
                <w:rFonts w:cs="Arial"/>
                <w:color w:val="000000"/>
                <w:sz w:val="22"/>
                <w:szCs w:val="22"/>
                <w:lang w:eastAsia="en-AU"/>
              </w:rPr>
            </w:pPr>
            <w:r>
              <w:rPr>
                <w:rFonts w:cs="Arial"/>
                <w:color w:val="000000"/>
                <w:sz w:val="22"/>
                <w:szCs w:val="22"/>
                <w:lang w:eastAsia="en-AU"/>
              </w:rPr>
              <w:t>9,903</w:t>
            </w:r>
          </w:p>
        </w:tc>
        <w:tc>
          <w:tcPr>
            <w:tcW w:w="1614" w:type="dxa"/>
            <w:vMerge w:val="restart"/>
            <w:tcBorders>
              <w:left w:val="nil"/>
              <w:bottom w:val="nil"/>
              <w:right w:val="nil"/>
            </w:tcBorders>
            <w:shd w:val="clear" w:color="auto" w:fill="auto"/>
            <w:vAlign w:val="center"/>
            <w:hideMark/>
          </w:tcPr>
          <w:p w14:paraId="5EA74303" w14:textId="77777777" w:rsidR="00CC6DF7" w:rsidRPr="00A45BD8" w:rsidRDefault="00CC6DF7" w:rsidP="00A45BD8">
            <w:pPr>
              <w:jc w:val="right"/>
              <w:rPr>
                <w:rFonts w:cs="Arial"/>
                <w:color w:val="000000"/>
                <w:sz w:val="22"/>
                <w:szCs w:val="22"/>
                <w:lang w:eastAsia="en-AU"/>
              </w:rPr>
            </w:pPr>
            <w:r w:rsidRPr="00A45BD8">
              <w:rPr>
                <w:rFonts w:cs="Arial"/>
                <w:color w:val="000000"/>
                <w:sz w:val="22"/>
                <w:szCs w:val="22"/>
                <w:lang w:eastAsia="en-AU"/>
              </w:rPr>
              <w:t>7,916</w:t>
            </w:r>
          </w:p>
        </w:tc>
      </w:tr>
      <w:tr w:rsidR="00CC6DF7" w:rsidRPr="00A45BD8" w14:paraId="5EA7430A" w14:textId="77777777" w:rsidTr="00CC6DF7">
        <w:trPr>
          <w:divId w:val="572543552"/>
          <w:trHeight w:val="346"/>
        </w:trPr>
        <w:tc>
          <w:tcPr>
            <w:tcW w:w="5947" w:type="dxa"/>
            <w:vMerge/>
            <w:tcBorders>
              <w:top w:val="nil"/>
              <w:left w:val="nil"/>
              <w:bottom w:val="nil"/>
              <w:right w:val="nil"/>
            </w:tcBorders>
            <w:vAlign w:val="center"/>
            <w:hideMark/>
          </w:tcPr>
          <w:p w14:paraId="5EA74305" w14:textId="77777777" w:rsidR="00CC6DF7" w:rsidRPr="00A45BD8" w:rsidRDefault="00CC6DF7" w:rsidP="00A45BD8">
            <w:pPr>
              <w:rPr>
                <w:rFonts w:cs="Arial"/>
                <w:color w:val="000000"/>
                <w:sz w:val="22"/>
                <w:szCs w:val="22"/>
                <w:lang w:eastAsia="en-AU"/>
              </w:rPr>
            </w:pPr>
          </w:p>
        </w:tc>
        <w:tc>
          <w:tcPr>
            <w:tcW w:w="1614" w:type="dxa"/>
            <w:vMerge/>
            <w:tcBorders>
              <w:top w:val="nil"/>
              <w:left w:val="nil"/>
              <w:bottom w:val="nil"/>
              <w:right w:val="nil"/>
            </w:tcBorders>
            <w:shd w:val="clear" w:color="auto" w:fill="BFBFBF" w:themeFill="background1" w:themeFillShade="BF"/>
            <w:vAlign w:val="center"/>
          </w:tcPr>
          <w:p w14:paraId="5EA74308" w14:textId="77777777" w:rsidR="00CC6DF7" w:rsidRPr="00A45BD8" w:rsidRDefault="00CC6DF7" w:rsidP="00A45BD8">
            <w:pPr>
              <w:rPr>
                <w:rFonts w:cs="Arial"/>
                <w:color w:val="000000"/>
                <w:sz w:val="22"/>
                <w:szCs w:val="22"/>
                <w:lang w:eastAsia="en-AU"/>
              </w:rPr>
            </w:pPr>
          </w:p>
        </w:tc>
        <w:tc>
          <w:tcPr>
            <w:tcW w:w="1614" w:type="dxa"/>
            <w:vMerge/>
            <w:tcBorders>
              <w:top w:val="nil"/>
              <w:left w:val="nil"/>
              <w:bottom w:val="nil"/>
              <w:right w:val="nil"/>
            </w:tcBorders>
            <w:vAlign w:val="center"/>
            <w:hideMark/>
          </w:tcPr>
          <w:p w14:paraId="5EA74309" w14:textId="77777777" w:rsidR="00CC6DF7" w:rsidRPr="00A45BD8" w:rsidRDefault="00CC6DF7" w:rsidP="00A45BD8">
            <w:pPr>
              <w:rPr>
                <w:rFonts w:cs="Arial"/>
                <w:color w:val="000000"/>
                <w:sz w:val="22"/>
                <w:szCs w:val="22"/>
                <w:lang w:eastAsia="en-AU"/>
              </w:rPr>
            </w:pPr>
          </w:p>
        </w:tc>
      </w:tr>
    </w:tbl>
    <w:p w14:paraId="719068FF" w14:textId="77777777" w:rsidR="00CC6DF7" w:rsidRDefault="00CC6DF7">
      <w:pPr>
        <w:divId w:val="572543552"/>
      </w:pPr>
    </w:p>
    <w:tbl>
      <w:tblPr>
        <w:tblW w:w="9175" w:type="dxa"/>
        <w:tblInd w:w="108" w:type="dxa"/>
        <w:tblLook w:val="04A0" w:firstRow="1" w:lastRow="0" w:firstColumn="1" w:lastColumn="0" w:noHBand="0" w:noVBand="1"/>
      </w:tblPr>
      <w:tblGrid>
        <w:gridCol w:w="5947"/>
        <w:gridCol w:w="1614"/>
        <w:gridCol w:w="1614"/>
      </w:tblGrid>
      <w:tr w:rsidR="00CC6DF7" w:rsidRPr="00A45BD8" w14:paraId="5EA74310" w14:textId="77777777" w:rsidTr="00CC6DF7">
        <w:trPr>
          <w:divId w:val="572543552"/>
          <w:trHeight w:val="346"/>
          <w:tblHeader/>
        </w:trPr>
        <w:tc>
          <w:tcPr>
            <w:tcW w:w="5947" w:type="dxa"/>
            <w:tcBorders>
              <w:top w:val="nil"/>
              <w:left w:val="nil"/>
              <w:bottom w:val="nil"/>
              <w:right w:val="nil"/>
            </w:tcBorders>
            <w:shd w:val="clear" w:color="auto" w:fill="auto"/>
            <w:vAlign w:val="center"/>
            <w:hideMark/>
          </w:tcPr>
          <w:p w14:paraId="5EA7430B" w14:textId="77777777" w:rsidR="00CC6DF7" w:rsidRPr="00A45BD8" w:rsidRDefault="00CC6DF7" w:rsidP="00A45BD8">
            <w:pPr>
              <w:rPr>
                <w:rFonts w:cs="Arial"/>
                <w:b/>
                <w:bCs/>
                <w:color w:val="000000"/>
                <w:sz w:val="22"/>
                <w:szCs w:val="22"/>
                <w:lang w:eastAsia="en-AU"/>
              </w:rPr>
            </w:pPr>
            <w:bookmarkStart w:id="361" w:name="Table_63"/>
            <w:bookmarkEnd w:id="361"/>
            <w:r w:rsidRPr="00A45BD8">
              <w:rPr>
                <w:rFonts w:cs="Arial"/>
                <w:b/>
                <w:bCs/>
                <w:color w:val="000000"/>
                <w:sz w:val="22"/>
                <w:szCs w:val="22"/>
                <w:lang w:eastAsia="en-AU"/>
              </w:rPr>
              <w:t xml:space="preserve">Financial position of the parent entity </w:t>
            </w:r>
          </w:p>
        </w:tc>
        <w:tc>
          <w:tcPr>
            <w:tcW w:w="1614" w:type="dxa"/>
            <w:tcBorders>
              <w:top w:val="nil"/>
              <w:left w:val="nil"/>
              <w:bottom w:val="nil"/>
              <w:right w:val="nil"/>
            </w:tcBorders>
            <w:shd w:val="clear" w:color="auto" w:fill="BFBFBF" w:themeFill="background1" w:themeFillShade="BF"/>
            <w:vAlign w:val="center"/>
          </w:tcPr>
          <w:p w14:paraId="5EA7430E" w14:textId="7A79CFDE" w:rsidR="00CC6DF7" w:rsidRPr="00A45BD8" w:rsidRDefault="00CC6DF7" w:rsidP="00A45BD8">
            <w:pPr>
              <w:jc w:val="right"/>
              <w:rPr>
                <w:rFonts w:cs="Arial"/>
                <w:color w:val="000000"/>
                <w:sz w:val="22"/>
                <w:szCs w:val="22"/>
                <w:lang w:eastAsia="en-AU"/>
              </w:rPr>
            </w:pPr>
            <w:r w:rsidRPr="00A45BD8">
              <w:rPr>
                <w:rFonts w:cs="Arial"/>
                <w:color w:val="000000"/>
                <w:sz w:val="22"/>
                <w:szCs w:val="22"/>
                <w:lang w:eastAsia="en-AU"/>
              </w:rPr>
              <w:t>201</w:t>
            </w:r>
            <w:r>
              <w:rPr>
                <w:rFonts w:cs="Arial"/>
                <w:color w:val="000000"/>
                <w:sz w:val="22"/>
                <w:szCs w:val="22"/>
                <w:lang w:eastAsia="en-AU"/>
              </w:rPr>
              <w:t>5</w:t>
            </w:r>
          </w:p>
        </w:tc>
        <w:tc>
          <w:tcPr>
            <w:tcW w:w="1614" w:type="dxa"/>
            <w:tcBorders>
              <w:top w:val="nil"/>
              <w:left w:val="nil"/>
              <w:bottom w:val="nil"/>
              <w:right w:val="nil"/>
            </w:tcBorders>
            <w:shd w:val="clear" w:color="auto" w:fill="auto"/>
            <w:vAlign w:val="center"/>
            <w:hideMark/>
          </w:tcPr>
          <w:p w14:paraId="5EA7430F" w14:textId="5EE17684" w:rsidR="00CC6DF7" w:rsidRPr="00A45BD8" w:rsidRDefault="00CC6DF7" w:rsidP="00A45BD8">
            <w:pPr>
              <w:jc w:val="right"/>
              <w:rPr>
                <w:rFonts w:cs="Arial"/>
                <w:color w:val="000000"/>
                <w:sz w:val="22"/>
                <w:szCs w:val="22"/>
                <w:lang w:eastAsia="en-AU"/>
              </w:rPr>
            </w:pPr>
            <w:r w:rsidRPr="00A45BD8">
              <w:rPr>
                <w:rFonts w:cs="Arial"/>
                <w:color w:val="000000"/>
                <w:sz w:val="22"/>
                <w:szCs w:val="22"/>
                <w:lang w:eastAsia="en-AU"/>
              </w:rPr>
              <w:t>201</w:t>
            </w:r>
            <w:r>
              <w:rPr>
                <w:rFonts w:cs="Arial"/>
                <w:color w:val="000000"/>
                <w:sz w:val="22"/>
                <w:szCs w:val="22"/>
                <w:lang w:eastAsia="en-AU"/>
              </w:rPr>
              <w:t>4</w:t>
            </w:r>
          </w:p>
        </w:tc>
      </w:tr>
      <w:tr w:rsidR="00CC6DF7" w:rsidRPr="00A45BD8" w14:paraId="5EA74316" w14:textId="77777777" w:rsidTr="00CC6DF7">
        <w:trPr>
          <w:divId w:val="572543552"/>
          <w:trHeight w:val="346"/>
        </w:trPr>
        <w:tc>
          <w:tcPr>
            <w:tcW w:w="5947" w:type="dxa"/>
            <w:tcBorders>
              <w:top w:val="nil"/>
              <w:left w:val="nil"/>
              <w:bottom w:val="nil"/>
              <w:right w:val="nil"/>
            </w:tcBorders>
            <w:shd w:val="clear" w:color="auto" w:fill="auto"/>
            <w:vAlign w:val="center"/>
            <w:hideMark/>
          </w:tcPr>
          <w:p w14:paraId="5EA74311" w14:textId="77777777" w:rsidR="00CC6DF7" w:rsidRPr="00A45BD8" w:rsidRDefault="00CC6DF7" w:rsidP="00A45BD8">
            <w:pPr>
              <w:rPr>
                <w:rFonts w:cs="Arial"/>
                <w:color w:val="000000"/>
                <w:sz w:val="22"/>
                <w:szCs w:val="22"/>
                <w:lang w:eastAsia="en-AU"/>
              </w:rPr>
            </w:pPr>
            <w:r w:rsidRPr="00A45BD8">
              <w:rPr>
                <w:rFonts w:cs="Arial"/>
                <w:color w:val="000000"/>
                <w:sz w:val="22"/>
                <w:szCs w:val="22"/>
                <w:lang w:eastAsia="en-AU"/>
              </w:rPr>
              <w:t>Current Assets</w:t>
            </w:r>
            <w:r>
              <w:rPr>
                <w:rFonts w:cs="Arial"/>
                <w:color w:val="000000"/>
                <w:sz w:val="22"/>
                <w:szCs w:val="22"/>
                <w:lang w:eastAsia="en-AU"/>
              </w:rPr>
              <w:t xml:space="preserve"> (</w:t>
            </w:r>
            <w:proofErr w:type="spellStart"/>
            <w:r>
              <w:rPr>
                <w:rFonts w:cs="Arial"/>
                <w:color w:val="000000"/>
                <w:sz w:val="22"/>
                <w:szCs w:val="22"/>
                <w:lang w:eastAsia="en-AU"/>
              </w:rPr>
              <w:t>i</w:t>
            </w:r>
            <w:proofErr w:type="spellEnd"/>
            <w:r>
              <w:rPr>
                <w:rFonts w:cs="Arial"/>
                <w:color w:val="000000"/>
                <w:sz w:val="22"/>
                <w:szCs w:val="22"/>
                <w:lang w:eastAsia="en-AU"/>
              </w:rPr>
              <w:t>)</w:t>
            </w:r>
          </w:p>
        </w:tc>
        <w:tc>
          <w:tcPr>
            <w:tcW w:w="1614" w:type="dxa"/>
            <w:tcBorders>
              <w:top w:val="nil"/>
              <w:left w:val="nil"/>
              <w:bottom w:val="nil"/>
              <w:right w:val="nil"/>
            </w:tcBorders>
            <w:shd w:val="clear" w:color="auto" w:fill="BFBFBF" w:themeFill="background1" w:themeFillShade="BF"/>
            <w:vAlign w:val="center"/>
          </w:tcPr>
          <w:p w14:paraId="5EA74314" w14:textId="6AF88C6B" w:rsidR="00CC6DF7" w:rsidRPr="00A45BD8" w:rsidRDefault="00CC6DF7">
            <w:pPr>
              <w:jc w:val="right"/>
              <w:rPr>
                <w:rFonts w:cs="Arial"/>
                <w:color w:val="000000"/>
                <w:sz w:val="22"/>
                <w:szCs w:val="22"/>
                <w:lang w:eastAsia="en-AU"/>
              </w:rPr>
            </w:pPr>
            <w:r>
              <w:rPr>
                <w:rFonts w:cs="Arial"/>
                <w:color w:val="000000"/>
                <w:sz w:val="22"/>
                <w:szCs w:val="22"/>
                <w:lang w:eastAsia="en-AU"/>
              </w:rPr>
              <w:t>107,285</w:t>
            </w:r>
          </w:p>
        </w:tc>
        <w:tc>
          <w:tcPr>
            <w:tcW w:w="1614" w:type="dxa"/>
            <w:tcBorders>
              <w:top w:val="nil"/>
              <w:left w:val="nil"/>
              <w:bottom w:val="nil"/>
              <w:right w:val="nil"/>
            </w:tcBorders>
            <w:shd w:val="clear" w:color="auto" w:fill="auto"/>
            <w:vAlign w:val="center"/>
            <w:hideMark/>
          </w:tcPr>
          <w:p w14:paraId="5EA74315" w14:textId="77777777" w:rsidR="00CC6DF7" w:rsidRPr="00A45BD8" w:rsidRDefault="00CC6DF7" w:rsidP="00A45BD8">
            <w:pPr>
              <w:jc w:val="right"/>
              <w:rPr>
                <w:rFonts w:cs="Arial"/>
                <w:color w:val="000000"/>
                <w:sz w:val="22"/>
                <w:szCs w:val="22"/>
                <w:lang w:eastAsia="en-AU"/>
              </w:rPr>
            </w:pPr>
            <w:r>
              <w:rPr>
                <w:rFonts w:cs="Arial"/>
                <w:color w:val="000000"/>
                <w:sz w:val="22"/>
                <w:szCs w:val="22"/>
                <w:lang w:eastAsia="en-AU"/>
              </w:rPr>
              <w:t>18,405</w:t>
            </w:r>
          </w:p>
        </w:tc>
      </w:tr>
      <w:tr w:rsidR="00CC6DF7" w:rsidRPr="00A45BD8" w14:paraId="5EA7431C" w14:textId="77777777" w:rsidTr="00CC6DF7">
        <w:trPr>
          <w:divId w:val="572543552"/>
          <w:trHeight w:val="346"/>
        </w:trPr>
        <w:tc>
          <w:tcPr>
            <w:tcW w:w="5947" w:type="dxa"/>
            <w:tcBorders>
              <w:top w:val="nil"/>
              <w:left w:val="nil"/>
              <w:bottom w:val="nil"/>
              <w:right w:val="nil"/>
            </w:tcBorders>
            <w:shd w:val="clear" w:color="auto" w:fill="auto"/>
            <w:vAlign w:val="center"/>
            <w:hideMark/>
          </w:tcPr>
          <w:p w14:paraId="5EA74317" w14:textId="77777777" w:rsidR="00CC6DF7" w:rsidRPr="00A45BD8" w:rsidRDefault="00CC6DF7" w:rsidP="00A45BD8">
            <w:pPr>
              <w:rPr>
                <w:rFonts w:cs="Arial"/>
                <w:color w:val="000000"/>
                <w:sz w:val="22"/>
                <w:szCs w:val="22"/>
                <w:lang w:eastAsia="en-AU"/>
              </w:rPr>
            </w:pPr>
            <w:r w:rsidRPr="00A45BD8">
              <w:rPr>
                <w:rFonts w:cs="Arial"/>
                <w:color w:val="000000"/>
                <w:sz w:val="22"/>
                <w:szCs w:val="22"/>
                <w:lang w:eastAsia="en-AU"/>
              </w:rPr>
              <w:t>Total Assets</w:t>
            </w:r>
            <w:r>
              <w:rPr>
                <w:rFonts w:cs="Arial"/>
                <w:color w:val="000000"/>
                <w:sz w:val="22"/>
                <w:szCs w:val="22"/>
                <w:lang w:eastAsia="en-AU"/>
              </w:rPr>
              <w:t xml:space="preserve"> (ii)</w:t>
            </w:r>
          </w:p>
        </w:tc>
        <w:tc>
          <w:tcPr>
            <w:tcW w:w="1614" w:type="dxa"/>
            <w:tcBorders>
              <w:top w:val="nil"/>
              <w:left w:val="nil"/>
              <w:bottom w:val="nil"/>
              <w:right w:val="nil"/>
            </w:tcBorders>
            <w:shd w:val="clear" w:color="auto" w:fill="BFBFBF" w:themeFill="background1" w:themeFillShade="BF"/>
            <w:vAlign w:val="center"/>
          </w:tcPr>
          <w:p w14:paraId="5EA7431A" w14:textId="622DAA7E" w:rsidR="00CC6DF7" w:rsidRPr="00A45BD8" w:rsidRDefault="00CC6DF7">
            <w:pPr>
              <w:jc w:val="right"/>
              <w:rPr>
                <w:rFonts w:cs="Arial"/>
                <w:color w:val="000000"/>
                <w:sz w:val="22"/>
                <w:szCs w:val="22"/>
                <w:lang w:eastAsia="en-AU"/>
              </w:rPr>
            </w:pPr>
            <w:r>
              <w:rPr>
                <w:rFonts w:cs="Arial"/>
                <w:color w:val="000000"/>
                <w:sz w:val="22"/>
                <w:szCs w:val="22"/>
                <w:lang w:eastAsia="en-AU"/>
              </w:rPr>
              <w:t>121,389</w:t>
            </w:r>
          </w:p>
        </w:tc>
        <w:tc>
          <w:tcPr>
            <w:tcW w:w="1614" w:type="dxa"/>
            <w:tcBorders>
              <w:top w:val="nil"/>
              <w:left w:val="nil"/>
              <w:bottom w:val="nil"/>
              <w:right w:val="nil"/>
            </w:tcBorders>
            <w:shd w:val="clear" w:color="auto" w:fill="auto"/>
            <w:vAlign w:val="center"/>
            <w:hideMark/>
          </w:tcPr>
          <w:p w14:paraId="5EA7431B" w14:textId="77777777" w:rsidR="00CC6DF7" w:rsidRPr="00A45BD8" w:rsidRDefault="00CC6DF7" w:rsidP="00A45BD8">
            <w:pPr>
              <w:jc w:val="right"/>
              <w:rPr>
                <w:rFonts w:cs="Arial"/>
                <w:color w:val="000000"/>
                <w:sz w:val="22"/>
                <w:szCs w:val="22"/>
                <w:lang w:eastAsia="en-AU"/>
              </w:rPr>
            </w:pPr>
            <w:r>
              <w:rPr>
                <w:rFonts w:cs="Arial"/>
                <w:color w:val="000000"/>
                <w:sz w:val="22"/>
                <w:szCs w:val="22"/>
                <w:lang w:eastAsia="en-AU"/>
              </w:rPr>
              <w:t>125,909</w:t>
            </w:r>
          </w:p>
        </w:tc>
      </w:tr>
      <w:tr w:rsidR="00CC6DF7" w:rsidRPr="00A45BD8" w14:paraId="5EA74322" w14:textId="77777777" w:rsidTr="00CC6DF7">
        <w:trPr>
          <w:divId w:val="572543552"/>
          <w:trHeight w:val="346"/>
        </w:trPr>
        <w:tc>
          <w:tcPr>
            <w:tcW w:w="5947" w:type="dxa"/>
            <w:tcBorders>
              <w:top w:val="nil"/>
              <w:left w:val="nil"/>
              <w:bottom w:val="nil"/>
              <w:right w:val="nil"/>
            </w:tcBorders>
            <w:shd w:val="clear" w:color="auto" w:fill="auto"/>
            <w:vAlign w:val="center"/>
            <w:hideMark/>
          </w:tcPr>
          <w:p w14:paraId="5EA7431D" w14:textId="77777777" w:rsidR="00CC6DF7" w:rsidRPr="00A45BD8" w:rsidRDefault="00CC6DF7" w:rsidP="00A45BD8">
            <w:pPr>
              <w:rPr>
                <w:rFonts w:cs="Arial"/>
                <w:color w:val="000000"/>
                <w:sz w:val="22"/>
                <w:szCs w:val="22"/>
                <w:lang w:eastAsia="en-AU"/>
              </w:rPr>
            </w:pPr>
            <w:r w:rsidRPr="00A45BD8">
              <w:rPr>
                <w:rFonts w:cs="Arial"/>
                <w:color w:val="000000"/>
                <w:sz w:val="22"/>
                <w:szCs w:val="22"/>
                <w:lang w:eastAsia="en-AU"/>
              </w:rPr>
              <w:t>Current Liabilities</w:t>
            </w:r>
          </w:p>
        </w:tc>
        <w:tc>
          <w:tcPr>
            <w:tcW w:w="1614" w:type="dxa"/>
            <w:tcBorders>
              <w:top w:val="nil"/>
              <w:left w:val="nil"/>
              <w:bottom w:val="nil"/>
              <w:right w:val="nil"/>
            </w:tcBorders>
            <w:shd w:val="clear" w:color="auto" w:fill="BFBFBF" w:themeFill="background1" w:themeFillShade="BF"/>
            <w:vAlign w:val="center"/>
          </w:tcPr>
          <w:p w14:paraId="5EA74320" w14:textId="0CF29DAF" w:rsidR="00CC6DF7" w:rsidRPr="00A45BD8" w:rsidRDefault="00CC6DF7">
            <w:pPr>
              <w:jc w:val="right"/>
              <w:rPr>
                <w:rFonts w:cs="Arial"/>
                <w:color w:val="000000"/>
                <w:sz w:val="22"/>
                <w:szCs w:val="22"/>
                <w:lang w:eastAsia="en-AU"/>
              </w:rPr>
            </w:pPr>
            <w:r>
              <w:rPr>
                <w:rFonts w:cs="Arial"/>
                <w:color w:val="000000"/>
                <w:sz w:val="22"/>
                <w:szCs w:val="22"/>
                <w:lang w:eastAsia="en-AU"/>
              </w:rPr>
              <w:t>(17,085)</w:t>
            </w:r>
          </w:p>
        </w:tc>
        <w:tc>
          <w:tcPr>
            <w:tcW w:w="1614" w:type="dxa"/>
            <w:tcBorders>
              <w:top w:val="nil"/>
              <w:left w:val="nil"/>
              <w:bottom w:val="nil"/>
              <w:right w:val="nil"/>
            </w:tcBorders>
            <w:shd w:val="clear" w:color="auto" w:fill="auto"/>
            <w:vAlign w:val="center"/>
            <w:hideMark/>
          </w:tcPr>
          <w:p w14:paraId="5EA74321" w14:textId="77777777" w:rsidR="00CC6DF7" w:rsidRPr="00A45BD8" w:rsidRDefault="00CC6DF7" w:rsidP="00A45BD8">
            <w:pPr>
              <w:jc w:val="right"/>
              <w:rPr>
                <w:rFonts w:cs="Arial"/>
                <w:color w:val="000000"/>
                <w:sz w:val="22"/>
                <w:szCs w:val="22"/>
                <w:lang w:eastAsia="en-AU"/>
              </w:rPr>
            </w:pPr>
            <w:r w:rsidRPr="00A45BD8">
              <w:rPr>
                <w:rFonts w:cs="Arial"/>
                <w:color w:val="000000"/>
                <w:sz w:val="22"/>
                <w:szCs w:val="22"/>
                <w:lang w:eastAsia="en-AU"/>
              </w:rPr>
              <w:t>(18,</w:t>
            </w:r>
            <w:r>
              <w:rPr>
                <w:rFonts w:cs="Arial"/>
                <w:color w:val="000000"/>
                <w:sz w:val="22"/>
                <w:szCs w:val="22"/>
                <w:lang w:eastAsia="en-AU"/>
              </w:rPr>
              <w:t>124)</w:t>
            </w:r>
          </w:p>
        </w:tc>
      </w:tr>
      <w:tr w:rsidR="00CC6DF7" w:rsidRPr="00A45BD8" w14:paraId="5EA74328" w14:textId="77777777" w:rsidTr="00CC6DF7">
        <w:trPr>
          <w:divId w:val="572543552"/>
          <w:trHeight w:val="346"/>
        </w:trPr>
        <w:tc>
          <w:tcPr>
            <w:tcW w:w="5947" w:type="dxa"/>
            <w:tcBorders>
              <w:top w:val="nil"/>
              <w:left w:val="nil"/>
              <w:bottom w:val="nil"/>
              <w:right w:val="nil"/>
            </w:tcBorders>
            <w:shd w:val="clear" w:color="auto" w:fill="auto"/>
            <w:vAlign w:val="center"/>
            <w:hideMark/>
          </w:tcPr>
          <w:p w14:paraId="5EA74323" w14:textId="77777777" w:rsidR="00CC6DF7" w:rsidRPr="00A45BD8" w:rsidRDefault="00CC6DF7" w:rsidP="00A45BD8">
            <w:pPr>
              <w:rPr>
                <w:rFonts w:cs="Arial"/>
                <w:color w:val="000000"/>
                <w:sz w:val="22"/>
                <w:szCs w:val="22"/>
                <w:lang w:eastAsia="en-AU"/>
              </w:rPr>
            </w:pPr>
            <w:r w:rsidRPr="00A45BD8">
              <w:rPr>
                <w:rFonts w:cs="Arial"/>
                <w:color w:val="000000"/>
                <w:sz w:val="22"/>
                <w:szCs w:val="22"/>
                <w:lang w:eastAsia="en-AU"/>
              </w:rPr>
              <w:t>Total Liabilities</w:t>
            </w:r>
          </w:p>
        </w:tc>
        <w:tc>
          <w:tcPr>
            <w:tcW w:w="1614" w:type="dxa"/>
            <w:tcBorders>
              <w:top w:val="nil"/>
              <w:left w:val="nil"/>
              <w:bottom w:val="nil"/>
              <w:right w:val="nil"/>
            </w:tcBorders>
            <w:shd w:val="clear" w:color="auto" w:fill="BFBFBF" w:themeFill="background1" w:themeFillShade="BF"/>
            <w:vAlign w:val="center"/>
          </w:tcPr>
          <w:p w14:paraId="5EA74326" w14:textId="71096E73" w:rsidR="00CC6DF7" w:rsidRPr="00A45BD8" w:rsidRDefault="00CC6DF7">
            <w:pPr>
              <w:jc w:val="right"/>
              <w:rPr>
                <w:rFonts w:cs="Arial"/>
                <w:color w:val="000000"/>
                <w:sz w:val="22"/>
                <w:szCs w:val="22"/>
                <w:lang w:eastAsia="en-AU"/>
              </w:rPr>
            </w:pPr>
            <w:r>
              <w:rPr>
                <w:rFonts w:cs="Arial"/>
                <w:color w:val="000000"/>
                <w:sz w:val="22"/>
                <w:szCs w:val="22"/>
                <w:lang w:eastAsia="en-AU"/>
              </w:rPr>
              <w:t>(14,494)</w:t>
            </w:r>
          </w:p>
        </w:tc>
        <w:tc>
          <w:tcPr>
            <w:tcW w:w="1614" w:type="dxa"/>
            <w:tcBorders>
              <w:top w:val="nil"/>
              <w:left w:val="nil"/>
              <w:bottom w:val="nil"/>
              <w:right w:val="nil"/>
            </w:tcBorders>
            <w:shd w:val="clear" w:color="auto" w:fill="auto"/>
            <w:vAlign w:val="center"/>
            <w:hideMark/>
          </w:tcPr>
          <w:p w14:paraId="5EA74327" w14:textId="77777777" w:rsidR="00CC6DF7" w:rsidRPr="00A45BD8" w:rsidRDefault="00CC6DF7" w:rsidP="00A45BD8">
            <w:pPr>
              <w:jc w:val="right"/>
              <w:rPr>
                <w:rFonts w:cs="Arial"/>
                <w:color w:val="000000"/>
                <w:sz w:val="22"/>
                <w:szCs w:val="22"/>
                <w:lang w:eastAsia="en-AU"/>
              </w:rPr>
            </w:pPr>
            <w:r>
              <w:rPr>
                <w:rFonts w:cs="Arial"/>
                <w:color w:val="000000"/>
                <w:sz w:val="22"/>
                <w:szCs w:val="22"/>
                <w:lang w:eastAsia="en-AU"/>
              </w:rPr>
              <w:t>(19</w:t>
            </w:r>
            <w:r w:rsidRPr="00A45BD8">
              <w:rPr>
                <w:rFonts w:cs="Arial"/>
                <w:color w:val="000000"/>
                <w:sz w:val="22"/>
                <w:szCs w:val="22"/>
                <w:lang w:eastAsia="en-AU"/>
              </w:rPr>
              <w:t>,</w:t>
            </w:r>
            <w:r>
              <w:rPr>
                <w:rFonts w:cs="Arial"/>
                <w:color w:val="000000"/>
                <w:sz w:val="22"/>
                <w:szCs w:val="22"/>
                <w:lang w:eastAsia="en-AU"/>
              </w:rPr>
              <w:t>526</w:t>
            </w:r>
            <w:r w:rsidRPr="00A45BD8">
              <w:rPr>
                <w:rFonts w:cs="Arial"/>
                <w:color w:val="000000"/>
                <w:sz w:val="22"/>
                <w:szCs w:val="22"/>
                <w:lang w:eastAsia="en-AU"/>
              </w:rPr>
              <w:t>)</w:t>
            </w:r>
          </w:p>
        </w:tc>
      </w:tr>
      <w:tr w:rsidR="00CC6DF7" w:rsidRPr="00A45BD8" w14:paraId="5EA7432E" w14:textId="77777777" w:rsidTr="00CC6DF7">
        <w:trPr>
          <w:divId w:val="572543552"/>
          <w:trHeight w:val="346"/>
        </w:trPr>
        <w:tc>
          <w:tcPr>
            <w:tcW w:w="5947" w:type="dxa"/>
            <w:tcBorders>
              <w:top w:val="nil"/>
              <w:left w:val="nil"/>
              <w:bottom w:val="nil"/>
              <w:right w:val="nil"/>
            </w:tcBorders>
            <w:shd w:val="clear" w:color="auto" w:fill="auto"/>
            <w:vAlign w:val="center"/>
            <w:hideMark/>
          </w:tcPr>
          <w:p w14:paraId="5EA74329" w14:textId="77777777" w:rsidR="00CC6DF7" w:rsidRPr="00A45BD8" w:rsidRDefault="00CC6DF7" w:rsidP="00A45BD8">
            <w:pPr>
              <w:rPr>
                <w:rFonts w:cs="Arial"/>
                <w:color w:val="000000"/>
                <w:sz w:val="22"/>
                <w:szCs w:val="22"/>
                <w:lang w:eastAsia="en-AU"/>
              </w:rPr>
            </w:pPr>
            <w:r w:rsidRPr="00A45BD8">
              <w:rPr>
                <w:rFonts w:cs="Arial"/>
                <w:color w:val="000000"/>
                <w:sz w:val="22"/>
                <w:szCs w:val="22"/>
                <w:lang w:eastAsia="en-AU"/>
              </w:rPr>
              <w:t>Net assets</w:t>
            </w:r>
          </w:p>
        </w:tc>
        <w:tc>
          <w:tcPr>
            <w:tcW w:w="1614" w:type="dxa"/>
            <w:tcBorders>
              <w:top w:val="single" w:sz="12" w:space="0" w:color="auto"/>
              <w:left w:val="nil"/>
              <w:bottom w:val="single" w:sz="12" w:space="0" w:color="auto"/>
              <w:right w:val="nil"/>
            </w:tcBorders>
            <w:shd w:val="clear" w:color="auto" w:fill="BFBFBF" w:themeFill="background1" w:themeFillShade="BF"/>
            <w:vAlign w:val="center"/>
          </w:tcPr>
          <w:p w14:paraId="5EA7432C" w14:textId="77777777" w:rsidR="00CC6DF7" w:rsidRPr="00A45BD8" w:rsidRDefault="00CC6DF7" w:rsidP="00902155">
            <w:pPr>
              <w:jc w:val="right"/>
              <w:rPr>
                <w:rFonts w:cs="Arial"/>
                <w:color w:val="000000"/>
                <w:sz w:val="22"/>
                <w:szCs w:val="22"/>
                <w:lang w:eastAsia="en-AU"/>
              </w:rPr>
            </w:pPr>
            <w:r>
              <w:rPr>
                <w:rFonts w:cs="Arial"/>
                <w:color w:val="000000"/>
                <w:sz w:val="22"/>
                <w:szCs w:val="22"/>
                <w:lang w:eastAsia="en-AU"/>
              </w:rPr>
              <w:t>106,895</w:t>
            </w:r>
          </w:p>
        </w:tc>
        <w:tc>
          <w:tcPr>
            <w:tcW w:w="1614" w:type="dxa"/>
            <w:tcBorders>
              <w:top w:val="single" w:sz="12" w:space="0" w:color="auto"/>
              <w:left w:val="nil"/>
              <w:bottom w:val="single" w:sz="12" w:space="0" w:color="auto"/>
              <w:right w:val="nil"/>
            </w:tcBorders>
            <w:shd w:val="clear" w:color="auto" w:fill="auto"/>
            <w:vAlign w:val="center"/>
            <w:hideMark/>
          </w:tcPr>
          <w:p w14:paraId="5EA7432D" w14:textId="77777777" w:rsidR="00CC6DF7" w:rsidRPr="00A45BD8" w:rsidRDefault="00CC6DF7" w:rsidP="00A45BD8">
            <w:pPr>
              <w:jc w:val="right"/>
              <w:rPr>
                <w:rFonts w:cs="Arial"/>
                <w:color w:val="000000"/>
                <w:sz w:val="22"/>
                <w:szCs w:val="22"/>
                <w:lang w:eastAsia="en-AU"/>
              </w:rPr>
            </w:pPr>
            <w:r w:rsidRPr="00A45BD8">
              <w:rPr>
                <w:rFonts w:cs="Arial"/>
                <w:color w:val="000000"/>
                <w:sz w:val="22"/>
                <w:szCs w:val="22"/>
                <w:lang w:eastAsia="en-AU"/>
              </w:rPr>
              <w:t>106,383</w:t>
            </w:r>
          </w:p>
        </w:tc>
      </w:tr>
    </w:tbl>
    <w:p w14:paraId="0A8C90F4" w14:textId="77777777" w:rsidR="00CC6DF7" w:rsidRDefault="00CC6DF7">
      <w:pPr>
        <w:divId w:val="572543552"/>
      </w:pPr>
    </w:p>
    <w:tbl>
      <w:tblPr>
        <w:tblW w:w="9175" w:type="dxa"/>
        <w:tblInd w:w="108" w:type="dxa"/>
        <w:tblLook w:val="04A0" w:firstRow="1" w:lastRow="0" w:firstColumn="1" w:lastColumn="0" w:noHBand="0" w:noVBand="1"/>
      </w:tblPr>
      <w:tblGrid>
        <w:gridCol w:w="5947"/>
        <w:gridCol w:w="1614"/>
        <w:gridCol w:w="1614"/>
      </w:tblGrid>
      <w:tr w:rsidR="00CC6DF7" w:rsidRPr="00A45BD8" w14:paraId="5EA74334" w14:textId="77777777" w:rsidTr="00CC6DF7">
        <w:trPr>
          <w:divId w:val="572543552"/>
          <w:trHeight w:val="534"/>
          <w:tblHeader/>
        </w:trPr>
        <w:tc>
          <w:tcPr>
            <w:tcW w:w="5947" w:type="dxa"/>
            <w:tcBorders>
              <w:top w:val="nil"/>
              <w:left w:val="nil"/>
              <w:bottom w:val="nil"/>
              <w:right w:val="nil"/>
            </w:tcBorders>
            <w:shd w:val="clear" w:color="auto" w:fill="auto"/>
            <w:vAlign w:val="center"/>
            <w:hideMark/>
          </w:tcPr>
          <w:p w14:paraId="5EA7432F" w14:textId="77777777" w:rsidR="00CC6DF7" w:rsidRPr="00A45BD8" w:rsidRDefault="00CC6DF7" w:rsidP="00A45BD8">
            <w:pPr>
              <w:rPr>
                <w:rFonts w:cs="Arial"/>
                <w:b/>
                <w:bCs/>
                <w:color w:val="000000"/>
                <w:sz w:val="22"/>
                <w:szCs w:val="22"/>
                <w:lang w:eastAsia="en-AU"/>
              </w:rPr>
            </w:pPr>
            <w:bookmarkStart w:id="362" w:name="Table_64"/>
            <w:bookmarkEnd w:id="362"/>
            <w:r w:rsidRPr="00A45BD8">
              <w:rPr>
                <w:rFonts w:cs="Arial"/>
                <w:b/>
                <w:bCs/>
                <w:color w:val="000000"/>
                <w:sz w:val="22"/>
                <w:szCs w:val="22"/>
                <w:lang w:eastAsia="en-AU"/>
              </w:rPr>
              <w:t>Total equity of the parent entity comprising of</w:t>
            </w:r>
          </w:p>
        </w:tc>
        <w:tc>
          <w:tcPr>
            <w:tcW w:w="1614" w:type="dxa"/>
            <w:tcBorders>
              <w:top w:val="nil"/>
              <w:left w:val="nil"/>
              <w:bottom w:val="nil"/>
              <w:right w:val="nil"/>
            </w:tcBorders>
            <w:shd w:val="clear" w:color="auto" w:fill="BFBFBF" w:themeFill="background1" w:themeFillShade="BF"/>
            <w:vAlign w:val="center"/>
          </w:tcPr>
          <w:p w14:paraId="5EA74332" w14:textId="79BB3183" w:rsidR="00CC6DF7" w:rsidRPr="00A45BD8" w:rsidRDefault="00CC6DF7" w:rsidP="00A45BD8">
            <w:pPr>
              <w:jc w:val="center"/>
              <w:rPr>
                <w:rFonts w:cs="Arial"/>
                <w:color w:val="000000"/>
                <w:sz w:val="22"/>
                <w:szCs w:val="22"/>
                <w:lang w:eastAsia="en-AU"/>
              </w:rPr>
            </w:pPr>
            <w:r w:rsidRPr="00A45BD8">
              <w:rPr>
                <w:rFonts w:cs="Arial"/>
                <w:color w:val="000000"/>
                <w:sz w:val="22"/>
                <w:szCs w:val="22"/>
                <w:lang w:eastAsia="en-AU"/>
              </w:rPr>
              <w:t>201</w:t>
            </w:r>
            <w:r>
              <w:rPr>
                <w:rFonts w:cs="Arial"/>
                <w:color w:val="000000"/>
                <w:sz w:val="22"/>
                <w:szCs w:val="22"/>
                <w:lang w:eastAsia="en-AU"/>
              </w:rPr>
              <w:t>5</w:t>
            </w:r>
          </w:p>
        </w:tc>
        <w:tc>
          <w:tcPr>
            <w:tcW w:w="1614" w:type="dxa"/>
            <w:tcBorders>
              <w:top w:val="nil"/>
              <w:left w:val="nil"/>
              <w:bottom w:val="nil"/>
              <w:right w:val="nil"/>
            </w:tcBorders>
            <w:shd w:val="clear" w:color="auto" w:fill="auto"/>
            <w:vAlign w:val="center"/>
            <w:hideMark/>
          </w:tcPr>
          <w:p w14:paraId="5EA74333" w14:textId="206BFD73" w:rsidR="00CC6DF7" w:rsidRPr="00A45BD8" w:rsidRDefault="00CC6DF7" w:rsidP="00A45BD8">
            <w:pPr>
              <w:jc w:val="center"/>
              <w:rPr>
                <w:rFonts w:cs="Arial"/>
                <w:color w:val="000000"/>
                <w:sz w:val="22"/>
                <w:szCs w:val="22"/>
                <w:lang w:eastAsia="en-AU"/>
              </w:rPr>
            </w:pPr>
            <w:r w:rsidRPr="00A45BD8">
              <w:rPr>
                <w:rFonts w:cs="Arial"/>
                <w:color w:val="000000"/>
                <w:sz w:val="22"/>
                <w:szCs w:val="22"/>
                <w:lang w:eastAsia="en-AU"/>
              </w:rPr>
              <w:t>201</w:t>
            </w:r>
            <w:r>
              <w:rPr>
                <w:rFonts w:cs="Arial"/>
                <w:color w:val="000000"/>
                <w:sz w:val="22"/>
                <w:szCs w:val="22"/>
                <w:lang w:eastAsia="en-AU"/>
              </w:rPr>
              <w:t>4</w:t>
            </w:r>
          </w:p>
        </w:tc>
      </w:tr>
      <w:tr w:rsidR="00CC6DF7" w:rsidRPr="00A45BD8" w14:paraId="5EA7433A" w14:textId="77777777" w:rsidTr="00CC6DF7">
        <w:trPr>
          <w:divId w:val="572543552"/>
          <w:trHeight w:val="346"/>
        </w:trPr>
        <w:tc>
          <w:tcPr>
            <w:tcW w:w="5947" w:type="dxa"/>
            <w:tcBorders>
              <w:top w:val="nil"/>
              <w:left w:val="nil"/>
              <w:bottom w:val="nil"/>
              <w:right w:val="nil"/>
            </w:tcBorders>
            <w:shd w:val="clear" w:color="auto" w:fill="auto"/>
            <w:vAlign w:val="center"/>
            <w:hideMark/>
          </w:tcPr>
          <w:p w14:paraId="5EA74335" w14:textId="77777777" w:rsidR="00CC6DF7" w:rsidRPr="00A45BD8" w:rsidRDefault="00CC6DF7" w:rsidP="00A45BD8">
            <w:pPr>
              <w:rPr>
                <w:rFonts w:cs="Arial"/>
                <w:color w:val="000000"/>
                <w:sz w:val="22"/>
                <w:szCs w:val="22"/>
                <w:lang w:eastAsia="en-AU"/>
              </w:rPr>
            </w:pPr>
            <w:r w:rsidRPr="00A45BD8">
              <w:rPr>
                <w:rFonts w:cs="Arial"/>
                <w:color w:val="000000"/>
                <w:sz w:val="22"/>
                <w:szCs w:val="22"/>
                <w:lang w:eastAsia="en-AU"/>
              </w:rPr>
              <w:t>Asset Revaluation Reserve</w:t>
            </w:r>
          </w:p>
        </w:tc>
        <w:tc>
          <w:tcPr>
            <w:tcW w:w="1614" w:type="dxa"/>
            <w:tcBorders>
              <w:top w:val="nil"/>
              <w:left w:val="nil"/>
              <w:bottom w:val="nil"/>
              <w:right w:val="nil"/>
            </w:tcBorders>
            <w:shd w:val="clear" w:color="auto" w:fill="BFBFBF" w:themeFill="background1" w:themeFillShade="BF"/>
            <w:vAlign w:val="center"/>
          </w:tcPr>
          <w:p w14:paraId="5EA74338" w14:textId="77777777" w:rsidR="00CC6DF7" w:rsidRPr="00A45BD8" w:rsidRDefault="00CC6DF7" w:rsidP="00A45BD8">
            <w:pPr>
              <w:jc w:val="right"/>
              <w:rPr>
                <w:rFonts w:cs="Arial"/>
                <w:color w:val="000000"/>
                <w:sz w:val="22"/>
                <w:szCs w:val="22"/>
                <w:lang w:eastAsia="en-AU"/>
              </w:rPr>
            </w:pPr>
            <w:r>
              <w:rPr>
                <w:rFonts w:cs="Arial"/>
                <w:color w:val="000000"/>
                <w:sz w:val="22"/>
                <w:szCs w:val="22"/>
                <w:lang w:eastAsia="en-AU"/>
              </w:rPr>
              <w:t>4,741</w:t>
            </w:r>
          </w:p>
        </w:tc>
        <w:tc>
          <w:tcPr>
            <w:tcW w:w="1614" w:type="dxa"/>
            <w:tcBorders>
              <w:top w:val="nil"/>
              <w:left w:val="nil"/>
              <w:bottom w:val="nil"/>
              <w:right w:val="nil"/>
            </w:tcBorders>
            <w:shd w:val="clear" w:color="auto" w:fill="auto"/>
            <w:vAlign w:val="center"/>
            <w:hideMark/>
          </w:tcPr>
          <w:p w14:paraId="5EA74339" w14:textId="77777777" w:rsidR="00CC6DF7" w:rsidRPr="00A45BD8" w:rsidRDefault="00CC6DF7" w:rsidP="00A45BD8">
            <w:pPr>
              <w:jc w:val="right"/>
              <w:rPr>
                <w:rFonts w:cs="Arial"/>
                <w:color w:val="000000"/>
                <w:sz w:val="22"/>
                <w:szCs w:val="22"/>
                <w:lang w:eastAsia="en-AU"/>
              </w:rPr>
            </w:pPr>
            <w:r w:rsidRPr="00A45BD8">
              <w:rPr>
                <w:rFonts w:cs="Arial"/>
                <w:color w:val="000000"/>
                <w:sz w:val="22"/>
                <w:szCs w:val="22"/>
                <w:lang w:eastAsia="en-AU"/>
              </w:rPr>
              <w:t>4,650</w:t>
            </w:r>
          </w:p>
        </w:tc>
      </w:tr>
      <w:tr w:rsidR="00CC6DF7" w:rsidRPr="00A45BD8" w14:paraId="5EA74340" w14:textId="77777777" w:rsidTr="00CC6DF7">
        <w:trPr>
          <w:divId w:val="572543552"/>
          <w:trHeight w:val="346"/>
        </w:trPr>
        <w:tc>
          <w:tcPr>
            <w:tcW w:w="5947" w:type="dxa"/>
            <w:tcBorders>
              <w:top w:val="nil"/>
              <w:left w:val="nil"/>
              <w:bottom w:val="nil"/>
              <w:right w:val="nil"/>
            </w:tcBorders>
            <w:shd w:val="clear" w:color="auto" w:fill="auto"/>
            <w:vAlign w:val="center"/>
            <w:hideMark/>
          </w:tcPr>
          <w:p w14:paraId="5EA7433B" w14:textId="77777777" w:rsidR="00CC6DF7" w:rsidRPr="00A45BD8" w:rsidRDefault="00CC6DF7" w:rsidP="00A45BD8">
            <w:pPr>
              <w:rPr>
                <w:rFonts w:cs="Arial"/>
                <w:color w:val="000000"/>
                <w:sz w:val="22"/>
                <w:szCs w:val="22"/>
                <w:lang w:eastAsia="en-AU"/>
              </w:rPr>
            </w:pPr>
            <w:r w:rsidRPr="00A45BD8">
              <w:rPr>
                <w:rFonts w:cs="Arial"/>
                <w:color w:val="000000"/>
                <w:sz w:val="22"/>
                <w:szCs w:val="22"/>
                <w:lang w:eastAsia="en-AU"/>
              </w:rPr>
              <w:t>Retained Surplus</w:t>
            </w:r>
          </w:p>
        </w:tc>
        <w:tc>
          <w:tcPr>
            <w:tcW w:w="1614" w:type="dxa"/>
            <w:tcBorders>
              <w:top w:val="nil"/>
              <w:left w:val="nil"/>
              <w:bottom w:val="single" w:sz="8" w:space="0" w:color="auto"/>
              <w:right w:val="nil"/>
            </w:tcBorders>
            <w:shd w:val="clear" w:color="auto" w:fill="BFBFBF" w:themeFill="background1" w:themeFillShade="BF"/>
            <w:vAlign w:val="center"/>
          </w:tcPr>
          <w:p w14:paraId="5EA7433E" w14:textId="77777777" w:rsidR="00CC6DF7" w:rsidRPr="00A45BD8" w:rsidRDefault="00CC6DF7" w:rsidP="00902155">
            <w:pPr>
              <w:jc w:val="right"/>
              <w:rPr>
                <w:rFonts w:cs="Arial"/>
                <w:color w:val="000000"/>
                <w:sz w:val="22"/>
                <w:szCs w:val="22"/>
                <w:lang w:eastAsia="en-AU"/>
              </w:rPr>
            </w:pPr>
            <w:r>
              <w:rPr>
                <w:rFonts w:cs="Arial"/>
                <w:color w:val="000000"/>
                <w:sz w:val="22"/>
                <w:szCs w:val="22"/>
                <w:lang w:eastAsia="en-AU"/>
              </w:rPr>
              <w:t>102,154</w:t>
            </w:r>
          </w:p>
        </w:tc>
        <w:tc>
          <w:tcPr>
            <w:tcW w:w="1614" w:type="dxa"/>
            <w:tcBorders>
              <w:top w:val="nil"/>
              <w:left w:val="nil"/>
              <w:bottom w:val="single" w:sz="8" w:space="0" w:color="auto"/>
              <w:right w:val="nil"/>
            </w:tcBorders>
            <w:shd w:val="clear" w:color="auto" w:fill="auto"/>
            <w:vAlign w:val="center"/>
            <w:hideMark/>
          </w:tcPr>
          <w:p w14:paraId="5EA7433F" w14:textId="77777777" w:rsidR="00CC6DF7" w:rsidRPr="00A45BD8" w:rsidRDefault="00CC6DF7" w:rsidP="00A45BD8">
            <w:pPr>
              <w:jc w:val="right"/>
              <w:rPr>
                <w:rFonts w:cs="Arial"/>
                <w:color w:val="000000"/>
                <w:sz w:val="22"/>
                <w:szCs w:val="22"/>
                <w:lang w:eastAsia="en-AU"/>
              </w:rPr>
            </w:pPr>
            <w:r w:rsidRPr="00A45BD8">
              <w:rPr>
                <w:rFonts w:cs="Arial"/>
                <w:color w:val="000000"/>
                <w:sz w:val="22"/>
                <w:szCs w:val="22"/>
                <w:lang w:eastAsia="en-AU"/>
              </w:rPr>
              <w:t>101,733</w:t>
            </w:r>
          </w:p>
        </w:tc>
      </w:tr>
      <w:tr w:rsidR="00CC6DF7" w:rsidRPr="00A45BD8" w14:paraId="5EA74346" w14:textId="77777777" w:rsidTr="00CC6DF7">
        <w:trPr>
          <w:divId w:val="572543552"/>
          <w:trHeight w:val="489"/>
        </w:trPr>
        <w:tc>
          <w:tcPr>
            <w:tcW w:w="5947" w:type="dxa"/>
            <w:tcBorders>
              <w:top w:val="nil"/>
              <w:left w:val="nil"/>
              <w:bottom w:val="nil"/>
              <w:right w:val="nil"/>
            </w:tcBorders>
            <w:shd w:val="clear" w:color="auto" w:fill="auto"/>
            <w:vAlign w:val="center"/>
            <w:hideMark/>
          </w:tcPr>
          <w:p w14:paraId="5EA74341" w14:textId="77777777" w:rsidR="00CC6DF7" w:rsidRPr="00A45BD8" w:rsidRDefault="00CC6DF7" w:rsidP="00A45BD8">
            <w:pPr>
              <w:rPr>
                <w:rFonts w:cs="Arial"/>
                <w:b/>
                <w:bCs/>
                <w:color w:val="000000"/>
                <w:sz w:val="22"/>
                <w:szCs w:val="22"/>
                <w:lang w:eastAsia="en-AU"/>
              </w:rPr>
            </w:pPr>
            <w:r w:rsidRPr="00A45BD8">
              <w:rPr>
                <w:rFonts w:cs="Arial"/>
                <w:b/>
                <w:bCs/>
                <w:color w:val="000000"/>
                <w:sz w:val="22"/>
                <w:szCs w:val="22"/>
                <w:lang w:eastAsia="en-AU"/>
              </w:rPr>
              <w:t>Total equity attributable to Vision Australia Limited</w:t>
            </w:r>
          </w:p>
        </w:tc>
        <w:tc>
          <w:tcPr>
            <w:tcW w:w="1614" w:type="dxa"/>
            <w:tcBorders>
              <w:top w:val="single" w:sz="12" w:space="0" w:color="auto"/>
              <w:left w:val="nil"/>
              <w:bottom w:val="single" w:sz="12" w:space="0" w:color="auto"/>
              <w:right w:val="nil"/>
            </w:tcBorders>
            <w:shd w:val="clear" w:color="auto" w:fill="BFBFBF" w:themeFill="background1" w:themeFillShade="BF"/>
            <w:vAlign w:val="center"/>
          </w:tcPr>
          <w:p w14:paraId="5EA74344" w14:textId="77777777" w:rsidR="00CC6DF7" w:rsidRPr="00A45BD8" w:rsidRDefault="00CC6DF7" w:rsidP="00902155">
            <w:pPr>
              <w:jc w:val="right"/>
              <w:rPr>
                <w:rFonts w:cs="Arial"/>
                <w:color w:val="000000"/>
                <w:sz w:val="22"/>
                <w:szCs w:val="22"/>
                <w:lang w:eastAsia="en-AU"/>
              </w:rPr>
            </w:pPr>
            <w:r>
              <w:rPr>
                <w:rFonts w:cs="Arial"/>
                <w:color w:val="000000"/>
                <w:sz w:val="22"/>
                <w:szCs w:val="22"/>
                <w:lang w:eastAsia="en-AU"/>
              </w:rPr>
              <w:t>106,895</w:t>
            </w:r>
          </w:p>
        </w:tc>
        <w:tc>
          <w:tcPr>
            <w:tcW w:w="1614" w:type="dxa"/>
            <w:tcBorders>
              <w:top w:val="single" w:sz="12" w:space="0" w:color="auto"/>
              <w:left w:val="nil"/>
              <w:bottom w:val="single" w:sz="12" w:space="0" w:color="auto"/>
              <w:right w:val="nil"/>
            </w:tcBorders>
            <w:shd w:val="clear" w:color="auto" w:fill="auto"/>
            <w:vAlign w:val="center"/>
            <w:hideMark/>
          </w:tcPr>
          <w:p w14:paraId="5EA74345" w14:textId="77777777" w:rsidR="00CC6DF7" w:rsidRPr="00A45BD8" w:rsidRDefault="00CC6DF7" w:rsidP="00A45BD8">
            <w:pPr>
              <w:jc w:val="right"/>
              <w:rPr>
                <w:rFonts w:cs="Arial"/>
                <w:color w:val="000000"/>
                <w:sz w:val="22"/>
                <w:szCs w:val="22"/>
                <w:lang w:eastAsia="en-AU"/>
              </w:rPr>
            </w:pPr>
            <w:r w:rsidRPr="00A45BD8">
              <w:rPr>
                <w:rFonts w:cs="Arial"/>
                <w:color w:val="000000"/>
                <w:sz w:val="22"/>
                <w:szCs w:val="22"/>
                <w:lang w:eastAsia="en-AU"/>
              </w:rPr>
              <w:t>106,383</w:t>
            </w:r>
          </w:p>
        </w:tc>
      </w:tr>
    </w:tbl>
    <w:p w14:paraId="69E6FACB" w14:textId="77777777" w:rsidR="00CC6DF7" w:rsidRDefault="00CC6DF7" w:rsidP="00CC6DF7">
      <w:pPr>
        <w:ind w:left="601"/>
        <w:rPr>
          <w:rFonts w:cs="Arial"/>
          <w:color w:val="000000"/>
          <w:sz w:val="22"/>
          <w:szCs w:val="22"/>
          <w:lang w:eastAsia="en-AU"/>
        </w:rPr>
      </w:pPr>
    </w:p>
    <w:p w14:paraId="50FCD785" w14:textId="77777777" w:rsidR="00B20FD4" w:rsidRDefault="00B20FD4" w:rsidP="00B20FD4">
      <w:pPr>
        <w:numPr>
          <w:ilvl w:val="0"/>
          <w:numId w:val="22"/>
        </w:numPr>
        <w:ind w:left="601" w:hanging="567"/>
        <w:rPr>
          <w:rFonts w:cs="Arial"/>
          <w:color w:val="000000"/>
          <w:sz w:val="22"/>
          <w:szCs w:val="22"/>
          <w:lang w:eastAsia="en-AU"/>
        </w:rPr>
      </w:pPr>
      <w:r>
        <w:rPr>
          <w:rFonts w:cs="Arial"/>
          <w:color w:val="000000"/>
          <w:sz w:val="22"/>
          <w:szCs w:val="22"/>
          <w:lang w:eastAsia="en-AU"/>
        </w:rPr>
        <w:t>Included in current assets are net book values of land and buildings that are classified as held for sale to wholly owned subsidiary, Vision Australia Trust of $</w:t>
      </w:r>
      <w:proofErr w:type="gramStart"/>
      <w:r>
        <w:rPr>
          <w:rFonts w:cs="Arial"/>
          <w:color w:val="000000"/>
          <w:sz w:val="22"/>
          <w:szCs w:val="22"/>
          <w:lang w:eastAsia="en-AU"/>
        </w:rPr>
        <w:t>89,104,000.</w:t>
      </w:r>
      <w:proofErr w:type="gramEnd"/>
    </w:p>
    <w:p w14:paraId="0EE4E09C" w14:textId="77777777" w:rsidR="00B20FD4" w:rsidRDefault="00B20FD4" w:rsidP="00B20FD4">
      <w:pPr>
        <w:numPr>
          <w:ilvl w:val="0"/>
          <w:numId w:val="22"/>
        </w:numPr>
        <w:ind w:left="601" w:hanging="567"/>
        <w:rPr>
          <w:rFonts w:cs="Arial"/>
          <w:color w:val="000000"/>
          <w:sz w:val="22"/>
          <w:szCs w:val="22"/>
          <w:lang w:eastAsia="en-AU"/>
        </w:rPr>
      </w:pPr>
      <w:r>
        <w:rPr>
          <w:rFonts w:cs="Arial"/>
          <w:color w:val="000000"/>
          <w:sz w:val="22"/>
          <w:szCs w:val="22"/>
          <w:lang w:eastAsia="en-AU"/>
        </w:rPr>
        <w:t xml:space="preserve">Included in total assets </w:t>
      </w:r>
      <w:proofErr w:type="gramStart"/>
      <w:r>
        <w:rPr>
          <w:rFonts w:cs="Arial"/>
          <w:color w:val="000000"/>
          <w:sz w:val="22"/>
          <w:szCs w:val="22"/>
          <w:lang w:eastAsia="en-AU"/>
        </w:rPr>
        <w:t>are amounts owing</w:t>
      </w:r>
      <w:proofErr w:type="gramEnd"/>
      <w:r>
        <w:rPr>
          <w:rFonts w:cs="Arial"/>
          <w:color w:val="000000"/>
          <w:sz w:val="22"/>
          <w:szCs w:val="22"/>
          <w:lang w:eastAsia="en-AU"/>
        </w:rPr>
        <w:t xml:space="preserve"> by wholly owned subsidiary company, Vision Australia Trust of $3,947,000.</w:t>
      </w:r>
    </w:p>
    <w:p w14:paraId="7D898B99" w14:textId="77777777" w:rsidR="00B20FD4" w:rsidRDefault="00B20FD4" w:rsidP="00B20FD4">
      <w:pPr>
        <w:ind w:left="601"/>
        <w:rPr>
          <w:rFonts w:cs="Arial"/>
          <w:color w:val="000000"/>
          <w:sz w:val="22"/>
          <w:szCs w:val="22"/>
          <w:lang w:eastAsia="en-AU"/>
        </w:rPr>
      </w:pPr>
    </w:p>
    <w:p w14:paraId="73F92ED4" w14:textId="3B926E1A" w:rsidR="00CC6DF7" w:rsidRDefault="00B20FD4" w:rsidP="00B20FD4">
      <w:pPr>
        <w:rPr>
          <w:rFonts w:cs="Arial"/>
          <w:color w:val="000000"/>
          <w:sz w:val="22"/>
          <w:szCs w:val="22"/>
          <w:lang w:eastAsia="en-AU"/>
        </w:rPr>
      </w:pPr>
      <w:r w:rsidRPr="00A45BD8">
        <w:rPr>
          <w:rFonts w:cs="Arial"/>
          <w:color w:val="000000"/>
          <w:sz w:val="22"/>
          <w:szCs w:val="22"/>
          <w:lang w:eastAsia="en-AU"/>
        </w:rPr>
        <w:t>The contingent liabilities (Note 21) and the commitments for expenditure (Note 22) of the Group are the liabilities of the parent entity.</w:t>
      </w:r>
    </w:p>
    <w:p w14:paraId="52F038FF" w14:textId="772F6530" w:rsidR="00A9569E" w:rsidRDefault="00CC6DF7" w:rsidP="00CC6DF7">
      <w:pPr>
        <w:pStyle w:val="Heading1"/>
        <w:rPr>
          <w:lang w:eastAsia="en-AU"/>
        </w:rPr>
      </w:pPr>
      <w:r>
        <w:rPr>
          <w:rFonts w:cs="Arial"/>
          <w:color w:val="000000"/>
          <w:sz w:val="22"/>
          <w:szCs w:val="22"/>
          <w:lang w:eastAsia="en-AU"/>
        </w:rPr>
        <w:br w:type="page"/>
      </w:r>
      <w:bookmarkStart w:id="363" w:name="_Toc430613787"/>
      <w:r w:rsidR="00A9569E" w:rsidRPr="00A9569E">
        <w:rPr>
          <w:lang w:eastAsia="en-AU"/>
        </w:rPr>
        <w:lastRenderedPageBreak/>
        <w:t>Note 28: Remuneration of auditors</w:t>
      </w:r>
      <w:bookmarkEnd w:id="363"/>
    </w:p>
    <w:p w14:paraId="1389FF37" w14:textId="77777777" w:rsidR="00CC6DF7" w:rsidRPr="00CC6DF7" w:rsidRDefault="00CC6DF7" w:rsidP="00CC6DF7">
      <w:pPr>
        <w:rPr>
          <w:lang w:eastAsia="en-AU"/>
        </w:rPr>
      </w:pPr>
    </w:p>
    <w:tbl>
      <w:tblPr>
        <w:tblW w:w="8909" w:type="dxa"/>
        <w:tblInd w:w="108" w:type="dxa"/>
        <w:tblLook w:val="04A0" w:firstRow="1" w:lastRow="0" w:firstColumn="1" w:lastColumn="0" w:noHBand="0" w:noVBand="1"/>
      </w:tblPr>
      <w:tblGrid>
        <w:gridCol w:w="5667"/>
        <w:gridCol w:w="1668"/>
        <w:gridCol w:w="1574"/>
      </w:tblGrid>
      <w:tr w:rsidR="00CC6DF7" w:rsidRPr="00531454" w14:paraId="4DC7A2E6" w14:textId="77777777" w:rsidTr="00374C7E">
        <w:trPr>
          <w:trHeight w:val="365"/>
          <w:tblHeader/>
        </w:trPr>
        <w:tc>
          <w:tcPr>
            <w:tcW w:w="5667" w:type="dxa"/>
            <w:shd w:val="clear" w:color="auto" w:fill="auto"/>
            <w:vAlign w:val="center"/>
          </w:tcPr>
          <w:p w14:paraId="5519F0B4" w14:textId="77777777" w:rsidR="00CC6DF7" w:rsidRPr="00531454" w:rsidRDefault="00CC6DF7" w:rsidP="001D01C3">
            <w:pPr>
              <w:rPr>
                <w:rFonts w:cs="Arial"/>
                <w:color w:val="000000"/>
                <w:sz w:val="22"/>
                <w:szCs w:val="22"/>
                <w:lang w:eastAsia="en-AU"/>
              </w:rPr>
            </w:pPr>
            <w:bookmarkStart w:id="364" w:name="Table_65"/>
            <w:bookmarkEnd w:id="364"/>
          </w:p>
        </w:tc>
        <w:tc>
          <w:tcPr>
            <w:tcW w:w="1668" w:type="dxa"/>
            <w:shd w:val="clear" w:color="000000" w:fill="BFBFBF" w:themeFill="background1" w:themeFillShade="BF"/>
            <w:vAlign w:val="center"/>
          </w:tcPr>
          <w:p w14:paraId="19C038F8" w14:textId="7EC12C4A" w:rsidR="00CC6DF7" w:rsidRPr="00CC6DF7" w:rsidRDefault="00CC6DF7" w:rsidP="00C201B8">
            <w:pPr>
              <w:jc w:val="right"/>
              <w:rPr>
                <w:rFonts w:cs="Arial"/>
                <w:b/>
                <w:color w:val="000000"/>
                <w:sz w:val="22"/>
                <w:szCs w:val="22"/>
                <w:lang w:eastAsia="en-AU"/>
              </w:rPr>
            </w:pPr>
            <w:r w:rsidRPr="00CC6DF7">
              <w:rPr>
                <w:rFonts w:cs="Arial"/>
                <w:b/>
                <w:color w:val="000000"/>
                <w:sz w:val="22"/>
                <w:szCs w:val="22"/>
                <w:lang w:eastAsia="en-AU"/>
              </w:rPr>
              <w:t>2015</w:t>
            </w:r>
          </w:p>
        </w:tc>
        <w:tc>
          <w:tcPr>
            <w:tcW w:w="1574" w:type="dxa"/>
            <w:shd w:val="clear" w:color="auto" w:fill="auto"/>
            <w:noWrap/>
            <w:vAlign w:val="center"/>
          </w:tcPr>
          <w:p w14:paraId="7E563F4F" w14:textId="53CD11CF" w:rsidR="00CC6DF7" w:rsidRPr="00531454" w:rsidRDefault="00CC6DF7" w:rsidP="00C201B8">
            <w:pPr>
              <w:jc w:val="right"/>
              <w:rPr>
                <w:rFonts w:cs="Arial"/>
                <w:color w:val="000000"/>
                <w:sz w:val="22"/>
                <w:szCs w:val="22"/>
                <w:lang w:eastAsia="en-AU"/>
              </w:rPr>
            </w:pPr>
            <w:r>
              <w:rPr>
                <w:rFonts w:cs="Arial"/>
                <w:color w:val="000000"/>
                <w:sz w:val="22"/>
                <w:szCs w:val="22"/>
                <w:lang w:eastAsia="en-AU"/>
              </w:rPr>
              <w:t>2014</w:t>
            </w:r>
          </w:p>
        </w:tc>
      </w:tr>
      <w:tr w:rsidR="00CC6DF7" w:rsidRPr="00531454" w14:paraId="5EA74383" w14:textId="77777777" w:rsidTr="00CC6DF7">
        <w:trPr>
          <w:trHeight w:val="365"/>
        </w:trPr>
        <w:tc>
          <w:tcPr>
            <w:tcW w:w="5667" w:type="dxa"/>
            <w:shd w:val="clear" w:color="auto" w:fill="auto"/>
            <w:vAlign w:val="center"/>
            <w:hideMark/>
          </w:tcPr>
          <w:p w14:paraId="5EA7437E" w14:textId="77777777" w:rsidR="00CC6DF7" w:rsidRPr="00531454" w:rsidRDefault="00CC6DF7" w:rsidP="001D01C3">
            <w:pPr>
              <w:rPr>
                <w:rFonts w:cs="Arial"/>
                <w:color w:val="000000"/>
                <w:sz w:val="22"/>
                <w:szCs w:val="22"/>
                <w:lang w:eastAsia="en-AU"/>
              </w:rPr>
            </w:pPr>
            <w:r w:rsidRPr="00531454">
              <w:rPr>
                <w:rFonts w:cs="Arial"/>
                <w:color w:val="000000"/>
                <w:sz w:val="22"/>
                <w:szCs w:val="22"/>
                <w:lang w:eastAsia="en-AU"/>
              </w:rPr>
              <w:t>Audit of the Financial Report</w:t>
            </w:r>
          </w:p>
        </w:tc>
        <w:tc>
          <w:tcPr>
            <w:tcW w:w="1668" w:type="dxa"/>
            <w:shd w:val="clear" w:color="000000" w:fill="BFBFBF" w:themeFill="background1" w:themeFillShade="BF"/>
            <w:vAlign w:val="center"/>
          </w:tcPr>
          <w:p w14:paraId="5EA74381" w14:textId="77777777" w:rsidR="00CC6DF7" w:rsidRPr="00531454" w:rsidRDefault="00CC6DF7" w:rsidP="00C201B8">
            <w:pPr>
              <w:jc w:val="right"/>
              <w:rPr>
                <w:rFonts w:cs="Arial"/>
                <w:color w:val="000000"/>
                <w:sz w:val="22"/>
                <w:szCs w:val="22"/>
                <w:lang w:eastAsia="en-AU"/>
              </w:rPr>
            </w:pPr>
            <w:r>
              <w:rPr>
                <w:rFonts w:cs="Arial"/>
                <w:color w:val="000000"/>
                <w:sz w:val="22"/>
                <w:szCs w:val="22"/>
                <w:lang w:eastAsia="en-AU"/>
              </w:rPr>
              <w:t>87,500</w:t>
            </w:r>
          </w:p>
        </w:tc>
        <w:tc>
          <w:tcPr>
            <w:tcW w:w="1574" w:type="dxa"/>
            <w:shd w:val="clear" w:color="auto" w:fill="auto"/>
            <w:noWrap/>
            <w:vAlign w:val="center"/>
            <w:hideMark/>
          </w:tcPr>
          <w:p w14:paraId="5EA74382" w14:textId="77777777" w:rsidR="00CC6DF7" w:rsidRPr="00531454" w:rsidRDefault="00CC6DF7" w:rsidP="00C201B8">
            <w:pPr>
              <w:jc w:val="right"/>
              <w:rPr>
                <w:rFonts w:cs="Arial"/>
                <w:color w:val="000000"/>
                <w:sz w:val="22"/>
                <w:szCs w:val="22"/>
                <w:lang w:eastAsia="en-AU"/>
              </w:rPr>
            </w:pPr>
            <w:r w:rsidRPr="00531454">
              <w:rPr>
                <w:rFonts w:cs="Arial"/>
                <w:color w:val="000000"/>
                <w:sz w:val="22"/>
                <w:szCs w:val="22"/>
                <w:lang w:eastAsia="en-AU"/>
              </w:rPr>
              <w:t>89,250</w:t>
            </w:r>
          </w:p>
        </w:tc>
      </w:tr>
      <w:tr w:rsidR="00CC6DF7" w:rsidRPr="00531454" w14:paraId="5EA74389" w14:textId="77777777" w:rsidTr="00CC6DF7">
        <w:trPr>
          <w:trHeight w:val="365"/>
        </w:trPr>
        <w:tc>
          <w:tcPr>
            <w:tcW w:w="5667" w:type="dxa"/>
            <w:tcBorders>
              <w:left w:val="nil"/>
              <w:bottom w:val="nil"/>
              <w:right w:val="nil"/>
            </w:tcBorders>
            <w:shd w:val="clear" w:color="auto" w:fill="auto"/>
            <w:vAlign w:val="center"/>
            <w:hideMark/>
          </w:tcPr>
          <w:p w14:paraId="5EA74384" w14:textId="77777777" w:rsidR="00CC6DF7" w:rsidRPr="00531454" w:rsidRDefault="00CC6DF7" w:rsidP="00C201B8">
            <w:pPr>
              <w:rPr>
                <w:rFonts w:cs="Arial"/>
                <w:color w:val="000000"/>
                <w:sz w:val="22"/>
                <w:szCs w:val="22"/>
                <w:lang w:eastAsia="en-AU"/>
              </w:rPr>
            </w:pPr>
            <w:r w:rsidRPr="00531454">
              <w:rPr>
                <w:rFonts w:cs="Arial"/>
                <w:color w:val="000000"/>
                <w:sz w:val="22"/>
                <w:szCs w:val="22"/>
                <w:lang w:eastAsia="en-AU"/>
              </w:rPr>
              <w:t>Audit of grant and lottery returns</w:t>
            </w:r>
          </w:p>
        </w:tc>
        <w:tc>
          <w:tcPr>
            <w:tcW w:w="1668" w:type="dxa"/>
            <w:tcBorders>
              <w:left w:val="nil"/>
              <w:right w:val="nil"/>
            </w:tcBorders>
            <w:shd w:val="clear" w:color="000000" w:fill="BFBFBF" w:themeFill="background1" w:themeFillShade="BF"/>
            <w:vAlign w:val="center"/>
          </w:tcPr>
          <w:p w14:paraId="5EA74387" w14:textId="77777777" w:rsidR="00CC6DF7" w:rsidRPr="00531454" w:rsidRDefault="00CC6DF7" w:rsidP="00C201B8">
            <w:pPr>
              <w:jc w:val="right"/>
              <w:rPr>
                <w:rFonts w:cs="Arial"/>
                <w:color w:val="000000"/>
                <w:sz w:val="22"/>
                <w:szCs w:val="22"/>
                <w:lang w:eastAsia="en-AU"/>
              </w:rPr>
            </w:pPr>
            <w:r>
              <w:rPr>
                <w:rFonts w:cs="Arial"/>
                <w:color w:val="000000"/>
                <w:sz w:val="22"/>
                <w:szCs w:val="22"/>
                <w:lang w:eastAsia="en-AU"/>
              </w:rPr>
              <w:t>55,999</w:t>
            </w:r>
          </w:p>
        </w:tc>
        <w:tc>
          <w:tcPr>
            <w:tcW w:w="1574" w:type="dxa"/>
            <w:tcBorders>
              <w:left w:val="nil"/>
              <w:right w:val="nil"/>
            </w:tcBorders>
            <w:shd w:val="clear" w:color="auto" w:fill="auto"/>
            <w:vAlign w:val="center"/>
            <w:hideMark/>
          </w:tcPr>
          <w:p w14:paraId="5EA74388" w14:textId="77777777" w:rsidR="00CC6DF7" w:rsidRPr="00531454" w:rsidRDefault="00CC6DF7" w:rsidP="00C201B8">
            <w:pPr>
              <w:jc w:val="right"/>
              <w:rPr>
                <w:rFonts w:cs="Arial"/>
                <w:color w:val="000000"/>
                <w:sz w:val="22"/>
                <w:szCs w:val="22"/>
                <w:lang w:eastAsia="en-AU"/>
              </w:rPr>
            </w:pPr>
            <w:r w:rsidRPr="00531454">
              <w:rPr>
                <w:rFonts w:cs="Arial"/>
                <w:color w:val="000000"/>
                <w:sz w:val="22"/>
                <w:szCs w:val="22"/>
                <w:lang w:eastAsia="en-AU"/>
              </w:rPr>
              <w:t>56,438</w:t>
            </w:r>
          </w:p>
        </w:tc>
      </w:tr>
      <w:tr w:rsidR="00CC6DF7" w:rsidRPr="00531454" w14:paraId="65A17521" w14:textId="77777777" w:rsidTr="00CC6DF7">
        <w:trPr>
          <w:trHeight w:val="365"/>
        </w:trPr>
        <w:tc>
          <w:tcPr>
            <w:tcW w:w="5667" w:type="dxa"/>
            <w:tcBorders>
              <w:top w:val="nil"/>
              <w:left w:val="nil"/>
              <w:bottom w:val="nil"/>
              <w:right w:val="nil"/>
            </w:tcBorders>
            <w:shd w:val="clear" w:color="auto" w:fill="auto"/>
            <w:vAlign w:val="center"/>
          </w:tcPr>
          <w:p w14:paraId="2E1C5131" w14:textId="4F784971" w:rsidR="00CC6DF7" w:rsidRPr="00531454" w:rsidRDefault="00CC6DF7" w:rsidP="00531454">
            <w:pPr>
              <w:rPr>
                <w:rFonts w:cs="Arial"/>
                <w:color w:val="000000"/>
                <w:sz w:val="22"/>
                <w:szCs w:val="22"/>
                <w:lang w:eastAsia="en-AU"/>
              </w:rPr>
            </w:pPr>
            <w:r>
              <w:rPr>
                <w:rFonts w:cs="Arial"/>
                <w:color w:val="000000"/>
                <w:sz w:val="22"/>
                <w:szCs w:val="22"/>
                <w:lang w:eastAsia="en-AU"/>
              </w:rPr>
              <w:t>Non audit services (</w:t>
            </w:r>
            <w:proofErr w:type="spellStart"/>
            <w:r>
              <w:rPr>
                <w:rFonts w:cs="Arial"/>
                <w:color w:val="000000"/>
                <w:sz w:val="22"/>
                <w:szCs w:val="22"/>
                <w:lang w:eastAsia="en-AU"/>
              </w:rPr>
              <w:t>i</w:t>
            </w:r>
            <w:proofErr w:type="spellEnd"/>
            <w:r>
              <w:rPr>
                <w:rFonts w:cs="Arial"/>
                <w:color w:val="000000"/>
                <w:sz w:val="22"/>
                <w:szCs w:val="22"/>
                <w:lang w:eastAsia="en-AU"/>
              </w:rPr>
              <w:t>)</w:t>
            </w:r>
          </w:p>
        </w:tc>
        <w:tc>
          <w:tcPr>
            <w:tcW w:w="1668" w:type="dxa"/>
            <w:tcBorders>
              <w:left w:val="nil"/>
              <w:bottom w:val="single" w:sz="12" w:space="0" w:color="auto"/>
              <w:right w:val="nil"/>
            </w:tcBorders>
            <w:shd w:val="clear" w:color="000000" w:fill="BFBFBF" w:themeFill="background1" w:themeFillShade="BF"/>
            <w:vAlign w:val="center"/>
          </w:tcPr>
          <w:p w14:paraId="48B8DBE3" w14:textId="54A664BE" w:rsidR="00CC6DF7" w:rsidRDefault="00CC6DF7" w:rsidP="00531454">
            <w:pPr>
              <w:jc w:val="right"/>
              <w:rPr>
                <w:rFonts w:cs="Arial"/>
                <w:color w:val="000000"/>
                <w:sz w:val="22"/>
                <w:szCs w:val="22"/>
                <w:lang w:eastAsia="en-AU"/>
              </w:rPr>
            </w:pPr>
            <w:r>
              <w:rPr>
                <w:rFonts w:cs="Arial"/>
                <w:color w:val="000000"/>
                <w:sz w:val="22"/>
                <w:szCs w:val="22"/>
                <w:lang w:eastAsia="en-AU"/>
              </w:rPr>
              <w:t>39,000</w:t>
            </w:r>
          </w:p>
        </w:tc>
        <w:tc>
          <w:tcPr>
            <w:tcW w:w="1574" w:type="dxa"/>
            <w:tcBorders>
              <w:left w:val="nil"/>
              <w:bottom w:val="single" w:sz="12" w:space="0" w:color="auto"/>
              <w:right w:val="nil"/>
            </w:tcBorders>
            <w:shd w:val="clear" w:color="auto" w:fill="auto"/>
            <w:vAlign w:val="center"/>
          </w:tcPr>
          <w:p w14:paraId="76D85E2A" w14:textId="0E73AE0F" w:rsidR="00CC6DF7" w:rsidRPr="00531454" w:rsidRDefault="00CC6DF7" w:rsidP="00531454">
            <w:pPr>
              <w:jc w:val="right"/>
              <w:rPr>
                <w:rFonts w:cs="Arial"/>
                <w:color w:val="000000"/>
                <w:sz w:val="22"/>
                <w:szCs w:val="22"/>
                <w:lang w:eastAsia="en-AU"/>
              </w:rPr>
            </w:pPr>
            <w:r>
              <w:rPr>
                <w:rFonts w:cs="Arial"/>
                <w:color w:val="000000"/>
                <w:sz w:val="22"/>
                <w:szCs w:val="22"/>
                <w:lang w:eastAsia="en-AU"/>
              </w:rPr>
              <w:t>-</w:t>
            </w:r>
          </w:p>
        </w:tc>
      </w:tr>
      <w:tr w:rsidR="00CC6DF7" w:rsidRPr="00531454" w14:paraId="5EA7438F" w14:textId="77777777" w:rsidTr="00CC6DF7">
        <w:trPr>
          <w:trHeight w:val="365"/>
        </w:trPr>
        <w:tc>
          <w:tcPr>
            <w:tcW w:w="5667" w:type="dxa"/>
            <w:tcBorders>
              <w:top w:val="nil"/>
              <w:left w:val="nil"/>
              <w:bottom w:val="nil"/>
              <w:right w:val="nil"/>
            </w:tcBorders>
            <w:shd w:val="clear" w:color="auto" w:fill="auto"/>
            <w:vAlign w:val="center"/>
            <w:hideMark/>
          </w:tcPr>
          <w:p w14:paraId="5EA7438A" w14:textId="036F2257" w:rsidR="00CC6DF7" w:rsidRPr="00531454" w:rsidRDefault="00CC6DF7" w:rsidP="00531454">
            <w:pPr>
              <w:rPr>
                <w:rFonts w:cs="Arial"/>
                <w:color w:val="000000"/>
                <w:sz w:val="22"/>
                <w:szCs w:val="22"/>
                <w:lang w:eastAsia="en-AU"/>
              </w:rPr>
            </w:pPr>
            <w:r>
              <w:rPr>
                <w:rFonts w:cs="Arial"/>
                <w:color w:val="000000"/>
                <w:sz w:val="22"/>
                <w:szCs w:val="22"/>
                <w:lang w:eastAsia="en-AU"/>
              </w:rPr>
              <w:t>Total</w:t>
            </w:r>
          </w:p>
        </w:tc>
        <w:tc>
          <w:tcPr>
            <w:tcW w:w="1668" w:type="dxa"/>
            <w:tcBorders>
              <w:top w:val="single" w:sz="12" w:space="0" w:color="auto"/>
              <w:left w:val="nil"/>
              <w:bottom w:val="single" w:sz="12" w:space="0" w:color="auto"/>
              <w:right w:val="nil"/>
            </w:tcBorders>
            <w:shd w:val="clear" w:color="000000" w:fill="BFBFBF" w:themeFill="background1" w:themeFillShade="BF"/>
            <w:vAlign w:val="center"/>
          </w:tcPr>
          <w:p w14:paraId="5EA7438D" w14:textId="77777777" w:rsidR="00CC6DF7" w:rsidRPr="00531454" w:rsidRDefault="00CC6DF7" w:rsidP="00531454">
            <w:pPr>
              <w:jc w:val="right"/>
              <w:rPr>
                <w:rFonts w:cs="Arial"/>
                <w:color w:val="000000"/>
                <w:sz w:val="22"/>
                <w:szCs w:val="22"/>
                <w:lang w:eastAsia="en-AU"/>
              </w:rPr>
            </w:pPr>
            <w:r>
              <w:rPr>
                <w:rFonts w:cs="Arial"/>
                <w:color w:val="000000"/>
                <w:sz w:val="22"/>
                <w:szCs w:val="22"/>
                <w:lang w:eastAsia="en-AU"/>
              </w:rPr>
              <w:t>143,499</w:t>
            </w:r>
          </w:p>
        </w:tc>
        <w:tc>
          <w:tcPr>
            <w:tcW w:w="1574" w:type="dxa"/>
            <w:tcBorders>
              <w:top w:val="single" w:sz="12" w:space="0" w:color="auto"/>
              <w:left w:val="nil"/>
              <w:bottom w:val="single" w:sz="12" w:space="0" w:color="auto"/>
              <w:right w:val="nil"/>
            </w:tcBorders>
            <w:shd w:val="clear" w:color="auto" w:fill="auto"/>
            <w:vAlign w:val="center"/>
            <w:hideMark/>
          </w:tcPr>
          <w:p w14:paraId="5EA7438E" w14:textId="77777777" w:rsidR="00CC6DF7" w:rsidRPr="00531454" w:rsidRDefault="00CC6DF7" w:rsidP="00531454">
            <w:pPr>
              <w:jc w:val="right"/>
              <w:rPr>
                <w:rFonts w:cs="Arial"/>
                <w:color w:val="000000"/>
                <w:sz w:val="22"/>
                <w:szCs w:val="22"/>
                <w:lang w:eastAsia="en-AU"/>
              </w:rPr>
            </w:pPr>
            <w:r w:rsidRPr="00531454">
              <w:rPr>
                <w:rFonts w:cs="Arial"/>
                <w:color w:val="000000"/>
                <w:sz w:val="22"/>
                <w:szCs w:val="22"/>
                <w:lang w:eastAsia="en-AU"/>
              </w:rPr>
              <w:t>145,688</w:t>
            </w:r>
          </w:p>
        </w:tc>
      </w:tr>
    </w:tbl>
    <w:p w14:paraId="24A88AB8" w14:textId="77777777" w:rsidR="00CC6DF7" w:rsidRDefault="00CC6DF7" w:rsidP="00CC6DF7">
      <w:pPr>
        <w:rPr>
          <w:rFonts w:cs="Arial"/>
          <w:color w:val="000000"/>
          <w:sz w:val="22"/>
          <w:szCs w:val="22"/>
          <w:lang w:eastAsia="en-AU"/>
        </w:rPr>
      </w:pPr>
      <w:r w:rsidRPr="00531454">
        <w:rPr>
          <w:rFonts w:cs="Arial"/>
          <w:color w:val="000000"/>
          <w:sz w:val="22"/>
          <w:szCs w:val="22"/>
          <w:lang w:eastAsia="en-AU"/>
        </w:rPr>
        <w:t xml:space="preserve">The auditor of the Group is Deloitte </w:t>
      </w:r>
      <w:proofErr w:type="spellStart"/>
      <w:r w:rsidRPr="00531454">
        <w:rPr>
          <w:rFonts w:cs="Arial"/>
          <w:color w:val="000000"/>
          <w:sz w:val="22"/>
          <w:szCs w:val="22"/>
          <w:lang w:eastAsia="en-AU"/>
        </w:rPr>
        <w:t>Touche</w:t>
      </w:r>
      <w:proofErr w:type="spellEnd"/>
      <w:r w:rsidRPr="00531454">
        <w:rPr>
          <w:rFonts w:cs="Arial"/>
          <w:color w:val="000000"/>
          <w:sz w:val="22"/>
          <w:szCs w:val="22"/>
          <w:lang w:eastAsia="en-AU"/>
        </w:rPr>
        <w:t xml:space="preserve"> Tohmatsu</w:t>
      </w:r>
    </w:p>
    <w:p w14:paraId="1D92D2AA" w14:textId="77777777" w:rsidR="00CC6DF7" w:rsidRPr="00CC6DF7" w:rsidRDefault="00CC6DF7" w:rsidP="00CC6DF7">
      <w:pPr>
        <w:pStyle w:val="TextPara"/>
        <w:autoSpaceDE/>
        <w:autoSpaceDN/>
        <w:adjustRightInd/>
        <w:rPr>
          <w:rFonts w:cs="Arial"/>
          <w:bCs/>
          <w:sz w:val="22"/>
          <w:szCs w:val="22"/>
        </w:rPr>
      </w:pPr>
    </w:p>
    <w:p w14:paraId="5EA74394" w14:textId="107A47CF" w:rsidR="00BA7CB1" w:rsidRPr="00BF3629" w:rsidRDefault="008611D8" w:rsidP="00BF287B">
      <w:pPr>
        <w:pStyle w:val="TextPara"/>
        <w:numPr>
          <w:ilvl w:val="0"/>
          <w:numId w:val="38"/>
        </w:numPr>
        <w:autoSpaceDE/>
        <w:autoSpaceDN/>
        <w:adjustRightInd/>
        <w:rPr>
          <w:rFonts w:cs="Arial"/>
          <w:bCs/>
          <w:sz w:val="22"/>
          <w:szCs w:val="22"/>
        </w:rPr>
      </w:pPr>
      <w:r w:rsidRPr="00BF3629">
        <w:rPr>
          <w:bCs/>
          <w:sz w:val="22"/>
          <w:szCs w:val="22"/>
        </w:rPr>
        <w:t xml:space="preserve">Non audit services related to consulting services on upgrading existing budget and management reporting systems </w:t>
      </w:r>
      <w:r>
        <w:rPr>
          <w:bCs/>
          <w:sz w:val="22"/>
          <w:szCs w:val="22"/>
        </w:rPr>
        <w:t xml:space="preserve">which required </w:t>
      </w:r>
      <w:r w:rsidRPr="00BF3629">
        <w:rPr>
          <w:bCs/>
          <w:sz w:val="22"/>
          <w:szCs w:val="22"/>
        </w:rPr>
        <w:t>no involvement of financial data</w:t>
      </w:r>
      <w:r>
        <w:rPr>
          <w:bCs/>
          <w:sz w:val="22"/>
          <w:szCs w:val="22"/>
        </w:rPr>
        <w:t>.</w:t>
      </w:r>
    </w:p>
    <w:p w14:paraId="63F3E58F" w14:textId="77777777" w:rsidR="00A9569E" w:rsidRDefault="00A9569E"/>
    <w:p w14:paraId="4BF3934A" w14:textId="77777777" w:rsidR="00A9569E" w:rsidRDefault="00A9569E">
      <w:pPr>
        <w:rPr>
          <w:b/>
          <w:sz w:val="22"/>
          <w:szCs w:val="22"/>
        </w:rPr>
      </w:pPr>
      <w:r>
        <w:rPr>
          <w:sz w:val="22"/>
          <w:szCs w:val="22"/>
        </w:rPr>
        <w:br w:type="page"/>
      </w:r>
    </w:p>
    <w:p w14:paraId="5A665240" w14:textId="77777777" w:rsidR="00A9569E" w:rsidRDefault="00A9569E" w:rsidP="00BF287B">
      <w:pPr>
        <w:pStyle w:val="Heading1"/>
      </w:pPr>
      <w:bookmarkStart w:id="365" w:name="_Toc430613788"/>
      <w:r w:rsidRPr="00A9569E">
        <w:lastRenderedPageBreak/>
        <w:t>Note 29: Acquisition of businesses</w:t>
      </w:r>
      <w:bookmarkEnd w:id="365"/>
    </w:p>
    <w:p w14:paraId="05FA8620" w14:textId="7CE5D01B" w:rsidR="00A9569E" w:rsidRPr="00CC6DF7" w:rsidRDefault="00A9569E" w:rsidP="00A9569E"/>
    <w:p w14:paraId="0CDEF020" w14:textId="49FA236E" w:rsidR="00CC6DF7" w:rsidRPr="00CC6DF7" w:rsidRDefault="00CC6DF7" w:rsidP="00CC6DF7">
      <w:r w:rsidRPr="00CC6DF7">
        <w:t>29.1</w:t>
      </w:r>
      <w:r>
        <w:t xml:space="preserve">: </w:t>
      </w:r>
      <w:r w:rsidRPr="00CC6DF7">
        <w:t>During the year, the Company acquired its Seeing Eye Dogs Australia Pty Limited’s business. Details of the acquisition are as follows:</w:t>
      </w:r>
    </w:p>
    <w:p w14:paraId="5FAEC02F" w14:textId="77777777" w:rsidR="00CC6DF7" w:rsidRPr="00CC6DF7" w:rsidRDefault="00CC6DF7" w:rsidP="00CC6DF7"/>
    <w:p w14:paraId="4E0FC3A0" w14:textId="4EA31929" w:rsidR="00CC6DF7" w:rsidRPr="00CC6DF7" w:rsidRDefault="00CC6DF7" w:rsidP="00CC6DF7">
      <w:r>
        <w:t xml:space="preserve">29.2: </w:t>
      </w:r>
      <w:r w:rsidRPr="00CC6DF7">
        <w:t>Consideration transferred</w:t>
      </w:r>
    </w:p>
    <w:p w14:paraId="4DD0A5A5" w14:textId="05A1F61F" w:rsidR="00CC6DF7" w:rsidRPr="00CC6DF7" w:rsidRDefault="00CC6DF7" w:rsidP="00CC6DF7">
      <w:r w:rsidRPr="00CC6DF7">
        <w:t>Total of $12 was in consideration for purchase of 12 shares in Seeing Eye Dogs Australia Pty Limited.</w:t>
      </w:r>
    </w:p>
    <w:p w14:paraId="586F8095" w14:textId="77777777" w:rsidR="00CC6DF7" w:rsidRPr="00CC6DF7" w:rsidRDefault="00CC6DF7" w:rsidP="00CC6DF7"/>
    <w:p w14:paraId="48A4C592" w14:textId="0DEC2FB6" w:rsidR="00CC6DF7" w:rsidRPr="00CC6DF7" w:rsidRDefault="00CC6DF7" w:rsidP="00CC6DF7">
      <w:r w:rsidRPr="00CC6DF7">
        <w:t>29.3</w:t>
      </w:r>
      <w:r>
        <w:t xml:space="preserve">: </w:t>
      </w:r>
      <w:r w:rsidRPr="00CC6DF7">
        <w:t>Assets acquired and liabilities assumed at the date of acquisition</w:t>
      </w:r>
    </w:p>
    <w:p w14:paraId="743C4C06" w14:textId="1C754719" w:rsidR="00CC6DF7" w:rsidRPr="00CC6DF7" w:rsidRDefault="00CC6DF7" w:rsidP="00CC6DF7">
      <w:r w:rsidRPr="00CC6DF7">
        <w:t>Total assets of $82,621 and liabilities of $82,621 were acquired.</w:t>
      </w:r>
    </w:p>
    <w:p w14:paraId="483D8827" w14:textId="77777777" w:rsidR="00CC6DF7" w:rsidRPr="00CC6DF7" w:rsidRDefault="00CC6DF7" w:rsidP="00CC6DF7"/>
    <w:p w14:paraId="7B9D1150" w14:textId="0794E213" w:rsidR="00CC6DF7" w:rsidRPr="00CC6DF7" w:rsidRDefault="00CC6DF7" w:rsidP="00CC6DF7">
      <w:r>
        <w:t xml:space="preserve">29.4: </w:t>
      </w:r>
      <w:r w:rsidRPr="00CC6DF7">
        <w:t>Net cash outflow on acquisition of businesses</w:t>
      </w:r>
    </w:p>
    <w:p w14:paraId="53AE1F66" w14:textId="59F77720" w:rsidR="00CC6DF7" w:rsidRPr="00CC6DF7" w:rsidRDefault="00CC6DF7" w:rsidP="00CC6DF7">
      <w:r w:rsidRPr="00CC6DF7">
        <w:t xml:space="preserve">Net cash outflow on acquisition of Seeing Eye Dogs Australia Pty Limited amounted to $82,609 which is net off the consideration paid for shares $12 and cash acquired $82,621. </w:t>
      </w:r>
    </w:p>
    <w:p w14:paraId="361652BE" w14:textId="11711C57" w:rsidR="00A9569E" w:rsidRDefault="00A9569E">
      <w:pPr>
        <w:rPr>
          <w:b/>
        </w:rPr>
      </w:pPr>
    </w:p>
    <w:p w14:paraId="3B58FCDD" w14:textId="049228D3" w:rsidR="00A9569E" w:rsidRPr="00A9569E" w:rsidRDefault="00A9569E" w:rsidP="00BF287B">
      <w:pPr>
        <w:pStyle w:val="Heading1"/>
      </w:pPr>
      <w:bookmarkStart w:id="366" w:name="_Toc430613789"/>
      <w:r w:rsidRPr="00A9569E">
        <w:t>Note 30:</w:t>
      </w:r>
      <w:r w:rsidRPr="00A9569E">
        <w:rPr>
          <w:lang w:eastAsia="en-AU"/>
        </w:rPr>
        <w:t xml:space="preserve"> Information required by the Charitable Fundraising Act 1991 (NSW)</w:t>
      </w:r>
      <w:bookmarkEnd w:id="366"/>
    </w:p>
    <w:p w14:paraId="5FE97A28" w14:textId="1EDD7E5E" w:rsidR="00A9569E" w:rsidRDefault="00CC6DF7">
      <w:r w:rsidRPr="00F92B8F">
        <w:rPr>
          <w:rFonts w:cs="Arial"/>
          <w:color w:val="000000"/>
          <w:sz w:val="22"/>
          <w:szCs w:val="22"/>
          <w:lang w:eastAsia="en-AU"/>
        </w:rPr>
        <w:t>Fundraising appeals conducted under the Charitable Fundraising Act 1991, included direct mailings, special events, foundation and corporate sponsorship. Other fundraising activities were lotteries and bequests.</w:t>
      </w:r>
    </w:p>
    <w:tbl>
      <w:tblPr>
        <w:tblW w:w="8236" w:type="dxa"/>
        <w:tblInd w:w="108" w:type="dxa"/>
        <w:tblLook w:val="04A0" w:firstRow="1" w:lastRow="0" w:firstColumn="1" w:lastColumn="0" w:noHBand="0" w:noVBand="1"/>
      </w:tblPr>
      <w:tblGrid>
        <w:gridCol w:w="5567"/>
        <w:gridCol w:w="1478"/>
        <w:gridCol w:w="1191"/>
      </w:tblGrid>
      <w:tr w:rsidR="00CC6DF7" w:rsidRPr="00F92B8F" w14:paraId="5EA743A4" w14:textId="77777777" w:rsidTr="00374C7E">
        <w:trPr>
          <w:trHeight w:val="316"/>
          <w:tblHeader/>
        </w:trPr>
        <w:tc>
          <w:tcPr>
            <w:tcW w:w="5567" w:type="dxa"/>
            <w:tcBorders>
              <w:top w:val="nil"/>
              <w:left w:val="nil"/>
              <w:bottom w:val="nil"/>
              <w:right w:val="nil"/>
            </w:tcBorders>
            <w:shd w:val="clear" w:color="auto" w:fill="auto"/>
            <w:noWrap/>
            <w:vAlign w:val="bottom"/>
          </w:tcPr>
          <w:p w14:paraId="5EA743A0" w14:textId="77777777" w:rsidR="00CC6DF7" w:rsidRPr="00F92B8F" w:rsidRDefault="00CC6DF7" w:rsidP="00F92B8F">
            <w:pPr>
              <w:rPr>
                <w:rFonts w:cs="Arial"/>
                <w:color w:val="000000"/>
                <w:sz w:val="22"/>
                <w:szCs w:val="22"/>
                <w:lang w:eastAsia="en-AU"/>
              </w:rPr>
            </w:pPr>
            <w:bookmarkStart w:id="367" w:name="Table_66"/>
            <w:bookmarkEnd w:id="367"/>
          </w:p>
        </w:tc>
        <w:tc>
          <w:tcPr>
            <w:tcW w:w="1478" w:type="dxa"/>
            <w:tcBorders>
              <w:top w:val="single" w:sz="12" w:space="0" w:color="auto"/>
              <w:left w:val="nil"/>
              <w:right w:val="nil"/>
            </w:tcBorders>
            <w:shd w:val="clear" w:color="000000" w:fill="BFBFBF" w:themeFill="background1" w:themeFillShade="BF"/>
            <w:noWrap/>
            <w:vAlign w:val="center"/>
          </w:tcPr>
          <w:p w14:paraId="5EA743A2" w14:textId="77777777" w:rsidR="00CC6DF7" w:rsidRPr="00F92B8F" w:rsidRDefault="00CC6DF7" w:rsidP="0016002F">
            <w:pPr>
              <w:jc w:val="center"/>
              <w:rPr>
                <w:rFonts w:cs="Arial"/>
                <w:color w:val="000000"/>
                <w:sz w:val="22"/>
                <w:szCs w:val="22"/>
                <w:lang w:eastAsia="en-AU"/>
              </w:rPr>
            </w:pPr>
            <w:r>
              <w:rPr>
                <w:rFonts w:cs="Arial"/>
                <w:color w:val="000000"/>
                <w:sz w:val="22"/>
                <w:szCs w:val="22"/>
                <w:lang w:eastAsia="en-AU"/>
              </w:rPr>
              <w:t>2015</w:t>
            </w:r>
          </w:p>
        </w:tc>
        <w:tc>
          <w:tcPr>
            <w:tcW w:w="1191" w:type="dxa"/>
            <w:tcBorders>
              <w:top w:val="single" w:sz="12" w:space="0" w:color="auto"/>
              <w:left w:val="nil"/>
              <w:right w:val="nil"/>
            </w:tcBorders>
            <w:shd w:val="clear" w:color="auto" w:fill="auto"/>
            <w:noWrap/>
            <w:vAlign w:val="center"/>
          </w:tcPr>
          <w:p w14:paraId="5EA743A3" w14:textId="77777777" w:rsidR="00CC6DF7" w:rsidRPr="00F92B8F" w:rsidRDefault="00CC6DF7" w:rsidP="0016002F">
            <w:pPr>
              <w:jc w:val="center"/>
              <w:rPr>
                <w:rFonts w:cs="Arial"/>
                <w:color w:val="000000"/>
                <w:sz w:val="22"/>
                <w:szCs w:val="22"/>
                <w:lang w:eastAsia="en-AU"/>
              </w:rPr>
            </w:pPr>
            <w:r w:rsidRPr="00F92B8F">
              <w:rPr>
                <w:rFonts w:cs="Arial"/>
                <w:color w:val="000000"/>
                <w:sz w:val="22"/>
                <w:szCs w:val="22"/>
                <w:lang w:eastAsia="en-AU"/>
              </w:rPr>
              <w:t>201</w:t>
            </w:r>
            <w:r>
              <w:rPr>
                <w:rFonts w:cs="Arial"/>
                <w:color w:val="000000"/>
                <w:sz w:val="22"/>
                <w:szCs w:val="22"/>
                <w:lang w:eastAsia="en-AU"/>
              </w:rPr>
              <w:t>4</w:t>
            </w:r>
          </w:p>
        </w:tc>
      </w:tr>
      <w:tr w:rsidR="00CC6DF7" w:rsidRPr="00F92B8F" w14:paraId="5EA743AE" w14:textId="77777777" w:rsidTr="00CC6DF7">
        <w:trPr>
          <w:trHeight w:val="316"/>
        </w:trPr>
        <w:tc>
          <w:tcPr>
            <w:tcW w:w="5567" w:type="dxa"/>
            <w:tcBorders>
              <w:top w:val="nil"/>
              <w:left w:val="nil"/>
              <w:bottom w:val="nil"/>
              <w:right w:val="nil"/>
            </w:tcBorders>
            <w:shd w:val="clear" w:color="auto" w:fill="auto"/>
            <w:vAlign w:val="bottom"/>
            <w:hideMark/>
          </w:tcPr>
          <w:p w14:paraId="5EA743AA" w14:textId="77777777" w:rsidR="00CC6DF7" w:rsidRPr="00F92B8F" w:rsidRDefault="00CC6DF7" w:rsidP="00F92B8F">
            <w:pPr>
              <w:rPr>
                <w:rFonts w:cs="Arial"/>
                <w:color w:val="000000"/>
                <w:sz w:val="22"/>
                <w:szCs w:val="22"/>
                <w:lang w:eastAsia="en-AU"/>
              </w:rPr>
            </w:pPr>
            <w:r w:rsidRPr="00F92B8F">
              <w:rPr>
                <w:rFonts w:cs="Arial"/>
                <w:color w:val="000000"/>
                <w:sz w:val="22"/>
                <w:szCs w:val="22"/>
                <w:lang w:eastAsia="en-AU"/>
              </w:rPr>
              <w:t>Net surplus from fundraising appeals</w:t>
            </w:r>
          </w:p>
        </w:tc>
        <w:tc>
          <w:tcPr>
            <w:tcW w:w="1478" w:type="dxa"/>
            <w:tcBorders>
              <w:top w:val="single" w:sz="12" w:space="0" w:color="auto"/>
              <w:left w:val="nil"/>
              <w:bottom w:val="nil"/>
              <w:right w:val="nil"/>
            </w:tcBorders>
            <w:shd w:val="clear" w:color="000000" w:fill="BFBFBF" w:themeFill="background1" w:themeFillShade="BF"/>
            <w:vAlign w:val="bottom"/>
          </w:tcPr>
          <w:p w14:paraId="5EA743AC" w14:textId="77777777" w:rsidR="00CC6DF7" w:rsidRDefault="00CC6DF7">
            <w:pPr>
              <w:jc w:val="right"/>
              <w:rPr>
                <w:rFonts w:cs="Arial"/>
                <w:color w:val="000000"/>
                <w:sz w:val="22"/>
                <w:szCs w:val="22"/>
              </w:rPr>
            </w:pPr>
            <w:r>
              <w:rPr>
                <w:rFonts w:cs="Arial"/>
                <w:color w:val="000000"/>
                <w:sz w:val="22"/>
                <w:szCs w:val="22"/>
              </w:rPr>
              <w:t>14,990</w:t>
            </w:r>
          </w:p>
        </w:tc>
        <w:tc>
          <w:tcPr>
            <w:tcW w:w="1191" w:type="dxa"/>
            <w:tcBorders>
              <w:top w:val="single" w:sz="12" w:space="0" w:color="auto"/>
              <w:left w:val="nil"/>
              <w:bottom w:val="nil"/>
              <w:right w:val="nil"/>
            </w:tcBorders>
            <w:shd w:val="clear" w:color="auto" w:fill="auto"/>
            <w:vAlign w:val="bottom"/>
            <w:hideMark/>
          </w:tcPr>
          <w:p w14:paraId="5EA743AD" w14:textId="77777777" w:rsidR="00CC6DF7" w:rsidRPr="00F92B8F" w:rsidRDefault="00CC6DF7" w:rsidP="001A6917">
            <w:pPr>
              <w:jc w:val="right"/>
              <w:rPr>
                <w:rFonts w:cs="Arial"/>
                <w:color w:val="000000"/>
                <w:sz w:val="22"/>
                <w:szCs w:val="22"/>
                <w:lang w:eastAsia="en-AU"/>
              </w:rPr>
            </w:pPr>
            <w:r>
              <w:rPr>
                <w:rFonts w:cs="Arial"/>
                <w:color w:val="000000"/>
                <w:sz w:val="22"/>
                <w:szCs w:val="22"/>
              </w:rPr>
              <w:t>13,654</w:t>
            </w:r>
          </w:p>
        </w:tc>
      </w:tr>
      <w:tr w:rsidR="00CC6DF7" w:rsidRPr="00F92B8F" w14:paraId="5EA743B3" w14:textId="77777777" w:rsidTr="00CC6DF7">
        <w:trPr>
          <w:trHeight w:val="316"/>
        </w:trPr>
        <w:tc>
          <w:tcPr>
            <w:tcW w:w="5567" w:type="dxa"/>
            <w:tcBorders>
              <w:top w:val="nil"/>
              <w:left w:val="nil"/>
              <w:bottom w:val="nil"/>
              <w:right w:val="nil"/>
            </w:tcBorders>
            <w:shd w:val="clear" w:color="auto" w:fill="auto"/>
            <w:vAlign w:val="bottom"/>
            <w:hideMark/>
          </w:tcPr>
          <w:p w14:paraId="5EA743AF" w14:textId="77777777" w:rsidR="00CC6DF7" w:rsidRPr="00F92B8F" w:rsidRDefault="00CC6DF7" w:rsidP="00F92B8F">
            <w:pPr>
              <w:rPr>
                <w:rFonts w:cs="Arial"/>
                <w:color w:val="000000"/>
                <w:sz w:val="22"/>
                <w:szCs w:val="22"/>
                <w:lang w:eastAsia="en-AU"/>
              </w:rPr>
            </w:pPr>
            <w:r w:rsidRPr="00F92B8F">
              <w:rPr>
                <w:rFonts w:cs="Arial"/>
                <w:color w:val="000000"/>
                <w:sz w:val="22"/>
                <w:szCs w:val="22"/>
                <w:lang w:eastAsia="en-AU"/>
              </w:rPr>
              <w:t>Net surplus from bequests</w:t>
            </w:r>
          </w:p>
        </w:tc>
        <w:tc>
          <w:tcPr>
            <w:tcW w:w="1478" w:type="dxa"/>
            <w:tcBorders>
              <w:top w:val="nil"/>
              <w:left w:val="nil"/>
              <w:bottom w:val="nil"/>
              <w:right w:val="nil"/>
            </w:tcBorders>
            <w:shd w:val="clear" w:color="000000" w:fill="BFBFBF" w:themeFill="background1" w:themeFillShade="BF"/>
            <w:vAlign w:val="bottom"/>
          </w:tcPr>
          <w:p w14:paraId="5EA743B1" w14:textId="77777777" w:rsidR="00CC6DF7" w:rsidRDefault="00CC6DF7">
            <w:pPr>
              <w:jc w:val="right"/>
              <w:rPr>
                <w:rFonts w:cs="Arial"/>
                <w:color w:val="000000"/>
                <w:sz w:val="22"/>
                <w:szCs w:val="22"/>
              </w:rPr>
            </w:pPr>
            <w:r>
              <w:rPr>
                <w:rFonts w:cs="Arial"/>
                <w:color w:val="000000"/>
                <w:sz w:val="22"/>
                <w:szCs w:val="22"/>
              </w:rPr>
              <w:t>16,000</w:t>
            </w:r>
          </w:p>
        </w:tc>
        <w:tc>
          <w:tcPr>
            <w:tcW w:w="1191" w:type="dxa"/>
            <w:tcBorders>
              <w:top w:val="nil"/>
              <w:left w:val="nil"/>
              <w:bottom w:val="nil"/>
              <w:right w:val="nil"/>
            </w:tcBorders>
            <w:shd w:val="clear" w:color="auto" w:fill="auto"/>
            <w:vAlign w:val="bottom"/>
            <w:hideMark/>
          </w:tcPr>
          <w:p w14:paraId="5EA743B2" w14:textId="77777777" w:rsidR="00CC6DF7" w:rsidRPr="00F92B8F" w:rsidRDefault="00CC6DF7" w:rsidP="001A6917">
            <w:pPr>
              <w:jc w:val="right"/>
              <w:rPr>
                <w:rFonts w:cs="Arial"/>
                <w:color w:val="000000"/>
                <w:sz w:val="22"/>
                <w:szCs w:val="22"/>
                <w:lang w:eastAsia="en-AU"/>
              </w:rPr>
            </w:pPr>
            <w:r>
              <w:rPr>
                <w:rFonts w:cs="Arial"/>
                <w:color w:val="000000"/>
                <w:sz w:val="22"/>
                <w:szCs w:val="22"/>
              </w:rPr>
              <w:t>16,623</w:t>
            </w:r>
          </w:p>
        </w:tc>
      </w:tr>
      <w:tr w:rsidR="00CC6DF7" w:rsidRPr="00F92B8F" w14:paraId="5EA743B8" w14:textId="77777777" w:rsidTr="00CC6DF7">
        <w:trPr>
          <w:trHeight w:val="316"/>
        </w:trPr>
        <w:tc>
          <w:tcPr>
            <w:tcW w:w="5567" w:type="dxa"/>
            <w:tcBorders>
              <w:top w:val="nil"/>
              <w:left w:val="nil"/>
              <w:bottom w:val="nil"/>
              <w:right w:val="nil"/>
            </w:tcBorders>
            <w:shd w:val="clear" w:color="auto" w:fill="auto"/>
            <w:vAlign w:val="bottom"/>
            <w:hideMark/>
          </w:tcPr>
          <w:p w14:paraId="5EA743B4" w14:textId="77777777" w:rsidR="00CC6DF7" w:rsidRPr="00F92B8F" w:rsidRDefault="00CC6DF7" w:rsidP="00F92B8F">
            <w:pPr>
              <w:rPr>
                <w:rFonts w:cs="Arial"/>
                <w:color w:val="000000"/>
                <w:sz w:val="22"/>
                <w:szCs w:val="22"/>
                <w:lang w:eastAsia="en-AU"/>
              </w:rPr>
            </w:pPr>
            <w:r w:rsidRPr="00F92B8F">
              <w:rPr>
                <w:rFonts w:cs="Arial"/>
                <w:color w:val="000000"/>
                <w:sz w:val="22"/>
                <w:szCs w:val="22"/>
                <w:lang w:eastAsia="en-AU"/>
              </w:rPr>
              <w:t>Grant income</w:t>
            </w:r>
          </w:p>
        </w:tc>
        <w:tc>
          <w:tcPr>
            <w:tcW w:w="1478" w:type="dxa"/>
            <w:tcBorders>
              <w:top w:val="nil"/>
              <w:left w:val="nil"/>
              <w:bottom w:val="nil"/>
              <w:right w:val="nil"/>
            </w:tcBorders>
            <w:shd w:val="clear" w:color="000000" w:fill="BFBFBF" w:themeFill="background1" w:themeFillShade="BF"/>
            <w:vAlign w:val="bottom"/>
          </w:tcPr>
          <w:p w14:paraId="5EA743B6" w14:textId="77777777" w:rsidR="00CC6DF7" w:rsidRDefault="00CC6DF7">
            <w:pPr>
              <w:jc w:val="right"/>
              <w:rPr>
                <w:rFonts w:cs="Arial"/>
                <w:color w:val="000000"/>
                <w:sz w:val="22"/>
                <w:szCs w:val="22"/>
              </w:rPr>
            </w:pPr>
            <w:r>
              <w:rPr>
                <w:rFonts w:cs="Arial"/>
                <w:color w:val="000000"/>
                <w:sz w:val="22"/>
                <w:szCs w:val="22"/>
              </w:rPr>
              <w:t>36,061</w:t>
            </w:r>
          </w:p>
        </w:tc>
        <w:tc>
          <w:tcPr>
            <w:tcW w:w="1191" w:type="dxa"/>
            <w:tcBorders>
              <w:top w:val="nil"/>
              <w:left w:val="nil"/>
              <w:bottom w:val="nil"/>
              <w:right w:val="nil"/>
            </w:tcBorders>
            <w:shd w:val="clear" w:color="auto" w:fill="auto"/>
            <w:vAlign w:val="bottom"/>
            <w:hideMark/>
          </w:tcPr>
          <w:p w14:paraId="5EA743B7" w14:textId="77777777" w:rsidR="00CC6DF7" w:rsidRPr="00F92B8F" w:rsidRDefault="00CC6DF7" w:rsidP="001A6917">
            <w:pPr>
              <w:jc w:val="right"/>
              <w:rPr>
                <w:rFonts w:cs="Arial"/>
                <w:color w:val="000000"/>
                <w:sz w:val="22"/>
                <w:szCs w:val="22"/>
                <w:lang w:eastAsia="en-AU"/>
              </w:rPr>
            </w:pPr>
            <w:r>
              <w:rPr>
                <w:rFonts w:cs="Arial"/>
                <w:color w:val="000000"/>
                <w:sz w:val="22"/>
                <w:szCs w:val="22"/>
              </w:rPr>
              <w:t>32,334</w:t>
            </w:r>
          </w:p>
        </w:tc>
      </w:tr>
      <w:tr w:rsidR="00CC6DF7" w:rsidRPr="00F92B8F" w14:paraId="5EA743BD" w14:textId="77777777" w:rsidTr="00CC6DF7">
        <w:trPr>
          <w:trHeight w:val="316"/>
        </w:trPr>
        <w:tc>
          <w:tcPr>
            <w:tcW w:w="5567" w:type="dxa"/>
            <w:tcBorders>
              <w:top w:val="nil"/>
              <w:left w:val="nil"/>
              <w:bottom w:val="nil"/>
              <w:right w:val="nil"/>
            </w:tcBorders>
            <w:shd w:val="clear" w:color="auto" w:fill="auto"/>
            <w:vAlign w:val="bottom"/>
            <w:hideMark/>
          </w:tcPr>
          <w:p w14:paraId="5EA743B9" w14:textId="77777777" w:rsidR="00CC6DF7" w:rsidRPr="00F92B8F" w:rsidRDefault="00CC6DF7" w:rsidP="00F92B8F">
            <w:pPr>
              <w:rPr>
                <w:rFonts w:cs="Arial"/>
                <w:color w:val="000000"/>
                <w:sz w:val="22"/>
                <w:szCs w:val="22"/>
                <w:lang w:eastAsia="en-AU"/>
              </w:rPr>
            </w:pPr>
            <w:r w:rsidRPr="00F92B8F">
              <w:rPr>
                <w:rFonts w:cs="Arial"/>
                <w:color w:val="000000"/>
                <w:sz w:val="22"/>
                <w:szCs w:val="22"/>
                <w:lang w:eastAsia="en-AU"/>
              </w:rPr>
              <w:t>Investment income</w:t>
            </w:r>
          </w:p>
        </w:tc>
        <w:tc>
          <w:tcPr>
            <w:tcW w:w="1478" w:type="dxa"/>
            <w:tcBorders>
              <w:top w:val="nil"/>
              <w:left w:val="nil"/>
              <w:bottom w:val="nil"/>
              <w:right w:val="nil"/>
            </w:tcBorders>
            <w:shd w:val="clear" w:color="000000" w:fill="BFBFBF" w:themeFill="background1" w:themeFillShade="BF"/>
            <w:vAlign w:val="bottom"/>
          </w:tcPr>
          <w:p w14:paraId="5EA743BB" w14:textId="77777777" w:rsidR="00CC6DF7" w:rsidRDefault="00CC6DF7">
            <w:pPr>
              <w:jc w:val="right"/>
              <w:rPr>
                <w:rFonts w:cs="Arial"/>
                <w:color w:val="000000"/>
                <w:sz w:val="22"/>
                <w:szCs w:val="22"/>
              </w:rPr>
            </w:pPr>
            <w:r>
              <w:rPr>
                <w:rFonts w:cs="Arial"/>
                <w:color w:val="000000"/>
                <w:sz w:val="22"/>
                <w:szCs w:val="22"/>
              </w:rPr>
              <w:t>5,709</w:t>
            </w:r>
          </w:p>
        </w:tc>
        <w:tc>
          <w:tcPr>
            <w:tcW w:w="1191" w:type="dxa"/>
            <w:tcBorders>
              <w:top w:val="nil"/>
              <w:left w:val="nil"/>
              <w:bottom w:val="nil"/>
              <w:right w:val="nil"/>
            </w:tcBorders>
            <w:shd w:val="clear" w:color="auto" w:fill="auto"/>
            <w:vAlign w:val="bottom"/>
            <w:hideMark/>
          </w:tcPr>
          <w:p w14:paraId="5EA743BC" w14:textId="77777777" w:rsidR="00CC6DF7" w:rsidRPr="00F92B8F" w:rsidRDefault="00CC6DF7" w:rsidP="001A6917">
            <w:pPr>
              <w:jc w:val="right"/>
              <w:rPr>
                <w:rFonts w:cs="Arial"/>
                <w:color w:val="000000"/>
                <w:sz w:val="22"/>
                <w:szCs w:val="22"/>
                <w:lang w:eastAsia="en-AU"/>
              </w:rPr>
            </w:pPr>
            <w:r>
              <w:rPr>
                <w:rFonts w:cs="Arial"/>
                <w:color w:val="000000"/>
                <w:sz w:val="22"/>
                <w:szCs w:val="22"/>
              </w:rPr>
              <w:t>4,918</w:t>
            </w:r>
          </w:p>
        </w:tc>
      </w:tr>
      <w:tr w:rsidR="00CC6DF7" w:rsidRPr="00F92B8F" w14:paraId="5EA743C2" w14:textId="77777777" w:rsidTr="00CC6DF7">
        <w:trPr>
          <w:trHeight w:val="316"/>
        </w:trPr>
        <w:tc>
          <w:tcPr>
            <w:tcW w:w="5567" w:type="dxa"/>
            <w:tcBorders>
              <w:top w:val="nil"/>
              <w:left w:val="nil"/>
              <w:bottom w:val="nil"/>
              <w:right w:val="nil"/>
            </w:tcBorders>
            <w:shd w:val="clear" w:color="auto" w:fill="auto"/>
            <w:vAlign w:val="bottom"/>
            <w:hideMark/>
          </w:tcPr>
          <w:p w14:paraId="5EA743BE" w14:textId="11355FE1" w:rsidR="00CC6DF7" w:rsidRPr="00F92B8F" w:rsidRDefault="00CC6DF7" w:rsidP="00A07FE0">
            <w:pPr>
              <w:rPr>
                <w:rFonts w:cs="Arial"/>
                <w:color w:val="000000"/>
                <w:sz w:val="22"/>
                <w:szCs w:val="22"/>
                <w:lang w:eastAsia="en-AU"/>
              </w:rPr>
            </w:pPr>
            <w:r w:rsidRPr="00F92B8F">
              <w:rPr>
                <w:rFonts w:cs="Arial"/>
                <w:color w:val="000000"/>
                <w:sz w:val="22"/>
                <w:szCs w:val="22"/>
                <w:lang w:eastAsia="en-AU"/>
              </w:rPr>
              <w:t xml:space="preserve">Gain on sale of property, plant </w:t>
            </w:r>
            <w:r>
              <w:rPr>
                <w:rFonts w:cs="Arial"/>
                <w:color w:val="000000"/>
                <w:sz w:val="22"/>
                <w:szCs w:val="22"/>
                <w:lang w:eastAsia="en-AU"/>
              </w:rPr>
              <w:t>and</w:t>
            </w:r>
            <w:r w:rsidRPr="00F92B8F">
              <w:rPr>
                <w:rFonts w:cs="Arial"/>
                <w:color w:val="000000"/>
                <w:sz w:val="22"/>
                <w:szCs w:val="22"/>
                <w:lang w:eastAsia="en-AU"/>
              </w:rPr>
              <w:t xml:space="preserve"> equipment</w:t>
            </w:r>
          </w:p>
        </w:tc>
        <w:tc>
          <w:tcPr>
            <w:tcW w:w="1478" w:type="dxa"/>
            <w:tcBorders>
              <w:top w:val="nil"/>
              <w:left w:val="nil"/>
              <w:bottom w:val="nil"/>
              <w:right w:val="nil"/>
            </w:tcBorders>
            <w:shd w:val="clear" w:color="000000" w:fill="BFBFBF" w:themeFill="background1" w:themeFillShade="BF"/>
            <w:vAlign w:val="bottom"/>
          </w:tcPr>
          <w:p w14:paraId="5EA743C0" w14:textId="77777777" w:rsidR="00CC6DF7" w:rsidRDefault="00CC6DF7">
            <w:pPr>
              <w:jc w:val="right"/>
              <w:rPr>
                <w:rFonts w:cs="Arial"/>
                <w:color w:val="000000"/>
                <w:sz w:val="22"/>
                <w:szCs w:val="22"/>
              </w:rPr>
            </w:pPr>
            <w:r>
              <w:rPr>
                <w:rFonts w:cs="Arial"/>
                <w:color w:val="000000"/>
                <w:sz w:val="22"/>
                <w:szCs w:val="22"/>
              </w:rPr>
              <w:t>6,235</w:t>
            </w:r>
          </w:p>
        </w:tc>
        <w:tc>
          <w:tcPr>
            <w:tcW w:w="1191" w:type="dxa"/>
            <w:tcBorders>
              <w:top w:val="nil"/>
              <w:left w:val="nil"/>
              <w:bottom w:val="nil"/>
              <w:right w:val="nil"/>
            </w:tcBorders>
            <w:shd w:val="clear" w:color="auto" w:fill="auto"/>
            <w:vAlign w:val="bottom"/>
            <w:hideMark/>
          </w:tcPr>
          <w:p w14:paraId="5EA743C1" w14:textId="77777777" w:rsidR="00CC6DF7" w:rsidRPr="00F92B8F" w:rsidRDefault="00CC6DF7" w:rsidP="001A6917">
            <w:pPr>
              <w:jc w:val="right"/>
              <w:rPr>
                <w:rFonts w:cs="Arial"/>
                <w:color w:val="000000"/>
                <w:sz w:val="22"/>
                <w:szCs w:val="22"/>
                <w:lang w:eastAsia="en-AU"/>
              </w:rPr>
            </w:pPr>
            <w:r>
              <w:rPr>
                <w:rFonts w:cs="Arial"/>
                <w:color w:val="000000"/>
                <w:sz w:val="22"/>
                <w:szCs w:val="22"/>
              </w:rPr>
              <w:t>5,580</w:t>
            </w:r>
          </w:p>
        </w:tc>
      </w:tr>
      <w:tr w:rsidR="00CC6DF7" w:rsidRPr="00F92B8F" w14:paraId="5EA743C7" w14:textId="77777777" w:rsidTr="00CC6DF7">
        <w:trPr>
          <w:trHeight w:val="316"/>
        </w:trPr>
        <w:tc>
          <w:tcPr>
            <w:tcW w:w="5567" w:type="dxa"/>
            <w:tcBorders>
              <w:top w:val="nil"/>
              <w:left w:val="nil"/>
              <w:bottom w:val="nil"/>
              <w:right w:val="nil"/>
            </w:tcBorders>
            <w:shd w:val="clear" w:color="auto" w:fill="auto"/>
            <w:vAlign w:val="bottom"/>
            <w:hideMark/>
          </w:tcPr>
          <w:p w14:paraId="5EA743C3" w14:textId="086E3762" w:rsidR="00CC6DF7" w:rsidRPr="00F92B8F" w:rsidRDefault="00CC6DF7" w:rsidP="00A07FE0">
            <w:pPr>
              <w:rPr>
                <w:rFonts w:cs="Arial"/>
                <w:color w:val="000000"/>
                <w:sz w:val="22"/>
                <w:szCs w:val="22"/>
                <w:lang w:eastAsia="en-AU"/>
              </w:rPr>
            </w:pPr>
            <w:r w:rsidRPr="00F92B8F">
              <w:rPr>
                <w:rFonts w:cs="Arial"/>
                <w:color w:val="000000"/>
                <w:sz w:val="22"/>
                <w:szCs w:val="22"/>
                <w:lang w:eastAsia="en-AU"/>
              </w:rPr>
              <w:t xml:space="preserve">Sales </w:t>
            </w:r>
            <w:r>
              <w:rPr>
                <w:rFonts w:cs="Arial"/>
                <w:color w:val="000000"/>
                <w:sz w:val="22"/>
                <w:szCs w:val="22"/>
                <w:lang w:eastAsia="en-AU"/>
              </w:rPr>
              <w:t>and</w:t>
            </w:r>
            <w:r w:rsidRPr="00F92B8F">
              <w:rPr>
                <w:rFonts w:cs="Arial"/>
                <w:color w:val="000000"/>
                <w:sz w:val="22"/>
                <w:szCs w:val="22"/>
                <w:lang w:eastAsia="en-AU"/>
              </w:rPr>
              <w:t xml:space="preserve"> fee income</w:t>
            </w:r>
          </w:p>
        </w:tc>
        <w:tc>
          <w:tcPr>
            <w:tcW w:w="1478" w:type="dxa"/>
            <w:tcBorders>
              <w:top w:val="nil"/>
              <w:left w:val="nil"/>
              <w:bottom w:val="nil"/>
              <w:right w:val="nil"/>
            </w:tcBorders>
            <w:shd w:val="clear" w:color="000000" w:fill="BFBFBF" w:themeFill="background1" w:themeFillShade="BF"/>
            <w:vAlign w:val="bottom"/>
          </w:tcPr>
          <w:p w14:paraId="5EA743C5" w14:textId="77777777" w:rsidR="00CC6DF7" w:rsidRDefault="00CC6DF7">
            <w:pPr>
              <w:jc w:val="right"/>
              <w:rPr>
                <w:rFonts w:cs="Arial"/>
                <w:color w:val="000000"/>
                <w:sz w:val="22"/>
                <w:szCs w:val="22"/>
              </w:rPr>
            </w:pPr>
            <w:r>
              <w:rPr>
                <w:rFonts w:cs="Arial"/>
                <w:color w:val="000000"/>
                <w:sz w:val="22"/>
                <w:szCs w:val="22"/>
              </w:rPr>
              <w:t>7,150</w:t>
            </w:r>
          </w:p>
        </w:tc>
        <w:tc>
          <w:tcPr>
            <w:tcW w:w="1191" w:type="dxa"/>
            <w:tcBorders>
              <w:top w:val="nil"/>
              <w:left w:val="nil"/>
              <w:bottom w:val="nil"/>
              <w:right w:val="nil"/>
            </w:tcBorders>
            <w:shd w:val="clear" w:color="auto" w:fill="auto"/>
            <w:vAlign w:val="bottom"/>
            <w:hideMark/>
          </w:tcPr>
          <w:p w14:paraId="5EA743C6" w14:textId="77777777" w:rsidR="00CC6DF7" w:rsidRPr="00F92B8F" w:rsidRDefault="00CC6DF7" w:rsidP="001A6917">
            <w:pPr>
              <w:jc w:val="right"/>
              <w:rPr>
                <w:rFonts w:cs="Arial"/>
                <w:color w:val="000000"/>
                <w:sz w:val="22"/>
                <w:szCs w:val="22"/>
                <w:lang w:eastAsia="en-AU"/>
              </w:rPr>
            </w:pPr>
            <w:r>
              <w:rPr>
                <w:rFonts w:cs="Arial"/>
                <w:color w:val="000000"/>
                <w:sz w:val="22"/>
                <w:szCs w:val="22"/>
              </w:rPr>
              <w:t>6,960</w:t>
            </w:r>
          </w:p>
        </w:tc>
      </w:tr>
      <w:tr w:rsidR="00CC6DF7" w:rsidRPr="00F92B8F" w14:paraId="5EA743CC" w14:textId="77777777" w:rsidTr="00CC6DF7">
        <w:trPr>
          <w:trHeight w:val="316"/>
        </w:trPr>
        <w:tc>
          <w:tcPr>
            <w:tcW w:w="5567" w:type="dxa"/>
            <w:tcBorders>
              <w:top w:val="nil"/>
              <w:left w:val="nil"/>
              <w:bottom w:val="nil"/>
              <w:right w:val="nil"/>
            </w:tcBorders>
            <w:shd w:val="clear" w:color="auto" w:fill="auto"/>
            <w:vAlign w:val="bottom"/>
            <w:hideMark/>
          </w:tcPr>
          <w:p w14:paraId="5EA743C8" w14:textId="77777777" w:rsidR="00CC6DF7" w:rsidRPr="00F92B8F" w:rsidRDefault="00CC6DF7" w:rsidP="00F92B8F">
            <w:pPr>
              <w:rPr>
                <w:rFonts w:cs="Arial"/>
                <w:color w:val="000000"/>
                <w:sz w:val="22"/>
                <w:szCs w:val="22"/>
                <w:lang w:eastAsia="en-AU"/>
              </w:rPr>
            </w:pPr>
            <w:r w:rsidRPr="00F92B8F">
              <w:rPr>
                <w:rFonts w:cs="Arial"/>
                <w:color w:val="000000"/>
                <w:sz w:val="22"/>
                <w:szCs w:val="22"/>
                <w:lang w:eastAsia="en-AU"/>
              </w:rPr>
              <w:t>Miscellaneous income</w:t>
            </w:r>
          </w:p>
        </w:tc>
        <w:tc>
          <w:tcPr>
            <w:tcW w:w="1478" w:type="dxa"/>
            <w:tcBorders>
              <w:top w:val="nil"/>
              <w:left w:val="nil"/>
              <w:bottom w:val="nil"/>
              <w:right w:val="nil"/>
            </w:tcBorders>
            <w:shd w:val="clear" w:color="000000" w:fill="BFBFBF" w:themeFill="background1" w:themeFillShade="BF"/>
            <w:vAlign w:val="bottom"/>
          </w:tcPr>
          <w:p w14:paraId="5EA743CA" w14:textId="77777777" w:rsidR="00CC6DF7" w:rsidRDefault="00CC6DF7">
            <w:pPr>
              <w:jc w:val="right"/>
              <w:rPr>
                <w:rFonts w:cs="Arial"/>
                <w:color w:val="000000"/>
                <w:sz w:val="22"/>
                <w:szCs w:val="22"/>
              </w:rPr>
            </w:pPr>
            <w:r>
              <w:rPr>
                <w:rFonts w:cs="Arial"/>
                <w:color w:val="000000"/>
                <w:sz w:val="22"/>
                <w:szCs w:val="22"/>
              </w:rPr>
              <w:t>1,050</w:t>
            </w:r>
          </w:p>
        </w:tc>
        <w:tc>
          <w:tcPr>
            <w:tcW w:w="1191" w:type="dxa"/>
            <w:tcBorders>
              <w:top w:val="nil"/>
              <w:left w:val="nil"/>
              <w:bottom w:val="nil"/>
              <w:right w:val="nil"/>
            </w:tcBorders>
            <w:shd w:val="clear" w:color="auto" w:fill="auto"/>
            <w:vAlign w:val="bottom"/>
            <w:hideMark/>
          </w:tcPr>
          <w:p w14:paraId="5EA743CB" w14:textId="77777777" w:rsidR="00CC6DF7" w:rsidRPr="00F92B8F" w:rsidRDefault="00CC6DF7" w:rsidP="001A6917">
            <w:pPr>
              <w:jc w:val="right"/>
              <w:rPr>
                <w:rFonts w:cs="Arial"/>
                <w:color w:val="000000"/>
                <w:sz w:val="22"/>
                <w:szCs w:val="22"/>
                <w:lang w:eastAsia="en-AU"/>
              </w:rPr>
            </w:pPr>
            <w:r>
              <w:rPr>
                <w:rFonts w:cs="Arial"/>
                <w:color w:val="000000"/>
                <w:sz w:val="22"/>
                <w:szCs w:val="22"/>
              </w:rPr>
              <w:t>952</w:t>
            </w:r>
          </w:p>
        </w:tc>
      </w:tr>
      <w:tr w:rsidR="00CC6DF7" w:rsidRPr="00F92B8F" w14:paraId="5EA743D1" w14:textId="77777777" w:rsidTr="00CC6DF7">
        <w:trPr>
          <w:trHeight w:val="316"/>
        </w:trPr>
        <w:tc>
          <w:tcPr>
            <w:tcW w:w="5567" w:type="dxa"/>
            <w:tcBorders>
              <w:top w:val="nil"/>
              <w:left w:val="nil"/>
              <w:bottom w:val="nil"/>
              <w:right w:val="nil"/>
            </w:tcBorders>
            <w:shd w:val="clear" w:color="auto" w:fill="auto"/>
            <w:vAlign w:val="bottom"/>
            <w:hideMark/>
          </w:tcPr>
          <w:p w14:paraId="5EA743CD" w14:textId="77777777" w:rsidR="00CC6DF7" w:rsidRPr="00F92B8F" w:rsidRDefault="00CC6DF7" w:rsidP="00F92B8F">
            <w:pPr>
              <w:rPr>
                <w:rFonts w:cs="Arial"/>
                <w:color w:val="000000"/>
                <w:sz w:val="22"/>
                <w:szCs w:val="22"/>
                <w:lang w:eastAsia="en-AU"/>
              </w:rPr>
            </w:pPr>
          </w:p>
        </w:tc>
        <w:tc>
          <w:tcPr>
            <w:tcW w:w="1478" w:type="dxa"/>
            <w:tcBorders>
              <w:top w:val="single" w:sz="12" w:space="0" w:color="auto"/>
              <w:left w:val="nil"/>
              <w:bottom w:val="single" w:sz="12" w:space="0" w:color="auto"/>
              <w:right w:val="nil"/>
            </w:tcBorders>
            <w:shd w:val="clear" w:color="000000" w:fill="BFBFBF" w:themeFill="background1" w:themeFillShade="BF"/>
            <w:vAlign w:val="bottom"/>
          </w:tcPr>
          <w:p w14:paraId="5EA743CF" w14:textId="77777777" w:rsidR="00CC6DF7" w:rsidRDefault="00CC6DF7">
            <w:pPr>
              <w:jc w:val="right"/>
              <w:rPr>
                <w:rFonts w:cs="Arial"/>
                <w:color w:val="000000"/>
                <w:sz w:val="22"/>
                <w:szCs w:val="22"/>
              </w:rPr>
            </w:pPr>
            <w:r>
              <w:rPr>
                <w:rFonts w:cs="Arial"/>
                <w:color w:val="000000"/>
                <w:sz w:val="22"/>
                <w:szCs w:val="22"/>
              </w:rPr>
              <w:t>87,195</w:t>
            </w:r>
          </w:p>
        </w:tc>
        <w:tc>
          <w:tcPr>
            <w:tcW w:w="1191" w:type="dxa"/>
            <w:tcBorders>
              <w:top w:val="single" w:sz="12" w:space="0" w:color="auto"/>
              <w:left w:val="nil"/>
              <w:bottom w:val="single" w:sz="12" w:space="0" w:color="auto"/>
              <w:right w:val="nil"/>
            </w:tcBorders>
            <w:shd w:val="clear" w:color="auto" w:fill="auto"/>
            <w:vAlign w:val="bottom"/>
            <w:hideMark/>
          </w:tcPr>
          <w:p w14:paraId="5EA743D0" w14:textId="77777777" w:rsidR="00CC6DF7" w:rsidRPr="00F92B8F" w:rsidRDefault="00CC6DF7" w:rsidP="001A6917">
            <w:pPr>
              <w:jc w:val="right"/>
              <w:rPr>
                <w:rFonts w:cs="Arial"/>
                <w:color w:val="000000"/>
                <w:sz w:val="22"/>
                <w:szCs w:val="22"/>
                <w:lang w:eastAsia="en-AU"/>
              </w:rPr>
            </w:pPr>
            <w:r>
              <w:rPr>
                <w:rFonts w:cs="Arial"/>
                <w:color w:val="000000"/>
                <w:sz w:val="22"/>
                <w:szCs w:val="22"/>
              </w:rPr>
              <w:t>81,021</w:t>
            </w:r>
          </w:p>
        </w:tc>
      </w:tr>
    </w:tbl>
    <w:p w14:paraId="298AC348" w14:textId="77777777" w:rsidR="00CC6DF7" w:rsidRDefault="00CC6DF7"/>
    <w:tbl>
      <w:tblPr>
        <w:tblW w:w="8236" w:type="dxa"/>
        <w:tblInd w:w="108" w:type="dxa"/>
        <w:tblLook w:val="04A0" w:firstRow="1" w:lastRow="0" w:firstColumn="1" w:lastColumn="0" w:noHBand="0" w:noVBand="1"/>
      </w:tblPr>
      <w:tblGrid>
        <w:gridCol w:w="5567"/>
        <w:gridCol w:w="1478"/>
        <w:gridCol w:w="1191"/>
      </w:tblGrid>
      <w:tr w:rsidR="00CC6DF7" w:rsidRPr="00F92B8F" w14:paraId="5EA743D6" w14:textId="77777777" w:rsidTr="00374C7E">
        <w:trPr>
          <w:trHeight w:val="316"/>
          <w:tblHeader/>
        </w:trPr>
        <w:tc>
          <w:tcPr>
            <w:tcW w:w="5567" w:type="dxa"/>
            <w:tcBorders>
              <w:top w:val="nil"/>
              <w:left w:val="nil"/>
              <w:bottom w:val="nil"/>
              <w:right w:val="nil"/>
            </w:tcBorders>
            <w:shd w:val="clear" w:color="auto" w:fill="auto"/>
            <w:vAlign w:val="bottom"/>
            <w:hideMark/>
          </w:tcPr>
          <w:p w14:paraId="5EA743D2" w14:textId="77777777" w:rsidR="00CC6DF7" w:rsidRPr="00F92B8F" w:rsidRDefault="00CC6DF7" w:rsidP="00F92B8F">
            <w:pPr>
              <w:rPr>
                <w:rFonts w:cs="Arial"/>
                <w:b/>
                <w:bCs/>
                <w:color w:val="000000"/>
                <w:sz w:val="22"/>
                <w:szCs w:val="22"/>
                <w:lang w:eastAsia="en-AU"/>
              </w:rPr>
            </w:pPr>
            <w:bookmarkStart w:id="368" w:name="Table_67"/>
            <w:bookmarkEnd w:id="368"/>
            <w:r w:rsidRPr="00F92B8F">
              <w:rPr>
                <w:rFonts w:cs="Arial"/>
                <w:b/>
                <w:bCs/>
                <w:color w:val="000000"/>
                <w:sz w:val="22"/>
                <w:szCs w:val="22"/>
                <w:lang w:eastAsia="en-AU"/>
              </w:rPr>
              <w:t>Applied to charitable purposes</w:t>
            </w:r>
          </w:p>
        </w:tc>
        <w:tc>
          <w:tcPr>
            <w:tcW w:w="1478" w:type="dxa"/>
            <w:tcBorders>
              <w:top w:val="nil"/>
              <w:left w:val="nil"/>
              <w:bottom w:val="nil"/>
              <w:right w:val="nil"/>
            </w:tcBorders>
            <w:shd w:val="clear" w:color="000000" w:fill="BFBFBF" w:themeFill="background1" w:themeFillShade="BF"/>
            <w:vAlign w:val="center"/>
          </w:tcPr>
          <w:p w14:paraId="5EA743D4" w14:textId="06A8FD82" w:rsidR="00CC6DF7" w:rsidRPr="00CC6DF7" w:rsidRDefault="00CC6DF7">
            <w:pPr>
              <w:jc w:val="right"/>
              <w:rPr>
                <w:rFonts w:cs="Arial"/>
                <w:b/>
                <w:color w:val="000000"/>
                <w:sz w:val="22"/>
                <w:szCs w:val="22"/>
              </w:rPr>
            </w:pPr>
            <w:r w:rsidRPr="00CC6DF7">
              <w:rPr>
                <w:rFonts w:cs="Arial"/>
                <w:b/>
                <w:color w:val="000000"/>
                <w:sz w:val="22"/>
                <w:szCs w:val="22"/>
                <w:lang w:eastAsia="en-AU"/>
              </w:rPr>
              <w:t>2015</w:t>
            </w:r>
          </w:p>
        </w:tc>
        <w:tc>
          <w:tcPr>
            <w:tcW w:w="1191" w:type="dxa"/>
            <w:tcBorders>
              <w:top w:val="nil"/>
              <w:left w:val="nil"/>
              <w:bottom w:val="nil"/>
              <w:right w:val="nil"/>
            </w:tcBorders>
            <w:shd w:val="clear" w:color="auto" w:fill="auto"/>
            <w:vAlign w:val="center"/>
            <w:hideMark/>
          </w:tcPr>
          <w:p w14:paraId="5EA743D5" w14:textId="7CD3A9AE" w:rsidR="00CC6DF7" w:rsidRPr="00CC6DF7" w:rsidRDefault="00CC6DF7" w:rsidP="001A6917">
            <w:pPr>
              <w:jc w:val="right"/>
              <w:rPr>
                <w:rFonts w:cs="Arial"/>
                <w:b/>
                <w:color w:val="000000"/>
                <w:sz w:val="22"/>
                <w:szCs w:val="22"/>
                <w:lang w:eastAsia="en-AU"/>
              </w:rPr>
            </w:pPr>
            <w:r w:rsidRPr="00CC6DF7">
              <w:rPr>
                <w:rFonts w:cs="Arial"/>
                <w:b/>
                <w:color w:val="000000"/>
                <w:sz w:val="22"/>
                <w:szCs w:val="22"/>
                <w:lang w:eastAsia="en-AU"/>
              </w:rPr>
              <w:t>2014</w:t>
            </w:r>
          </w:p>
        </w:tc>
      </w:tr>
      <w:tr w:rsidR="00CC6DF7" w:rsidRPr="00F92B8F" w14:paraId="5EA743DB" w14:textId="77777777" w:rsidTr="00CC6DF7">
        <w:trPr>
          <w:trHeight w:val="316"/>
        </w:trPr>
        <w:tc>
          <w:tcPr>
            <w:tcW w:w="5567" w:type="dxa"/>
            <w:tcBorders>
              <w:top w:val="nil"/>
              <w:left w:val="nil"/>
              <w:bottom w:val="nil"/>
              <w:right w:val="nil"/>
            </w:tcBorders>
            <w:shd w:val="clear" w:color="auto" w:fill="auto"/>
            <w:vAlign w:val="bottom"/>
            <w:hideMark/>
          </w:tcPr>
          <w:p w14:paraId="5EA743D7" w14:textId="22893DB7" w:rsidR="00CC6DF7" w:rsidRPr="00F92B8F" w:rsidRDefault="00CC6DF7" w:rsidP="00A07FE0">
            <w:pPr>
              <w:rPr>
                <w:rFonts w:cs="Arial"/>
                <w:color w:val="000000"/>
                <w:sz w:val="22"/>
                <w:szCs w:val="22"/>
                <w:lang w:eastAsia="en-AU"/>
              </w:rPr>
            </w:pPr>
            <w:r w:rsidRPr="00F92B8F">
              <w:rPr>
                <w:rFonts w:cs="Arial"/>
                <w:color w:val="000000"/>
                <w:sz w:val="22"/>
                <w:szCs w:val="22"/>
                <w:lang w:eastAsia="en-AU"/>
              </w:rPr>
              <w:t xml:space="preserve">Cost of client and library </w:t>
            </w:r>
            <w:r>
              <w:rPr>
                <w:rFonts w:cs="Arial"/>
                <w:color w:val="000000"/>
                <w:sz w:val="22"/>
                <w:szCs w:val="22"/>
                <w:lang w:eastAsia="en-AU"/>
              </w:rPr>
              <w:t>and</w:t>
            </w:r>
            <w:r w:rsidRPr="00F92B8F">
              <w:rPr>
                <w:rFonts w:cs="Arial"/>
                <w:color w:val="000000"/>
                <w:sz w:val="22"/>
                <w:szCs w:val="22"/>
                <w:lang w:eastAsia="en-AU"/>
              </w:rPr>
              <w:t xml:space="preserve"> information services</w:t>
            </w:r>
          </w:p>
        </w:tc>
        <w:tc>
          <w:tcPr>
            <w:tcW w:w="1478" w:type="dxa"/>
            <w:tcBorders>
              <w:top w:val="nil"/>
              <w:left w:val="nil"/>
              <w:bottom w:val="single" w:sz="12" w:space="0" w:color="auto"/>
              <w:right w:val="nil"/>
            </w:tcBorders>
            <w:shd w:val="clear" w:color="000000" w:fill="BFBFBF" w:themeFill="background1" w:themeFillShade="BF"/>
            <w:vAlign w:val="bottom"/>
          </w:tcPr>
          <w:p w14:paraId="5EA743D9" w14:textId="77777777" w:rsidR="00CC6DF7" w:rsidRDefault="00CC6DF7">
            <w:pPr>
              <w:jc w:val="right"/>
              <w:rPr>
                <w:rFonts w:cs="Arial"/>
                <w:color w:val="000000"/>
                <w:sz w:val="22"/>
                <w:szCs w:val="22"/>
              </w:rPr>
            </w:pPr>
            <w:r>
              <w:rPr>
                <w:rFonts w:cs="Arial"/>
                <w:color w:val="000000"/>
                <w:sz w:val="22"/>
                <w:szCs w:val="22"/>
              </w:rPr>
              <w:t>(65,644)</w:t>
            </w:r>
          </w:p>
        </w:tc>
        <w:tc>
          <w:tcPr>
            <w:tcW w:w="1191" w:type="dxa"/>
            <w:tcBorders>
              <w:top w:val="nil"/>
              <w:left w:val="nil"/>
              <w:bottom w:val="single" w:sz="12" w:space="0" w:color="auto"/>
              <w:right w:val="nil"/>
            </w:tcBorders>
            <w:shd w:val="clear" w:color="auto" w:fill="auto"/>
            <w:vAlign w:val="bottom"/>
            <w:hideMark/>
          </w:tcPr>
          <w:p w14:paraId="5EA743DA" w14:textId="77777777" w:rsidR="00CC6DF7" w:rsidRPr="00F92B8F" w:rsidRDefault="00CC6DF7" w:rsidP="001A6917">
            <w:pPr>
              <w:jc w:val="right"/>
              <w:rPr>
                <w:rFonts w:cs="Arial"/>
                <w:color w:val="000000"/>
                <w:sz w:val="22"/>
                <w:szCs w:val="22"/>
                <w:lang w:eastAsia="en-AU"/>
              </w:rPr>
            </w:pPr>
            <w:r>
              <w:rPr>
                <w:rFonts w:cs="Arial"/>
                <w:color w:val="000000"/>
                <w:sz w:val="22"/>
                <w:szCs w:val="22"/>
              </w:rPr>
              <w:t>(63,567)</w:t>
            </w:r>
          </w:p>
        </w:tc>
      </w:tr>
    </w:tbl>
    <w:p w14:paraId="5F217843" w14:textId="77777777" w:rsidR="00CC6DF7" w:rsidRDefault="00CC6DF7"/>
    <w:tbl>
      <w:tblPr>
        <w:tblW w:w="8236" w:type="dxa"/>
        <w:tblInd w:w="108" w:type="dxa"/>
        <w:tblLook w:val="04A0" w:firstRow="1" w:lastRow="0" w:firstColumn="1" w:lastColumn="0" w:noHBand="0" w:noVBand="1"/>
      </w:tblPr>
      <w:tblGrid>
        <w:gridCol w:w="5567"/>
        <w:gridCol w:w="1478"/>
        <w:gridCol w:w="1191"/>
      </w:tblGrid>
      <w:tr w:rsidR="00CC6DF7" w:rsidRPr="00F92B8F" w14:paraId="5EA743E0" w14:textId="77777777" w:rsidTr="00374C7E">
        <w:trPr>
          <w:trHeight w:val="316"/>
          <w:tblHeader/>
        </w:trPr>
        <w:tc>
          <w:tcPr>
            <w:tcW w:w="5567" w:type="dxa"/>
            <w:tcBorders>
              <w:top w:val="nil"/>
              <w:left w:val="nil"/>
              <w:bottom w:val="nil"/>
              <w:right w:val="nil"/>
            </w:tcBorders>
            <w:shd w:val="clear" w:color="auto" w:fill="auto"/>
            <w:vAlign w:val="bottom"/>
            <w:hideMark/>
          </w:tcPr>
          <w:p w14:paraId="5EA743DC" w14:textId="77777777" w:rsidR="00CC6DF7" w:rsidRPr="00F92B8F" w:rsidRDefault="00CC6DF7" w:rsidP="00F92B8F">
            <w:pPr>
              <w:rPr>
                <w:rFonts w:cs="Arial"/>
                <w:b/>
                <w:bCs/>
                <w:color w:val="000000"/>
                <w:sz w:val="22"/>
                <w:szCs w:val="22"/>
                <w:lang w:eastAsia="en-AU"/>
              </w:rPr>
            </w:pPr>
            <w:bookmarkStart w:id="369" w:name="Table_68"/>
            <w:bookmarkEnd w:id="369"/>
            <w:r w:rsidRPr="00F92B8F">
              <w:rPr>
                <w:rFonts w:cs="Arial"/>
                <w:b/>
                <w:bCs/>
                <w:color w:val="000000"/>
                <w:sz w:val="22"/>
                <w:szCs w:val="22"/>
                <w:lang w:eastAsia="en-AU"/>
              </w:rPr>
              <w:t>Applied to organisation and management</w:t>
            </w:r>
          </w:p>
        </w:tc>
        <w:tc>
          <w:tcPr>
            <w:tcW w:w="1478" w:type="dxa"/>
            <w:tcBorders>
              <w:top w:val="nil"/>
              <w:left w:val="nil"/>
              <w:bottom w:val="nil"/>
              <w:right w:val="nil"/>
            </w:tcBorders>
            <w:shd w:val="clear" w:color="000000" w:fill="BFBFBF" w:themeFill="background1" w:themeFillShade="BF"/>
            <w:vAlign w:val="center"/>
          </w:tcPr>
          <w:p w14:paraId="5EA743DE" w14:textId="67A868C8" w:rsidR="00CC6DF7" w:rsidRDefault="00CC6DF7">
            <w:pPr>
              <w:jc w:val="right"/>
              <w:rPr>
                <w:rFonts w:cs="Arial"/>
                <w:color w:val="000000"/>
                <w:sz w:val="22"/>
                <w:szCs w:val="22"/>
              </w:rPr>
            </w:pPr>
            <w:r w:rsidRPr="00CC6DF7">
              <w:rPr>
                <w:rFonts w:cs="Arial"/>
                <w:b/>
                <w:color w:val="000000"/>
                <w:sz w:val="22"/>
                <w:szCs w:val="22"/>
                <w:lang w:eastAsia="en-AU"/>
              </w:rPr>
              <w:t>2015</w:t>
            </w:r>
          </w:p>
        </w:tc>
        <w:tc>
          <w:tcPr>
            <w:tcW w:w="1191" w:type="dxa"/>
            <w:tcBorders>
              <w:top w:val="nil"/>
              <w:left w:val="nil"/>
              <w:bottom w:val="nil"/>
              <w:right w:val="nil"/>
            </w:tcBorders>
            <w:shd w:val="clear" w:color="auto" w:fill="auto"/>
            <w:vAlign w:val="center"/>
            <w:hideMark/>
          </w:tcPr>
          <w:p w14:paraId="5EA743DF" w14:textId="26209D32" w:rsidR="00CC6DF7" w:rsidRPr="00F92B8F" w:rsidRDefault="00CC6DF7" w:rsidP="001A6917">
            <w:pPr>
              <w:jc w:val="right"/>
              <w:rPr>
                <w:rFonts w:cs="Arial"/>
                <w:color w:val="000000"/>
                <w:sz w:val="22"/>
                <w:szCs w:val="22"/>
                <w:lang w:eastAsia="en-AU"/>
              </w:rPr>
            </w:pPr>
            <w:r w:rsidRPr="00CC6DF7">
              <w:rPr>
                <w:rFonts w:cs="Arial"/>
                <w:b/>
                <w:color w:val="000000"/>
                <w:sz w:val="22"/>
                <w:szCs w:val="22"/>
                <w:lang w:eastAsia="en-AU"/>
              </w:rPr>
              <w:t>2014</w:t>
            </w:r>
          </w:p>
        </w:tc>
      </w:tr>
      <w:tr w:rsidR="00CC6DF7" w:rsidRPr="00F92B8F" w14:paraId="5EA743E5" w14:textId="77777777" w:rsidTr="00CC6DF7">
        <w:trPr>
          <w:trHeight w:val="316"/>
        </w:trPr>
        <w:tc>
          <w:tcPr>
            <w:tcW w:w="5567" w:type="dxa"/>
            <w:tcBorders>
              <w:top w:val="nil"/>
              <w:left w:val="nil"/>
              <w:bottom w:val="nil"/>
              <w:right w:val="nil"/>
            </w:tcBorders>
            <w:shd w:val="clear" w:color="auto" w:fill="auto"/>
            <w:vAlign w:val="bottom"/>
            <w:hideMark/>
          </w:tcPr>
          <w:p w14:paraId="5EA743E1" w14:textId="77777777" w:rsidR="00CC6DF7" w:rsidRPr="00F92B8F" w:rsidRDefault="00CC6DF7" w:rsidP="00F92B8F">
            <w:pPr>
              <w:rPr>
                <w:rFonts w:cs="Arial"/>
                <w:color w:val="000000"/>
                <w:sz w:val="22"/>
                <w:szCs w:val="22"/>
                <w:lang w:eastAsia="en-AU"/>
              </w:rPr>
            </w:pPr>
            <w:r w:rsidRPr="00F92B8F">
              <w:rPr>
                <w:rFonts w:cs="Arial"/>
                <w:color w:val="000000"/>
                <w:sz w:val="22"/>
                <w:szCs w:val="22"/>
                <w:lang w:eastAsia="en-AU"/>
              </w:rPr>
              <w:t>Cost of corporate services</w:t>
            </w:r>
          </w:p>
        </w:tc>
        <w:tc>
          <w:tcPr>
            <w:tcW w:w="1478" w:type="dxa"/>
            <w:tcBorders>
              <w:top w:val="nil"/>
              <w:left w:val="nil"/>
              <w:bottom w:val="nil"/>
              <w:right w:val="nil"/>
            </w:tcBorders>
            <w:shd w:val="clear" w:color="000000" w:fill="BFBFBF" w:themeFill="background1" w:themeFillShade="BF"/>
            <w:vAlign w:val="bottom"/>
          </w:tcPr>
          <w:p w14:paraId="5EA743E3" w14:textId="77777777" w:rsidR="00CC6DF7" w:rsidRDefault="00CC6DF7">
            <w:pPr>
              <w:jc w:val="right"/>
              <w:rPr>
                <w:rFonts w:cs="Arial"/>
                <w:color w:val="000000"/>
                <w:sz w:val="22"/>
                <w:szCs w:val="22"/>
              </w:rPr>
            </w:pPr>
            <w:r>
              <w:rPr>
                <w:rFonts w:cs="Arial"/>
                <w:color w:val="000000"/>
                <w:sz w:val="22"/>
                <w:szCs w:val="22"/>
              </w:rPr>
              <w:t>(7,196)</w:t>
            </w:r>
          </w:p>
        </w:tc>
        <w:tc>
          <w:tcPr>
            <w:tcW w:w="1191" w:type="dxa"/>
            <w:tcBorders>
              <w:top w:val="nil"/>
              <w:left w:val="nil"/>
              <w:bottom w:val="nil"/>
              <w:right w:val="nil"/>
            </w:tcBorders>
            <w:shd w:val="clear" w:color="auto" w:fill="auto"/>
            <w:vAlign w:val="bottom"/>
            <w:hideMark/>
          </w:tcPr>
          <w:p w14:paraId="5EA743E4" w14:textId="77777777" w:rsidR="00CC6DF7" w:rsidRPr="00F92B8F" w:rsidRDefault="00CC6DF7" w:rsidP="001A6917">
            <w:pPr>
              <w:jc w:val="right"/>
              <w:rPr>
                <w:rFonts w:cs="Arial"/>
                <w:color w:val="000000"/>
                <w:sz w:val="22"/>
                <w:szCs w:val="22"/>
                <w:lang w:eastAsia="en-AU"/>
              </w:rPr>
            </w:pPr>
            <w:r>
              <w:rPr>
                <w:rFonts w:cs="Arial"/>
                <w:color w:val="000000"/>
                <w:sz w:val="22"/>
                <w:szCs w:val="22"/>
              </w:rPr>
              <w:t>(6,830)</w:t>
            </w:r>
          </w:p>
        </w:tc>
      </w:tr>
      <w:tr w:rsidR="00CC6DF7" w:rsidRPr="00F92B8F" w14:paraId="5EA743EA" w14:textId="77777777" w:rsidTr="00CC6DF7">
        <w:trPr>
          <w:trHeight w:val="316"/>
        </w:trPr>
        <w:tc>
          <w:tcPr>
            <w:tcW w:w="5567" w:type="dxa"/>
            <w:tcBorders>
              <w:top w:val="nil"/>
              <w:left w:val="nil"/>
              <w:bottom w:val="nil"/>
              <w:right w:val="nil"/>
            </w:tcBorders>
            <w:shd w:val="clear" w:color="auto" w:fill="auto"/>
            <w:vAlign w:val="bottom"/>
            <w:hideMark/>
          </w:tcPr>
          <w:p w14:paraId="5EA743E6" w14:textId="77777777" w:rsidR="00CC6DF7" w:rsidRPr="00F92B8F" w:rsidRDefault="00CC6DF7" w:rsidP="00F92B8F">
            <w:pPr>
              <w:rPr>
                <w:rFonts w:cs="Arial"/>
                <w:color w:val="000000"/>
                <w:sz w:val="22"/>
                <w:szCs w:val="22"/>
                <w:lang w:eastAsia="en-AU"/>
              </w:rPr>
            </w:pPr>
            <w:r w:rsidRPr="00F92B8F">
              <w:rPr>
                <w:rFonts w:cs="Arial"/>
                <w:color w:val="000000"/>
                <w:sz w:val="22"/>
                <w:szCs w:val="22"/>
                <w:lang w:eastAsia="en-AU"/>
              </w:rPr>
              <w:t>Cost of marketing services</w:t>
            </w:r>
          </w:p>
        </w:tc>
        <w:tc>
          <w:tcPr>
            <w:tcW w:w="1478" w:type="dxa"/>
            <w:tcBorders>
              <w:top w:val="nil"/>
              <w:left w:val="nil"/>
              <w:bottom w:val="nil"/>
              <w:right w:val="nil"/>
            </w:tcBorders>
            <w:shd w:val="clear" w:color="000000" w:fill="BFBFBF" w:themeFill="background1" w:themeFillShade="BF"/>
            <w:vAlign w:val="bottom"/>
          </w:tcPr>
          <w:p w14:paraId="5EA743E8" w14:textId="77777777" w:rsidR="00CC6DF7" w:rsidRDefault="00CC6DF7">
            <w:pPr>
              <w:jc w:val="right"/>
              <w:rPr>
                <w:rFonts w:cs="Arial"/>
                <w:color w:val="000000"/>
                <w:sz w:val="22"/>
                <w:szCs w:val="22"/>
              </w:rPr>
            </w:pPr>
            <w:r>
              <w:rPr>
                <w:rFonts w:cs="Arial"/>
                <w:color w:val="000000"/>
                <w:sz w:val="22"/>
                <w:szCs w:val="22"/>
              </w:rPr>
              <w:t>(1,609)</w:t>
            </w:r>
          </w:p>
        </w:tc>
        <w:tc>
          <w:tcPr>
            <w:tcW w:w="1191" w:type="dxa"/>
            <w:tcBorders>
              <w:top w:val="nil"/>
              <w:left w:val="nil"/>
              <w:bottom w:val="nil"/>
              <w:right w:val="nil"/>
            </w:tcBorders>
            <w:shd w:val="clear" w:color="auto" w:fill="auto"/>
            <w:vAlign w:val="bottom"/>
            <w:hideMark/>
          </w:tcPr>
          <w:p w14:paraId="5EA743E9" w14:textId="77777777" w:rsidR="00CC6DF7" w:rsidRPr="00F92B8F" w:rsidRDefault="00CC6DF7" w:rsidP="001A6917">
            <w:pPr>
              <w:jc w:val="right"/>
              <w:rPr>
                <w:rFonts w:cs="Arial"/>
                <w:color w:val="000000"/>
                <w:sz w:val="22"/>
                <w:szCs w:val="22"/>
                <w:lang w:eastAsia="en-AU"/>
              </w:rPr>
            </w:pPr>
            <w:r>
              <w:rPr>
                <w:rFonts w:cs="Arial"/>
                <w:color w:val="000000"/>
                <w:sz w:val="22"/>
                <w:szCs w:val="22"/>
              </w:rPr>
              <w:t>(1,087)</w:t>
            </w:r>
          </w:p>
        </w:tc>
      </w:tr>
      <w:tr w:rsidR="00CC6DF7" w:rsidRPr="00F92B8F" w14:paraId="5EA743EF" w14:textId="77777777" w:rsidTr="00CC6DF7">
        <w:trPr>
          <w:trHeight w:val="316"/>
        </w:trPr>
        <w:tc>
          <w:tcPr>
            <w:tcW w:w="5567" w:type="dxa"/>
            <w:tcBorders>
              <w:top w:val="nil"/>
              <w:left w:val="nil"/>
              <w:bottom w:val="nil"/>
              <w:right w:val="nil"/>
            </w:tcBorders>
            <w:shd w:val="clear" w:color="auto" w:fill="auto"/>
            <w:vAlign w:val="bottom"/>
            <w:hideMark/>
          </w:tcPr>
          <w:p w14:paraId="5EA743EB" w14:textId="77777777" w:rsidR="00CC6DF7" w:rsidRPr="00F92B8F" w:rsidRDefault="00CC6DF7" w:rsidP="00F92B8F">
            <w:pPr>
              <w:rPr>
                <w:rFonts w:cs="Arial"/>
                <w:color w:val="000000"/>
                <w:sz w:val="22"/>
                <w:szCs w:val="22"/>
                <w:lang w:eastAsia="en-AU"/>
              </w:rPr>
            </w:pPr>
            <w:r w:rsidRPr="00F92B8F">
              <w:rPr>
                <w:rFonts w:cs="Arial"/>
                <w:color w:val="000000"/>
                <w:sz w:val="22"/>
                <w:szCs w:val="22"/>
                <w:lang w:eastAsia="en-AU"/>
              </w:rPr>
              <w:t>Restructure redundancy costs</w:t>
            </w:r>
          </w:p>
        </w:tc>
        <w:tc>
          <w:tcPr>
            <w:tcW w:w="1478" w:type="dxa"/>
            <w:tcBorders>
              <w:top w:val="nil"/>
              <w:left w:val="nil"/>
              <w:bottom w:val="nil"/>
              <w:right w:val="nil"/>
            </w:tcBorders>
            <w:shd w:val="clear" w:color="000000" w:fill="BFBFBF" w:themeFill="background1" w:themeFillShade="BF"/>
            <w:vAlign w:val="bottom"/>
          </w:tcPr>
          <w:p w14:paraId="5EA743ED" w14:textId="77777777" w:rsidR="00CC6DF7" w:rsidRDefault="00CC6DF7">
            <w:pPr>
              <w:jc w:val="right"/>
              <w:rPr>
                <w:rFonts w:cs="Arial"/>
                <w:color w:val="000000"/>
                <w:sz w:val="22"/>
                <w:szCs w:val="22"/>
              </w:rPr>
            </w:pPr>
            <w:r>
              <w:rPr>
                <w:rFonts w:cs="Arial"/>
                <w:color w:val="000000"/>
                <w:sz w:val="22"/>
                <w:szCs w:val="22"/>
              </w:rPr>
              <w:t>(1,789)</w:t>
            </w:r>
          </w:p>
        </w:tc>
        <w:tc>
          <w:tcPr>
            <w:tcW w:w="1191" w:type="dxa"/>
            <w:tcBorders>
              <w:top w:val="nil"/>
              <w:left w:val="nil"/>
              <w:bottom w:val="nil"/>
              <w:right w:val="nil"/>
            </w:tcBorders>
            <w:shd w:val="clear" w:color="auto" w:fill="auto"/>
            <w:vAlign w:val="bottom"/>
            <w:hideMark/>
          </w:tcPr>
          <w:p w14:paraId="5EA743EE" w14:textId="77777777" w:rsidR="00CC6DF7" w:rsidRPr="00F92B8F" w:rsidRDefault="00CC6DF7" w:rsidP="001A6917">
            <w:pPr>
              <w:jc w:val="right"/>
              <w:rPr>
                <w:rFonts w:cs="Arial"/>
                <w:color w:val="000000"/>
                <w:sz w:val="22"/>
                <w:szCs w:val="22"/>
                <w:lang w:eastAsia="en-AU"/>
              </w:rPr>
            </w:pPr>
            <w:r>
              <w:rPr>
                <w:rFonts w:cs="Arial"/>
                <w:color w:val="000000"/>
                <w:sz w:val="22"/>
                <w:szCs w:val="22"/>
              </w:rPr>
              <w:t>(1,805)</w:t>
            </w:r>
          </w:p>
        </w:tc>
      </w:tr>
      <w:tr w:rsidR="00CC6DF7" w:rsidRPr="00F92B8F" w14:paraId="5EA743F4" w14:textId="77777777" w:rsidTr="00CC6DF7">
        <w:trPr>
          <w:trHeight w:val="316"/>
        </w:trPr>
        <w:tc>
          <w:tcPr>
            <w:tcW w:w="5567" w:type="dxa"/>
            <w:tcBorders>
              <w:top w:val="nil"/>
              <w:left w:val="nil"/>
              <w:bottom w:val="nil"/>
              <w:right w:val="nil"/>
            </w:tcBorders>
            <w:shd w:val="clear" w:color="auto" w:fill="auto"/>
            <w:vAlign w:val="bottom"/>
            <w:hideMark/>
          </w:tcPr>
          <w:p w14:paraId="5EA743F0" w14:textId="77777777" w:rsidR="00CC6DF7" w:rsidRPr="00F92B8F" w:rsidRDefault="00CC6DF7" w:rsidP="00F92B8F">
            <w:pPr>
              <w:rPr>
                <w:rFonts w:cs="Arial"/>
                <w:color w:val="000000"/>
                <w:sz w:val="22"/>
                <w:szCs w:val="22"/>
                <w:lang w:eastAsia="en-AU"/>
              </w:rPr>
            </w:pPr>
            <w:r w:rsidRPr="00F92B8F">
              <w:rPr>
                <w:rFonts w:cs="Arial"/>
                <w:color w:val="000000"/>
                <w:sz w:val="22"/>
                <w:szCs w:val="22"/>
                <w:lang w:eastAsia="en-AU"/>
              </w:rPr>
              <w:t>Impairment of available for sale investments</w:t>
            </w:r>
          </w:p>
        </w:tc>
        <w:tc>
          <w:tcPr>
            <w:tcW w:w="1478" w:type="dxa"/>
            <w:tcBorders>
              <w:top w:val="nil"/>
              <w:left w:val="nil"/>
              <w:bottom w:val="nil"/>
              <w:right w:val="nil"/>
            </w:tcBorders>
            <w:shd w:val="clear" w:color="000000" w:fill="BFBFBF" w:themeFill="background1" w:themeFillShade="BF"/>
            <w:vAlign w:val="bottom"/>
          </w:tcPr>
          <w:p w14:paraId="5EA743F2" w14:textId="77777777" w:rsidR="00CC6DF7" w:rsidRDefault="00CC6DF7">
            <w:pPr>
              <w:jc w:val="right"/>
              <w:rPr>
                <w:rFonts w:cs="Arial"/>
                <w:color w:val="000000"/>
                <w:sz w:val="22"/>
                <w:szCs w:val="22"/>
              </w:rPr>
            </w:pPr>
            <w:r>
              <w:rPr>
                <w:rFonts w:cs="Arial"/>
                <w:color w:val="000000"/>
                <w:sz w:val="22"/>
                <w:szCs w:val="22"/>
              </w:rPr>
              <w:t>(244)</w:t>
            </w:r>
          </w:p>
        </w:tc>
        <w:tc>
          <w:tcPr>
            <w:tcW w:w="1191" w:type="dxa"/>
            <w:tcBorders>
              <w:top w:val="nil"/>
              <w:left w:val="nil"/>
              <w:bottom w:val="nil"/>
              <w:right w:val="nil"/>
            </w:tcBorders>
            <w:shd w:val="clear" w:color="auto" w:fill="auto"/>
            <w:vAlign w:val="bottom"/>
            <w:hideMark/>
          </w:tcPr>
          <w:p w14:paraId="5EA743F3" w14:textId="77777777" w:rsidR="00CC6DF7" w:rsidRPr="00F92B8F" w:rsidRDefault="00CC6DF7" w:rsidP="001A6917">
            <w:pPr>
              <w:jc w:val="right"/>
              <w:rPr>
                <w:rFonts w:cs="Arial"/>
                <w:color w:val="000000"/>
                <w:sz w:val="22"/>
                <w:szCs w:val="22"/>
                <w:lang w:eastAsia="en-AU"/>
              </w:rPr>
            </w:pPr>
            <w:r>
              <w:rPr>
                <w:rFonts w:cs="Arial"/>
                <w:color w:val="000000"/>
                <w:sz w:val="22"/>
                <w:szCs w:val="22"/>
              </w:rPr>
              <w:t>(445)</w:t>
            </w:r>
          </w:p>
        </w:tc>
      </w:tr>
      <w:tr w:rsidR="00CC6DF7" w:rsidRPr="00F92B8F" w14:paraId="5EA743F9" w14:textId="77777777" w:rsidTr="00CC6DF7">
        <w:trPr>
          <w:trHeight w:val="316"/>
        </w:trPr>
        <w:tc>
          <w:tcPr>
            <w:tcW w:w="5567" w:type="dxa"/>
            <w:tcBorders>
              <w:top w:val="nil"/>
              <w:left w:val="nil"/>
              <w:bottom w:val="nil"/>
              <w:right w:val="nil"/>
            </w:tcBorders>
            <w:shd w:val="clear" w:color="auto" w:fill="auto"/>
            <w:vAlign w:val="bottom"/>
            <w:hideMark/>
          </w:tcPr>
          <w:p w14:paraId="5EA743F5" w14:textId="77777777" w:rsidR="00CC6DF7" w:rsidRPr="00F92B8F" w:rsidRDefault="00CC6DF7" w:rsidP="00F92B8F">
            <w:pPr>
              <w:rPr>
                <w:rFonts w:cs="Arial"/>
                <w:color w:val="000000"/>
                <w:sz w:val="22"/>
                <w:szCs w:val="22"/>
                <w:lang w:eastAsia="en-AU"/>
              </w:rPr>
            </w:pPr>
            <w:r w:rsidRPr="00F92B8F">
              <w:rPr>
                <w:rFonts w:cs="Arial"/>
                <w:color w:val="000000"/>
                <w:sz w:val="22"/>
                <w:szCs w:val="22"/>
                <w:lang w:eastAsia="en-AU"/>
              </w:rPr>
              <w:t xml:space="preserve">Impairment on non-current assets  </w:t>
            </w:r>
          </w:p>
        </w:tc>
        <w:tc>
          <w:tcPr>
            <w:tcW w:w="1478" w:type="dxa"/>
            <w:tcBorders>
              <w:top w:val="nil"/>
              <w:left w:val="nil"/>
              <w:bottom w:val="nil"/>
              <w:right w:val="nil"/>
            </w:tcBorders>
            <w:shd w:val="clear" w:color="000000" w:fill="BFBFBF" w:themeFill="background1" w:themeFillShade="BF"/>
            <w:vAlign w:val="bottom"/>
          </w:tcPr>
          <w:p w14:paraId="5EA743F7" w14:textId="77777777" w:rsidR="00CC6DF7" w:rsidRDefault="00CC6DF7">
            <w:pPr>
              <w:jc w:val="right"/>
              <w:rPr>
                <w:rFonts w:cs="Arial"/>
                <w:color w:val="000000"/>
                <w:sz w:val="22"/>
                <w:szCs w:val="22"/>
              </w:rPr>
            </w:pPr>
            <w:r>
              <w:rPr>
                <w:rFonts w:cs="Arial"/>
                <w:color w:val="000000"/>
                <w:sz w:val="22"/>
                <w:szCs w:val="22"/>
              </w:rPr>
              <w:t>(453)</w:t>
            </w:r>
          </w:p>
        </w:tc>
        <w:tc>
          <w:tcPr>
            <w:tcW w:w="1191" w:type="dxa"/>
            <w:tcBorders>
              <w:top w:val="nil"/>
              <w:left w:val="nil"/>
              <w:bottom w:val="nil"/>
              <w:right w:val="nil"/>
            </w:tcBorders>
            <w:shd w:val="clear" w:color="auto" w:fill="auto"/>
            <w:vAlign w:val="bottom"/>
            <w:hideMark/>
          </w:tcPr>
          <w:p w14:paraId="5EA743F8" w14:textId="77777777" w:rsidR="00CC6DF7" w:rsidRPr="00F92B8F" w:rsidRDefault="00CC6DF7" w:rsidP="001A6917">
            <w:pPr>
              <w:jc w:val="right"/>
              <w:rPr>
                <w:rFonts w:cs="Arial"/>
                <w:color w:val="000000"/>
                <w:sz w:val="22"/>
                <w:szCs w:val="22"/>
                <w:lang w:eastAsia="en-AU"/>
              </w:rPr>
            </w:pPr>
            <w:r>
              <w:rPr>
                <w:rFonts w:cs="Arial"/>
                <w:color w:val="000000"/>
                <w:sz w:val="22"/>
                <w:szCs w:val="22"/>
              </w:rPr>
              <w:t>226</w:t>
            </w:r>
          </w:p>
        </w:tc>
      </w:tr>
      <w:tr w:rsidR="00CC6DF7" w:rsidRPr="00F92B8F" w14:paraId="5EA743FE" w14:textId="77777777" w:rsidTr="00CC6DF7">
        <w:trPr>
          <w:trHeight w:val="316"/>
        </w:trPr>
        <w:tc>
          <w:tcPr>
            <w:tcW w:w="5567" w:type="dxa"/>
            <w:tcBorders>
              <w:top w:val="nil"/>
              <w:left w:val="nil"/>
              <w:bottom w:val="nil"/>
              <w:right w:val="nil"/>
            </w:tcBorders>
            <w:shd w:val="clear" w:color="auto" w:fill="auto"/>
            <w:vAlign w:val="bottom"/>
            <w:hideMark/>
          </w:tcPr>
          <w:p w14:paraId="5EA743FA" w14:textId="1C27DEFF" w:rsidR="00CC6DF7" w:rsidRPr="00F92B8F" w:rsidRDefault="00CC6DF7" w:rsidP="00F92B8F">
            <w:pPr>
              <w:rPr>
                <w:rFonts w:cs="Arial"/>
                <w:color w:val="000000"/>
                <w:sz w:val="22"/>
                <w:szCs w:val="22"/>
                <w:lang w:eastAsia="en-AU"/>
              </w:rPr>
            </w:pPr>
            <w:r>
              <w:rPr>
                <w:rFonts w:cs="Arial"/>
                <w:color w:val="000000"/>
                <w:sz w:val="22"/>
                <w:szCs w:val="22"/>
                <w:lang w:eastAsia="en-AU"/>
              </w:rPr>
              <w:t>Total applied to organisation and management</w:t>
            </w:r>
          </w:p>
        </w:tc>
        <w:tc>
          <w:tcPr>
            <w:tcW w:w="1478" w:type="dxa"/>
            <w:tcBorders>
              <w:top w:val="single" w:sz="12" w:space="0" w:color="auto"/>
              <w:left w:val="nil"/>
              <w:bottom w:val="single" w:sz="12" w:space="0" w:color="auto"/>
              <w:right w:val="nil"/>
            </w:tcBorders>
            <w:shd w:val="clear" w:color="000000" w:fill="BFBFBF" w:themeFill="background1" w:themeFillShade="BF"/>
            <w:vAlign w:val="bottom"/>
          </w:tcPr>
          <w:p w14:paraId="5EA743FC" w14:textId="77777777" w:rsidR="00CC6DF7" w:rsidRDefault="00CC6DF7">
            <w:pPr>
              <w:jc w:val="right"/>
              <w:rPr>
                <w:rFonts w:cs="Arial"/>
                <w:color w:val="000000"/>
                <w:sz w:val="22"/>
                <w:szCs w:val="22"/>
              </w:rPr>
            </w:pPr>
            <w:r>
              <w:rPr>
                <w:rFonts w:cs="Arial"/>
                <w:color w:val="000000"/>
                <w:sz w:val="22"/>
                <w:szCs w:val="22"/>
              </w:rPr>
              <w:t>(11,291)</w:t>
            </w:r>
          </w:p>
        </w:tc>
        <w:tc>
          <w:tcPr>
            <w:tcW w:w="1191" w:type="dxa"/>
            <w:tcBorders>
              <w:top w:val="single" w:sz="12" w:space="0" w:color="auto"/>
              <w:left w:val="nil"/>
              <w:bottom w:val="single" w:sz="12" w:space="0" w:color="auto"/>
              <w:right w:val="nil"/>
            </w:tcBorders>
            <w:shd w:val="clear" w:color="auto" w:fill="auto"/>
            <w:vAlign w:val="bottom"/>
            <w:hideMark/>
          </w:tcPr>
          <w:p w14:paraId="5EA743FD" w14:textId="77777777" w:rsidR="00CC6DF7" w:rsidRPr="00F92B8F" w:rsidRDefault="00CC6DF7" w:rsidP="001A6917">
            <w:pPr>
              <w:jc w:val="right"/>
              <w:rPr>
                <w:rFonts w:cs="Arial"/>
                <w:color w:val="000000"/>
                <w:sz w:val="22"/>
                <w:szCs w:val="22"/>
                <w:lang w:eastAsia="en-AU"/>
              </w:rPr>
            </w:pPr>
            <w:r>
              <w:rPr>
                <w:rFonts w:cs="Arial"/>
                <w:color w:val="000000"/>
                <w:sz w:val="22"/>
                <w:szCs w:val="22"/>
              </w:rPr>
              <w:t>(9,941)</w:t>
            </w:r>
          </w:p>
        </w:tc>
      </w:tr>
      <w:tr w:rsidR="00CC6DF7" w:rsidRPr="00F92B8F" w14:paraId="5EA74403" w14:textId="77777777" w:rsidTr="00CC6DF7">
        <w:trPr>
          <w:trHeight w:val="316"/>
        </w:trPr>
        <w:tc>
          <w:tcPr>
            <w:tcW w:w="5567" w:type="dxa"/>
            <w:tcBorders>
              <w:top w:val="nil"/>
              <w:left w:val="nil"/>
              <w:bottom w:val="nil"/>
              <w:right w:val="nil"/>
            </w:tcBorders>
            <w:shd w:val="clear" w:color="auto" w:fill="auto"/>
            <w:vAlign w:val="bottom"/>
            <w:hideMark/>
          </w:tcPr>
          <w:p w14:paraId="5EA743FF" w14:textId="77777777" w:rsidR="00CC6DF7" w:rsidRPr="00F92B8F" w:rsidRDefault="00CC6DF7" w:rsidP="00F92B8F">
            <w:pPr>
              <w:rPr>
                <w:rFonts w:cs="Arial"/>
                <w:color w:val="000000"/>
                <w:sz w:val="22"/>
                <w:szCs w:val="22"/>
                <w:lang w:eastAsia="en-AU"/>
              </w:rPr>
            </w:pPr>
            <w:r>
              <w:rPr>
                <w:rFonts w:cs="Arial"/>
                <w:color w:val="000000"/>
                <w:sz w:val="22"/>
                <w:szCs w:val="22"/>
                <w:lang w:eastAsia="en-AU"/>
              </w:rPr>
              <w:t>Net surplus</w:t>
            </w:r>
          </w:p>
        </w:tc>
        <w:tc>
          <w:tcPr>
            <w:tcW w:w="1478" w:type="dxa"/>
            <w:tcBorders>
              <w:top w:val="nil"/>
              <w:left w:val="nil"/>
              <w:bottom w:val="single" w:sz="12" w:space="0" w:color="auto"/>
              <w:right w:val="nil"/>
            </w:tcBorders>
            <w:shd w:val="clear" w:color="000000" w:fill="BFBFBF" w:themeFill="background1" w:themeFillShade="BF"/>
            <w:vAlign w:val="bottom"/>
          </w:tcPr>
          <w:p w14:paraId="5EA74401" w14:textId="77777777" w:rsidR="00CC6DF7" w:rsidRDefault="00CC6DF7">
            <w:pPr>
              <w:jc w:val="right"/>
              <w:rPr>
                <w:rFonts w:cs="Arial"/>
                <w:color w:val="000000"/>
                <w:sz w:val="22"/>
                <w:szCs w:val="22"/>
              </w:rPr>
            </w:pPr>
            <w:r>
              <w:rPr>
                <w:rFonts w:cs="Arial"/>
                <w:color w:val="000000"/>
                <w:sz w:val="22"/>
                <w:szCs w:val="22"/>
              </w:rPr>
              <w:t>10,259</w:t>
            </w:r>
          </w:p>
        </w:tc>
        <w:tc>
          <w:tcPr>
            <w:tcW w:w="1191" w:type="dxa"/>
            <w:tcBorders>
              <w:top w:val="nil"/>
              <w:left w:val="nil"/>
              <w:bottom w:val="single" w:sz="12" w:space="0" w:color="auto"/>
              <w:right w:val="nil"/>
            </w:tcBorders>
            <w:shd w:val="clear" w:color="auto" w:fill="auto"/>
            <w:vAlign w:val="bottom"/>
            <w:hideMark/>
          </w:tcPr>
          <w:p w14:paraId="5EA74402" w14:textId="77777777" w:rsidR="00CC6DF7" w:rsidRPr="00F92B8F" w:rsidRDefault="00CC6DF7" w:rsidP="001A6917">
            <w:pPr>
              <w:jc w:val="right"/>
              <w:rPr>
                <w:rFonts w:cs="Arial"/>
                <w:color w:val="000000"/>
                <w:sz w:val="22"/>
                <w:szCs w:val="22"/>
                <w:lang w:eastAsia="en-AU"/>
              </w:rPr>
            </w:pPr>
            <w:r>
              <w:rPr>
                <w:rFonts w:cs="Arial"/>
                <w:color w:val="000000"/>
                <w:sz w:val="22"/>
                <w:szCs w:val="22"/>
              </w:rPr>
              <w:t>7,513</w:t>
            </w:r>
          </w:p>
        </w:tc>
      </w:tr>
    </w:tbl>
    <w:p w14:paraId="5EA74404" w14:textId="08B78587" w:rsidR="00CC6DF7" w:rsidRDefault="00CC6DF7" w:rsidP="00534FE3">
      <w:pPr>
        <w:pStyle w:val="TextPara"/>
        <w:autoSpaceDE/>
        <w:autoSpaceDN/>
        <w:adjustRightInd/>
        <w:rPr>
          <w:rFonts w:cs="Arial"/>
          <w:sz w:val="12"/>
          <w:szCs w:val="22"/>
          <w:highlight w:val="yellow"/>
        </w:rPr>
      </w:pPr>
    </w:p>
    <w:p w14:paraId="038A4E5C" w14:textId="77777777" w:rsidR="00CC6DF7" w:rsidRDefault="00CC6DF7">
      <w:pPr>
        <w:rPr>
          <w:rFonts w:cs="Arial"/>
          <w:sz w:val="12"/>
          <w:szCs w:val="22"/>
          <w:highlight w:val="yellow"/>
        </w:rPr>
      </w:pPr>
      <w:r>
        <w:rPr>
          <w:rFonts w:cs="Arial"/>
          <w:sz w:val="12"/>
          <w:szCs w:val="22"/>
          <w:highlight w:val="yellow"/>
        </w:rPr>
        <w:br w:type="page"/>
      </w:r>
    </w:p>
    <w:p w14:paraId="747D5F22" w14:textId="77777777" w:rsidR="009D72C1" w:rsidRPr="00133BE9" w:rsidRDefault="009D72C1" w:rsidP="00534FE3">
      <w:pPr>
        <w:pStyle w:val="TextPara"/>
        <w:autoSpaceDE/>
        <w:autoSpaceDN/>
        <w:adjustRightInd/>
        <w:rPr>
          <w:rFonts w:cs="Arial"/>
          <w:sz w:val="12"/>
          <w:szCs w:val="22"/>
          <w:highlight w:val="yellow"/>
        </w:rPr>
      </w:pPr>
    </w:p>
    <w:tbl>
      <w:tblPr>
        <w:tblW w:w="8650" w:type="dxa"/>
        <w:tblInd w:w="108" w:type="dxa"/>
        <w:tblLook w:val="04A0" w:firstRow="1" w:lastRow="0" w:firstColumn="1" w:lastColumn="0" w:noHBand="0" w:noVBand="1"/>
      </w:tblPr>
      <w:tblGrid>
        <w:gridCol w:w="3438"/>
        <w:gridCol w:w="1379"/>
        <w:gridCol w:w="1227"/>
        <w:gridCol w:w="1379"/>
        <w:gridCol w:w="1227"/>
      </w:tblGrid>
      <w:tr w:rsidR="00CC6DF7" w:rsidRPr="00133BE9" w14:paraId="5EA74418" w14:textId="77777777" w:rsidTr="00374C7E">
        <w:trPr>
          <w:trHeight w:val="315"/>
          <w:tblHeader/>
        </w:trPr>
        <w:tc>
          <w:tcPr>
            <w:tcW w:w="3438" w:type="dxa"/>
            <w:tcBorders>
              <w:top w:val="nil"/>
              <w:left w:val="nil"/>
              <w:bottom w:val="nil"/>
              <w:right w:val="nil"/>
            </w:tcBorders>
            <w:shd w:val="clear" w:color="auto" w:fill="auto"/>
            <w:vAlign w:val="center"/>
            <w:hideMark/>
          </w:tcPr>
          <w:p w14:paraId="5EA74412" w14:textId="1E7E591F" w:rsidR="00CC6DF7" w:rsidRPr="00133BE9" w:rsidRDefault="00CC6DF7" w:rsidP="00723887">
            <w:pPr>
              <w:rPr>
                <w:rFonts w:cs="Arial"/>
                <w:color w:val="000000"/>
                <w:sz w:val="22"/>
                <w:szCs w:val="22"/>
                <w:lang w:eastAsia="en-AU"/>
              </w:rPr>
            </w:pPr>
            <w:bookmarkStart w:id="370" w:name="Table_69"/>
            <w:bookmarkEnd w:id="370"/>
          </w:p>
        </w:tc>
        <w:tc>
          <w:tcPr>
            <w:tcW w:w="1379" w:type="dxa"/>
            <w:tcBorders>
              <w:top w:val="single" w:sz="12" w:space="0" w:color="auto"/>
              <w:left w:val="nil"/>
              <w:right w:val="nil"/>
            </w:tcBorders>
            <w:shd w:val="clear" w:color="auto" w:fill="BFBFBF" w:themeFill="background1" w:themeFillShade="BF"/>
            <w:vAlign w:val="center"/>
            <w:hideMark/>
          </w:tcPr>
          <w:p w14:paraId="5EA74414" w14:textId="179FDC78" w:rsidR="00CC6DF7" w:rsidRPr="00133BE9" w:rsidRDefault="00CC6DF7" w:rsidP="0016002F">
            <w:pPr>
              <w:jc w:val="center"/>
              <w:rPr>
                <w:rFonts w:cs="Arial"/>
                <w:bCs/>
                <w:color w:val="000000"/>
                <w:sz w:val="22"/>
                <w:szCs w:val="22"/>
                <w:lang w:eastAsia="en-AU"/>
              </w:rPr>
            </w:pPr>
            <w:r w:rsidRPr="00133BE9">
              <w:rPr>
                <w:rFonts w:cs="Arial"/>
                <w:bCs/>
                <w:color w:val="000000"/>
                <w:sz w:val="22"/>
                <w:szCs w:val="22"/>
                <w:lang w:eastAsia="en-AU"/>
              </w:rPr>
              <w:t>2015</w:t>
            </w:r>
            <w:r>
              <w:rPr>
                <w:rFonts w:cs="Arial"/>
                <w:bCs/>
                <w:color w:val="000000"/>
                <w:sz w:val="22"/>
                <w:szCs w:val="22"/>
                <w:lang w:eastAsia="en-AU"/>
              </w:rPr>
              <w:t xml:space="preserve"> (</w:t>
            </w:r>
            <w:r w:rsidRPr="00723887">
              <w:rPr>
                <w:rFonts w:cs="Arial"/>
                <w:color w:val="000000"/>
                <w:sz w:val="22"/>
                <w:szCs w:val="22"/>
                <w:lang w:eastAsia="en-AU"/>
              </w:rPr>
              <w:t>$’000</w:t>
            </w:r>
            <w:r>
              <w:rPr>
                <w:rFonts w:cs="Arial"/>
                <w:color w:val="000000"/>
                <w:sz w:val="22"/>
                <w:szCs w:val="22"/>
                <w:lang w:eastAsia="en-AU"/>
              </w:rPr>
              <w:t>)</w:t>
            </w:r>
          </w:p>
        </w:tc>
        <w:tc>
          <w:tcPr>
            <w:tcW w:w="1227" w:type="dxa"/>
            <w:tcBorders>
              <w:top w:val="single" w:sz="12" w:space="0" w:color="auto"/>
              <w:left w:val="nil"/>
              <w:right w:val="nil"/>
            </w:tcBorders>
            <w:shd w:val="clear" w:color="auto" w:fill="BFBFBF" w:themeFill="background1" w:themeFillShade="BF"/>
            <w:vAlign w:val="center"/>
            <w:hideMark/>
          </w:tcPr>
          <w:p w14:paraId="5EA74415" w14:textId="6AD9990B" w:rsidR="00CC6DF7" w:rsidRPr="00133BE9" w:rsidRDefault="00CC6DF7" w:rsidP="0016002F">
            <w:pPr>
              <w:jc w:val="center"/>
              <w:rPr>
                <w:rFonts w:cs="Arial"/>
                <w:bCs/>
                <w:color w:val="000000"/>
                <w:sz w:val="22"/>
                <w:szCs w:val="22"/>
                <w:lang w:eastAsia="en-AU"/>
              </w:rPr>
            </w:pPr>
            <w:r w:rsidRPr="00133BE9">
              <w:rPr>
                <w:rFonts w:cs="Arial"/>
                <w:bCs/>
                <w:color w:val="000000"/>
                <w:sz w:val="22"/>
                <w:szCs w:val="22"/>
                <w:lang w:eastAsia="en-AU"/>
              </w:rPr>
              <w:t>2015</w:t>
            </w:r>
            <w:r>
              <w:rPr>
                <w:rFonts w:cs="Arial"/>
                <w:bCs/>
                <w:color w:val="000000"/>
                <w:sz w:val="22"/>
                <w:szCs w:val="22"/>
                <w:lang w:eastAsia="en-AU"/>
              </w:rPr>
              <w:t xml:space="preserve"> (%)</w:t>
            </w:r>
          </w:p>
        </w:tc>
        <w:tc>
          <w:tcPr>
            <w:tcW w:w="1379" w:type="dxa"/>
            <w:tcBorders>
              <w:top w:val="nil"/>
              <w:left w:val="nil"/>
              <w:right w:val="nil"/>
            </w:tcBorders>
            <w:shd w:val="clear" w:color="auto" w:fill="auto"/>
            <w:vAlign w:val="center"/>
            <w:hideMark/>
          </w:tcPr>
          <w:p w14:paraId="5EA74416" w14:textId="0D6379F2" w:rsidR="00CC6DF7" w:rsidRPr="00133BE9" w:rsidRDefault="00CC6DF7" w:rsidP="001A6917">
            <w:pPr>
              <w:jc w:val="center"/>
              <w:rPr>
                <w:rFonts w:cs="Arial"/>
                <w:bCs/>
                <w:color w:val="000000"/>
                <w:sz w:val="22"/>
                <w:szCs w:val="22"/>
                <w:lang w:eastAsia="en-AU"/>
              </w:rPr>
            </w:pPr>
            <w:r w:rsidRPr="00133BE9">
              <w:rPr>
                <w:rFonts w:cs="Arial"/>
                <w:bCs/>
                <w:color w:val="000000"/>
                <w:sz w:val="22"/>
                <w:szCs w:val="22"/>
                <w:lang w:eastAsia="en-AU"/>
              </w:rPr>
              <w:t>2014</w:t>
            </w:r>
            <w:r>
              <w:rPr>
                <w:rFonts w:cs="Arial"/>
                <w:bCs/>
                <w:color w:val="000000"/>
                <w:sz w:val="22"/>
                <w:szCs w:val="22"/>
                <w:lang w:eastAsia="en-AU"/>
              </w:rPr>
              <w:t xml:space="preserve"> (</w:t>
            </w:r>
            <w:r w:rsidRPr="00723887">
              <w:rPr>
                <w:rFonts w:cs="Arial"/>
                <w:color w:val="000000"/>
                <w:sz w:val="22"/>
                <w:szCs w:val="22"/>
                <w:lang w:eastAsia="en-AU"/>
              </w:rPr>
              <w:t>$’000</w:t>
            </w:r>
            <w:r>
              <w:rPr>
                <w:rFonts w:cs="Arial"/>
                <w:color w:val="000000"/>
                <w:sz w:val="22"/>
                <w:szCs w:val="22"/>
                <w:lang w:eastAsia="en-AU"/>
              </w:rPr>
              <w:t>)</w:t>
            </w:r>
          </w:p>
        </w:tc>
        <w:tc>
          <w:tcPr>
            <w:tcW w:w="1227" w:type="dxa"/>
            <w:tcBorders>
              <w:top w:val="nil"/>
              <w:left w:val="nil"/>
              <w:right w:val="nil"/>
            </w:tcBorders>
            <w:shd w:val="clear" w:color="auto" w:fill="auto"/>
            <w:vAlign w:val="center"/>
            <w:hideMark/>
          </w:tcPr>
          <w:p w14:paraId="5EA74417" w14:textId="3C49DE3B" w:rsidR="00CC6DF7" w:rsidRPr="00133BE9" w:rsidRDefault="00CC6DF7" w:rsidP="001A6917">
            <w:pPr>
              <w:jc w:val="center"/>
              <w:rPr>
                <w:rFonts w:cs="Arial"/>
                <w:bCs/>
                <w:color w:val="000000"/>
                <w:sz w:val="22"/>
                <w:szCs w:val="22"/>
                <w:lang w:eastAsia="en-AU"/>
              </w:rPr>
            </w:pPr>
            <w:r w:rsidRPr="00133BE9">
              <w:rPr>
                <w:rFonts w:cs="Arial"/>
                <w:bCs/>
                <w:color w:val="000000"/>
                <w:sz w:val="22"/>
                <w:szCs w:val="22"/>
                <w:lang w:eastAsia="en-AU"/>
              </w:rPr>
              <w:t>2014</w:t>
            </w:r>
            <w:r>
              <w:rPr>
                <w:rFonts w:cs="Arial"/>
                <w:bCs/>
                <w:color w:val="000000"/>
                <w:sz w:val="22"/>
                <w:szCs w:val="22"/>
                <w:lang w:eastAsia="en-AU"/>
              </w:rPr>
              <w:t xml:space="preserve"> (%)</w:t>
            </w:r>
          </w:p>
        </w:tc>
      </w:tr>
      <w:tr w:rsidR="00CC6DF7" w:rsidRPr="00723887" w14:paraId="2797A0EB" w14:textId="77777777" w:rsidTr="00CC6DF7">
        <w:trPr>
          <w:trHeight w:val="889"/>
        </w:trPr>
        <w:tc>
          <w:tcPr>
            <w:tcW w:w="3438" w:type="dxa"/>
            <w:tcBorders>
              <w:top w:val="nil"/>
              <w:left w:val="nil"/>
              <w:bottom w:val="nil"/>
              <w:right w:val="nil"/>
            </w:tcBorders>
            <w:shd w:val="clear" w:color="auto" w:fill="auto"/>
            <w:vAlign w:val="center"/>
          </w:tcPr>
          <w:p w14:paraId="2938C114" w14:textId="702DCF3A" w:rsidR="00CC6DF7" w:rsidRPr="00723887" w:rsidRDefault="00CC6DF7" w:rsidP="00723887">
            <w:pPr>
              <w:rPr>
                <w:rFonts w:cs="Arial"/>
                <w:color w:val="000000"/>
                <w:sz w:val="22"/>
                <w:szCs w:val="22"/>
                <w:lang w:eastAsia="en-AU"/>
              </w:rPr>
            </w:pPr>
            <w:r w:rsidRPr="00723887">
              <w:rPr>
                <w:rFonts w:cs="Arial"/>
                <w:color w:val="000000"/>
                <w:sz w:val="22"/>
                <w:szCs w:val="22"/>
                <w:lang w:eastAsia="en-AU"/>
              </w:rPr>
              <w:t>Total cost of fundraising</w:t>
            </w:r>
            <w:r>
              <w:rPr>
                <w:rFonts w:cs="Arial"/>
                <w:color w:val="000000"/>
                <w:sz w:val="22"/>
                <w:szCs w:val="22"/>
                <w:lang w:eastAsia="en-AU"/>
              </w:rPr>
              <w:t xml:space="preserve"> </w:t>
            </w:r>
            <w:r w:rsidRPr="00723887">
              <w:rPr>
                <w:rFonts w:cs="Arial"/>
                <w:color w:val="000000"/>
                <w:sz w:val="22"/>
                <w:szCs w:val="22"/>
                <w:lang w:eastAsia="en-AU"/>
              </w:rPr>
              <w:t>/ gross income from fundraising</w:t>
            </w:r>
          </w:p>
        </w:tc>
        <w:tc>
          <w:tcPr>
            <w:tcW w:w="1379" w:type="dxa"/>
            <w:tcBorders>
              <w:top w:val="nil"/>
              <w:left w:val="nil"/>
              <w:bottom w:val="nil"/>
              <w:right w:val="nil"/>
            </w:tcBorders>
            <w:shd w:val="clear" w:color="auto" w:fill="BFBFBF" w:themeFill="background1" w:themeFillShade="BF"/>
            <w:vAlign w:val="center"/>
          </w:tcPr>
          <w:p w14:paraId="0153F2A9" w14:textId="4E4C7788" w:rsidR="00CC6DF7" w:rsidRDefault="00CC6DF7">
            <w:pPr>
              <w:jc w:val="right"/>
              <w:rPr>
                <w:rFonts w:cs="Arial"/>
                <w:color w:val="000000"/>
                <w:sz w:val="22"/>
                <w:szCs w:val="22"/>
              </w:rPr>
            </w:pPr>
            <w:r>
              <w:rPr>
                <w:rFonts w:cs="Arial"/>
                <w:color w:val="000000"/>
                <w:sz w:val="22"/>
                <w:szCs w:val="22"/>
              </w:rPr>
              <w:t>11,244/ 26,233</w:t>
            </w:r>
          </w:p>
        </w:tc>
        <w:tc>
          <w:tcPr>
            <w:tcW w:w="1227" w:type="dxa"/>
            <w:tcBorders>
              <w:top w:val="nil"/>
              <w:left w:val="nil"/>
              <w:bottom w:val="nil"/>
              <w:right w:val="nil"/>
            </w:tcBorders>
            <w:shd w:val="clear" w:color="auto" w:fill="BFBFBF" w:themeFill="background1" w:themeFillShade="BF"/>
            <w:vAlign w:val="center"/>
          </w:tcPr>
          <w:p w14:paraId="0C91016F" w14:textId="6CC12062" w:rsidR="00CC6DF7" w:rsidRDefault="00CC6DF7">
            <w:pPr>
              <w:jc w:val="center"/>
              <w:rPr>
                <w:rFonts w:cs="Arial"/>
                <w:color w:val="000000"/>
                <w:sz w:val="22"/>
                <w:szCs w:val="22"/>
              </w:rPr>
            </w:pPr>
            <w:r>
              <w:rPr>
                <w:rFonts w:cs="Arial"/>
                <w:color w:val="000000"/>
                <w:sz w:val="22"/>
                <w:szCs w:val="22"/>
              </w:rPr>
              <w:t>43</w:t>
            </w:r>
          </w:p>
        </w:tc>
        <w:tc>
          <w:tcPr>
            <w:tcW w:w="1379" w:type="dxa"/>
            <w:tcBorders>
              <w:top w:val="nil"/>
              <w:left w:val="nil"/>
              <w:bottom w:val="nil"/>
              <w:right w:val="nil"/>
            </w:tcBorders>
            <w:shd w:val="clear" w:color="auto" w:fill="auto"/>
            <w:vAlign w:val="center"/>
          </w:tcPr>
          <w:p w14:paraId="31F0B01B" w14:textId="2A9DA218" w:rsidR="00CC6DF7" w:rsidRDefault="00CC6DF7" w:rsidP="00CC6DF7">
            <w:pPr>
              <w:jc w:val="right"/>
              <w:rPr>
                <w:rFonts w:cs="Arial"/>
                <w:color w:val="000000"/>
                <w:sz w:val="22"/>
                <w:szCs w:val="22"/>
                <w:lang w:eastAsia="en-AU"/>
              </w:rPr>
            </w:pPr>
            <w:r>
              <w:rPr>
                <w:rFonts w:cs="Arial"/>
                <w:color w:val="000000"/>
                <w:sz w:val="22"/>
                <w:szCs w:val="22"/>
              </w:rPr>
              <w:t>11,781/ 25,435</w:t>
            </w:r>
          </w:p>
        </w:tc>
        <w:tc>
          <w:tcPr>
            <w:tcW w:w="1227" w:type="dxa"/>
            <w:tcBorders>
              <w:top w:val="nil"/>
              <w:left w:val="nil"/>
              <w:bottom w:val="nil"/>
              <w:right w:val="nil"/>
            </w:tcBorders>
            <w:shd w:val="clear" w:color="auto" w:fill="auto"/>
            <w:vAlign w:val="center"/>
          </w:tcPr>
          <w:p w14:paraId="79A0C44C" w14:textId="06761086" w:rsidR="00CC6DF7" w:rsidRDefault="00CC6DF7" w:rsidP="00CC6DF7">
            <w:pPr>
              <w:jc w:val="center"/>
              <w:rPr>
                <w:rFonts w:cs="Arial"/>
                <w:color w:val="000000"/>
                <w:sz w:val="22"/>
                <w:szCs w:val="22"/>
              </w:rPr>
            </w:pPr>
            <w:r>
              <w:rPr>
                <w:rFonts w:cs="Arial"/>
                <w:color w:val="000000"/>
                <w:sz w:val="22"/>
                <w:szCs w:val="22"/>
              </w:rPr>
              <w:t>46</w:t>
            </w:r>
          </w:p>
        </w:tc>
      </w:tr>
      <w:tr w:rsidR="00CC6DF7" w:rsidRPr="00723887" w14:paraId="5EA7443B" w14:textId="77777777" w:rsidTr="00CC6DF7">
        <w:trPr>
          <w:trHeight w:val="285"/>
        </w:trPr>
        <w:tc>
          <w:tcPr>
            <w:tcW w:w="3438" w:type="dxa"/>
            <w:tcBorders>
              <w:top w:val="nil"/>
              <w:left w:val="nil"/>
              <w:bottom w:val="nil"/>
              <w:right w:val="nil"/>
            </w:tcBorders>
            <w:shd w:val="clear" w:color="auto" w:fill="auto"/>
            <w:vAlign w:val="center"/>
            <w:hideMark/>
          </w:tcPr>
          <w:p w14:paraId="5EA74435" w14:textId="395BE0FB" w:rsidR="00CC6DF7" w:rsidRPr="00723887" w:rsidRDefault="00CC6DF7" w:rsidP="00723887">
            <w:pPr>
              <w:rPr>
                <w:rFonts w:cs="Arial"/>
                <w:color w:val="000000"/>
                <w:sz w:val="22"/>
                <w:szCs w:val="22"/>
                <w:lang w:eastAsia="en-AU"/>
              </w:rPr>
            </w:pPr>
            <w:r>
              <w:rPr>
                <w:rFonts w:cs="Arial"/>
                <w:color w:val="000000"/>
                <w:sz w:val="22"/>
                <w:szCs w:val="22"/>
                <w:lang w:eastAsia="en-AU"/>
              </w:rPr>
              <w:t>Net surplus from fundraising / gross income from fundraising</w:t>
            </w:r>
          </w:p>
        </w:tc>
        <w:tc>
          <w:tcPr>
            <w:tcW w:w="1379" w:type="dxa"/>
            <w:tcBorders>
              <w:top w:val="nil"/>
              <w:left w:val="nil"/>
              <w:bottom w:val="nil"/>
              <w:right w:val="nil"/>
            </w:tcBorders>
            <w:shd w:val="clear" w:color="auto" w:fill="BFBFBF" w:themeFill="background1" w:themeFillShade="BF"/>
            <w:vAlign w:val="center"/>
          </w:tcPr>
          <w:p w14:paraId="5EA74437" w14:textId="77777777" w:rsidR="00CC6DF7" w:rsidRDefault="00CC6DF7">
            <w:pPr>
              <w:jc w:val="right"/>
              <w:rPr>
                <w:rFonts w:cs="Arial"/>
                <w:color w:val="000000"/>
                <w:sz w:val="22"/>
                <w:szCs w:val="22"/>
              </w:rPr>
            </w:pPr>
            <w:r>
              <w:rPr>
                <w:rFonts w:cs="Arial"/>
                <w:color w:val="000000"/>
                <w:sz w:val="22"/>
                <w:szCs w:val="22"/>
              </w:rPr>
              <w:t>14,990/ 26,233</w:t>
            </w:r>
          </w:p>
        </w:tc>
        <w:tc>
          <w:tcPr>
            <w:tcW w:w="1227" w:type="dxa"/>
            <w:tcBorders>
              <w:top w:val="nil"/>
              <w:left w:val="nil"/>
              <w:bottom w:val="nil"/>
              <w:right w:val="nil"/>
            </w:tcBorders>
            <w:shd w:val="clear" w:color="auto" w:fill="BFBFBF" w:themeFill="background1" w:themeFillShade="BF"/>
            <w:vAlign w:val="center"/>
          </w:tcPr>
          <w:p w14:paraId="5EA74438" w14:textId="77777777" w:rsidR="00CC6DF7" w:rsidRDefault="00CC6DF7">
            <w:pPr>
              <w:jc w:val="center"/>
              <w:rPr>
                <w:rFonts w:cs="Arial"/>
                <w:color w:val="000000"/>
                <w:sz w:val="22"/>
                <w:szCs w:val="22"/>
              </w:rPr>
            </w:pPr>
            <w:r>
              <w:rPr>
                <w:rFonts w:cs="Arial"/>
                <w:color w:val="000000"/>
                <w:sz w:val="22"/>
                <w:szCs w:val="22"/>
              </w:rPr>
              <w:t>57</w:t>
            </w:r>
          </w:p>
        </w:tc>
        <w:tc>
          <w:tcPr>
            <w:tcW w:w="1379" w:type="dxa"/>
            <w:tcBorders>
              <w:top w:val="nil"/>
              <w:left w:val="nil"/>
              <w:bottom w:val="nil"/>
              <w:right w:val="nil"/>
            </w:tcBorders>
            <w:shd w:val="clear" w:color="auto" w:fill="auto"/>
            <w:vAlign w:val="center"/>
            <w:hideMark/>
          </w:tcPr>
          <w:p w14:paraId="5EA74439" w14:textId="77777777" w:rsidR="00CC6DF7" w:rsidRPr="00723887" w:rsidRDefault="00CC6DF7" w:rsidP="001A6917">
            <w:pPr>
              <w:jc w:val="right"/>
              <w:rPr>
                <w:rFonts w:cs="Arial"/>
                <w:color w:val="000000"/>
                <w:sz w:val="22"/>
                <w:szCs w:val="22"/>
                <w:lang w:eastAsia="en-AU"/>
              </w:rPr>
            </w:pPr>
            <w:r>
              <w:rPr>
                <w:rFonts w:cs="Arial"/>
                <w:color w:val="000000"/>
                <w:sz w:val="22"/>
                <w:szCs w:val="22"/>
              </w:rPr>
              <w:t>13,654/ 25,435</w:t>
            </w:r>
          </w:p>
        </w:tc>
        <w:tc>
          <w:tcPr>
            <w:tcW w:w="1227" w:type="dxa"/>
            <w:tcBorders>
              <w:top w:val="nil"/>
              <w:left w:val="nil"/>
              <w:bottom w:val="nil"/>
              <w:right w:val="nil"/>
            </w:tcBorders>
            <w:shd w:val="clear" w:color="auto" w:fill="auto"/>
            <w:vAlign w:val="center"/>
            <w:hideMark/>
          </w:tcPr>
          <w:p w14:paraId="5EA7443A" w14:textId="77777777" w:rsidR="00CC6DF7" w:rsidRPr="00723887" w:rsidRDefault="00CC6DF7" w:rsidP="001A6917">
            <w:pPr>
              <w:jc w:val="center"/>
              <w:rPr>
                <w:rFonts w:cs="Arial"/>
                <w:color w:val="000000"/>
                <w:sz w:val="22"/>
                <w:szCs w:val="22"/>
                <w:lang w:eastAsia="en-AU"/>
              </w:rPr>
            </w:pPr>
            <w:r>
              <w:rPr>
                <w:rFonts w:cs="Arial"/>
                <w:color w:val="000000"/>
                <w:sz w:val="22"/>
                <w:szCs w:val="22"/>
              </w:rPr>
              <w:t>54</w:t>
            </w:r>
          </w:p>
        </w:tc>
      </w:tr>
      <w:tr w:rsidR="00CC6DF7" w:rsidRPr="00723887" w14:paraId="5EA74450" w14:textId="77777777" w:rsidTr="00CC6DF7">
        <w:trPr>
          <w:trHeight w:val="285"/>
        </w:trPr>
        <w:tc>
          <w:tcPr>
            <w:tcW w:w="3438" w:type="dxa"/>
            <w:tcBorders>
              <w:top w:val="nil"/>
              <w:left w:val="nil"/>
              <w:bottom w:val="nil"/>
              <w:right w:val="nil"/>
            </w:tcBorders>
            <w:shd w:val="clear" w:color="auto" w:fill="auto"/>
            <w:vAlign w:val="center"/>
            <w:hideMark/>
          </w:tcPr>
          <w:p w14:paraId="5EA7444A" w14:textId="2349498D" w:rsidR="00CC6DF7" w:rsidRPr="00723887" w:rsidRDefault="00CC6DF7" w:rsidP="00723887">
            <w:pPr>
              <w:rPr>
                <w:rFonts w:cs="Arial"/>
                <w:color w:val="000000"/>
                <w:sz w:val="22"/>
                <w:szCs w:val="22"/>
                <w:lang w:eastAsia="en-AU"/>
              </w:rPr>
            </w:pPr>
            <w:r>
              <w:rPr>
                <w:rFonts w:cs="Arial"/>
                <w:color w:val="000000"/>
                <w:sz w:val="22"/>
                <w:szCs w:val="22"/>
                <w:lang w:eastAsia="en-AU"/>
              </w:rPr>
              <w:t>Total cost of services / total expenditure (</w:t>
            </w:r>
            <w:proofErr w:type="spellStart"/>
            <w:r>
              <w:rPr>
                <w:rFonts w:cs="Arial"/>
                <w:color w:val="000000"/>
                <w:sz w:val="22"/>
                <w:szCs w:val="22"/>
                <w:lang w:eastAsia="en-AU"/>
              </w:rPr>
              <w:t>i</w:t>
            </w:r>
            <w:proofErr w:type="spellEnd"/>
            <w:r>
              <w:rPr>
                <w:rFonts w:cs="Arial"/>
                <w:color w:val="000000"/>
                <w:sz w:val="22"/>
                <w:szCs w:val="22"/>
                <w:lang w:eastAsia="en-AU"/>
              </w:rPr>
              <w:t>)</w:t>
            </w:r>
          </w:p>
        </w:tc>
        <w:tc>
          <w:tcPr>
            <w:tcW w:w="1379" w:type="dxa"/>
            <w:tcBorders>
              <w:top w:val="nil"/>
              <w:left w:val="nil"/>
              <w:bottom w:val="nil"/>
              <w:right w:val="nil"/>
            </w:tcBorders>
            <w:shd w:val="clear" w:color="auto" w:fill="BFBFBF" w:themeFill="background1" w:themeFillShade="BF"/>
            <w:vAlign w:val="center"/>
          </w:tcPr>
          <w:p w14:paraId="5EA7444C" w14:textId="77777777" w:rsidR="00CC6DF7" w:rsidRDefault="00CC6DF7">
            <w:pPr>
              <w:jc w:val="right"/>
              <w:rPr>
                <w:rFonts w:cs="Arial"/>
                <w:color w:val="000000"/>
                <w:sz w:val="22"/>
                <w:szCs w:val="22"/>
              </w:rPr>
            </w:pPr>
            <w:r>
              <w:rPr>
                <w:rFonts w:cs="Arial"/>
                <w:color w:val="000000"/>
                <w:sz w:val="22"/>
                <w:szCs w:val="22"/>
              </w:rPr>
              <w:t>65,644/ 85,826</w:t>
            </w:r>
          </w:p>
        </w:tc>
        <w:tc>
          <w:tcPr>
            <w:tcW w:w="1227" w:type="dxa"/>
            <w:tcBorders>
              <w:top w:val="nil"/>
              <w:left w:val="nil"/>
              <w:bottom w:val="nil"/>
              <w:right w:val="nil"/>
            </w:tcBorders>
            <w:shd w:val="clear" w:color="auto" w:fill="BFBFBF" w:themeFill="background1" w:themeFillShade="BF"/>
            <w:vAlign w:val="center"/>
          </w:tcPr>
          <w:p w14:paraId="5EA7444D" w14:textId="77777777" w:rsidR="00CC6DF7" w:rsidRDefault="00CC6DF7">
            <w:pPr>
              <w:jc w:val="center"/>
              <w:rPr>
                <w:rFonts w:cs="Arial"/>
                <w:color w:val="000000"/>
                <w:sz w:val="22"/>
                <w:szCs w:val="22"/>
              </w:rPr>
            </w:pPr>
            <w:r>
              <w:rPr>
                <w:rFonts w:cs="Arial"/>
                <w:color w:val="000000"/>
                <w:sz w:val="22"/>
                <w:szCs w:val="22"/>
              </w:rPr>
              <w:t>76</w:t>
            </w:r>
          </w:p>
        </w:tc>
        <w:tc>
          <w:tcPr>
            <w:tcW w:w="1379" w:type="dxa"/>
            <w:tcBorders>
              <w:top w:val="nil"/>
              <w:left w:val="nil"/>
              <w:bottom w:val="nil"/>
              <w:right w:val="nil"/>
            </w:tcBorders>
            <w:shd w:val="clear" w:color="auto" w:fill="auto"/>
            <w:vAlign w:val="center"/>
            <w:hideMark/>
          </w:tcPr>
          <w:p w14:paraId="5EA7444E" w14:textId="77777777" w:rsidR="00CC6DF7" w:rsidRPr="00723887" w:rsidRDefault="00CC6DF7" w:rsidP="001A6917">
            <w:pPr>
              <w:jc w:val="right"/>
              <w:rPr>
                <w:rFonts w:cs="Arial"/>
                <w:color w:val="000000"/>
                <w:sz w:val="22"/>
                <w:szCs w:val="22"/>
                <w:lang w:eastAsia="en-AU"/>
              </w:rPr>
            </w:pPr>
            <w:r>
              <w:rPr>
                <w:rFonts w:cs="Arial"/>
                <w:color w:val="000000"/>
                <w:sz w:val="22"/>
                <w:szCs w:val="22"/>
              </w:rPr>
              <w:t>63,567/ 83,805</w:t>
            </w:r>
          </w:p>
        </w:tc>
        <w:tc>
          <w:tcPr>
            <w:tcW w:w="1227" w:type="dxa"/>
            <w:tcBorders>
              <w:top w:val="nil"/>
              <w:left w:val="nil"/>
              <w:bottom w:val="nil"/>
              <w:right w:val="nil"/>
            </w:tcBorders>
            <w:shd w:val="clear" w:color="auto" w:fill="auto"/>
            <w:vAlign w:val="center"/>
            <w:hideMark/>
          </w:tcPr>
          <w:p w14:paraId="5EA7444F" w14:textId="77777777" w:rsidR="00CC6DF7" w:rsidRPr="00723887" w:rsidRDefault="00CC6DF7" w:rsidP="001A6917">
            <w:pPr>
              <w:jc w:val="center"/>
              <w:rPr>
                <w:rFonts w:cs="Arial"/>
                <w:color w:val="000000"/>
                <w:sz w:val="22"/>
                <w:szCs w:val="22"/>
                <w:lang w:eastAsia="en-AU"/>
              </w:rPr>
            </w:pPr>
            <w:r>
              <w:rPr>
                <w:rFonts w:cs="Arial"/>
                <w:color w:val="000000"/>
                <w:sz w:val="22"/>
                <w:szCs w:val="22"/>
              </w:rPr>
              <w:t>76</w:t>
            </w:r>
          </w:p>
        </w:tc>
      </w:tr>
      <w:tr w:rsidR="00CC6DF7" w:rsidRPr="00723887" w14:paraId="5EA74465" w14:textId="77777777" w:rsidTr="00CC6DF7">
        <w:trPr>
          <w:trHeight w:val="285"/>
        </w:trPr>
        <w:tc>
          <w:tcPr>
            <w:tcW w:w="3438" w:type="dxa"/>
            <w:tcBorders>
              <w:top w:val="nil"/>
              <w:left w:val="nil"/>
              <w:bottom w:val="nil"/>
              <w:right w:val="nil"/>
            </w:tcBorders>
            <w:shd w:val="clear" w:color="auto" w:fill="auto"/>
            <w:vAlign w:val="center"/>
            <w:hideMark/>
          </w:tcPr>
          <w:p w14:paraId="5EA7445F" w14:textId="199FE102" w:rsidR="00CC6DF7" w:rsidRPr="00723887" w:rsidRDefault="00CC6DF7" w:rsidP="00723887">
            <w:pPr>
              <w:rPr>
                <w:rFonts w:cs="Arial"/>
                <w:color w:val="000000"/>
                <w:sz w:val="22"/>
                <w:szCs w:val="22"/>
                <w:lang w:eastAsia="en-AU"/>
              </w:rPr>
            </w:pPr>
            <w:r>
              <w:rPr>
                <w:rFonts w:cs="Arial"/>
                <w:color w:val="000000"/>
                <w:sz w:val="22"/>
                <w:szCs w:val="22"/>
                <w:lang w:eastAsia="en-AU"/>
              </w:rPr>
              <w:t>Total costs of services / total income received (ii)</w:t>
            </w:r>
          </w:p>
        </w:tc>
        <w:tc>
          <w:tcPr>
            <w:tcW w:w="1379" w:type="dxa"/>
            <w:tcBorders>
              <w:top w:val="nil"/>
              <w:left w:val="nil"/>
              <w:bottom w:val="nil"/>
              <w:right w:val="nil"/>
            </w:tcBorders>
            <w:shd w:val="clear" w:color="auto" w:fill="BFBFBF" w:themeFill="background1" w:themeFillShade="BF"/>
            <w:vAlign w:val="center"/>
          </w:tcPr>
          <w:p w14:paraId="5EA74461" w14:textId="77777777" w:rsidR="00CC6DF7" w:rsidRDefault="00CC6DF7">
            <w:pPr>
              <w:jc w:val="right"/>
              <w:rPr>
                <w:rFonts w:cs="Arial"/>
                <w:color w:val="000000"/>
                <w:sz w:val="22"/>
                <w:szCs w:val="22"/>
              </w:rPr>
            </w:pPr>
            <w:r>
              <w:rPr>
                <w:rFonts w:cs="Arial"/>
                <w:color w:val="000000"/>
                <w:sz w:val="22"/>
                <w:szCs w:val="22"/>
              </w:rPr>
              <w:t>65,644/ 92,877</w:t>
            </w:r>
          </w:p>
        </w:tc>
        <w:tc>
          <w:tcPr>
            <w:tcW w:w="1227" w:type="dxa"/>
            <w:tcBorders>
              <w:top w:val="nil"/>
              <w:left w:val="nil"/>
              <w:bottom w:val="nil"/>
              <w:right w:val="nil"/>
            </w:tcBorders>
            <w:shd w:val="clear" w:color="auto" w:fill="BFBFBF" w:themeFill="background1" w:themeFillShade="BF"/>
            <w:vAlign w:val="center"/>
          </w:tcPr>
          <w:p w14:paraId="5EA74462" w14:textId="77777777" w:rsidR="00CC6DF7" w:rsidRDefault="00CC6DF7">
            <w:pPr>
              <w:jc w:val="center"/>
              <w:rPr>
                <w:rFonts w:cs="Arial"/>
                <w:color w:val="000000"/>
                <w:sz w:val="22"/>
                <w:szCs w:val="22"/>
              </w:rPr>
            </w:pPr>
            <w:r>
              <w:rPr>
                <w:rFonts w:cs="Arial"/>
                <w:color w:val="000000"/>
                <w:sz w:val="22"/>
                <w:szCs w:val="22"/>
              </w:rPr>
              <w:t>71</w:t>
            </w:r>
          </w:p>
        </w:tc>
        <w:tc>
          <w:tcPr>
            <w:tcW w:w="1379" w:type="dxa"/>
            <w:tcBorders>
              <w:top w:val="nil"/>
              <w:left w:val="nil"/>
              <w:bottom w:val="nil"/>
              <w:right w:val="nil"/>
            </w:tcBorders>
            <w:shd w:val="clear" w:color="auto" w:fill="auto"/>
            <w:vAlign w:val="center"/>
            <w:hideMark/>
          </w:tcPr>
          <w:p w14:paraId="5EA74463" w14:textId="77777777" w:rsidR="00CC6DF7" w:rsidRPr="00723887" w:rsidRDefault="00CC6DF7" w:rsidP="001A6917">
            <w:pPr>
              <w:jc w:val="right"/>
              <w:rPr>
                <w:rFonts w:cs="Arial"/>
                <w:color w:val="000000"/>
                <w:sz w:val="22"/>
                <w:szCs w:val="22"/>
                <w:lang w:eastAsia="en-AU"/>
              </w:rPr>
            </w:pPr>
            <w:r>
              <w:rPr>
                <w:rFonts w:cs="Arial"/>
                <w:color w:val="000000"/>
                <w:sz w:val="22"/>
                <w:szCs w:val="22"/>
              </w:rPr>
              <w:t>63,567/ 82,462</w:t>
            </w:r>
          </w:p>
        </w:tc>
        <w:tc>
          <w:tcPr>
            <w:tcW w:w="1227" w:type="dxa"/>
            <w:tcBorders>
              <w:top w:val="nil"/>
              <w:left w:val="nil"/>
              <w:bottom w:val="nil"/>
              <w:right w:val="nil"/>
            </w:tcBorders>
            <w:shd w:val="clear" w:color="auto" w:fill="auto"/>
            <w:vAlign w:val="center"/>
            <w:hideMark/>
          </w:tcPr>
          <w:p w14:paraId="5EA74464" w14:textId="77777777" w:rsidR="00CC6DF7" w:rsidRPr="00723887" w:rsidRDefault="00CC6DF7" w:rsidP="001A6917">
            <w:pPr>
              <w:jc w:val="center"/>
              <w:rPr>
                <w:rFonts w:cs="Arial"/>
                <w:color w:val="000000"/>
                <w:sz w:val="22"/>
                <w:szCs w:val="22"/>
                <w:lang w:eastAsia="en-AU"/>
              </w:rPr>
            </w:pPr>
            <w:r>
              <w:rPr>
                <w:rFonts w:cs="Arial"/>
                <w:color w:val="000000"/>
                <w:sz w:val="22"/>
                <w:szCs w:val="22"/>
              </w:rPr>
              <w:t>77</w:t>
            </w:r>
          </w:p>
        </w:tc>
      </w:tr>
    </w:tbl>
    <w:p w14:paraId="738FBC9E" w14:textId="77777777" w:rsidR="00CC6DF7" w:rsidRDefault="00CC6DF7" w:rsidP="00CC6DF7">
      <w:pPr>
        <w:ind w:left="720"/>
        <w:rPr>
          <w:rFonts w:cs="Arial"/>
          <w:sz w:val="22"/>
          <w:szCs w:val="22"/>
        </w:rPr>
      </w:pPr>
    </w:p>
    <w:p w14:paraId="5EA74478" w14:textId="77777777" w:rsidR="00543166" w:rsidRDefault="00543166" w:rsidP="0031284D">
      <w:pPr>
        <w:numPr>
          <w:ilvl w:val="0"/>
          <w:numId w:val="13"/>
        </w:numPr>
        <w:rPr>
          <w:rFonts w:cs="Arial"/>
          <w:sz w:val="22"/>
          <w:szCs w:val="22"/>
        </w:rPr>
      </w:pPr>
      <w:r w:rsidRPr="007540D9">
        <w:rPr>
          <w:rFonts w:cs="Arial"/>
          <w:sz w:val="22"/>
          <w:szCs w:val="22"/>
        </w:rPr>
        <w:t>In arriving at total expenditure, adjustments have been made to exclude impairment charges and redundancy costs arising from restructure. Impairment charges ar</w:t>
      </w:r>
      <w:r w:rsidR="002312AB">
        <w:rPr>
          <w:rFonts w:cs="Arial"/>
          <w:sz w:val="22"/>
          <w:szCs w:val="22"/>
        </w:rPr>
        <w:t>e disclosed on the face of the s</w:t>
      </w:r>
      <w:r w:rsidRPr="007540D9">
        <w:rPr>
          <w:rFonts w:cs="Arial"/>
          <w:sz w:val="22"/>
          <w:szCs w:val="22"/>
        </w:rPr>
        <w:t xml:space="preserve">tatement of </w:t>
      </w:r>
      <w:r w:rsidR="002312AB">
        <w:rPr>
          <w:rFonts w:cs="Arial"/>
          <w:sz w:val="22"/>
          <w:szCs w:val="22"/>
        </w:rPr>
        <w:t>profit or loss and other comprehensive i</w:t>
      </w:r>
      <w:r w:rsidRPr="007540D9">
        <w:rPr>
          <w:rFonts w:cs="Arial"/>
          <w:sz w:val="22"/>
          <w:szCs w:val="22"/>
        </w:rPr>
        <w:t xml:space="preserve">ncome and redundancy costs are disclosed above. </w:t>
      </w:r>
    </w:p>
    <w:p w14:paraId="47939D22" w14:textId="05000D67" w:rsidR="00A9569E" w:rsidRDefault="00A9569E"/>
    <w:p w14:paraId="6E0ED90B" w14:textId="7230371C" w:rsidR="00A9569E" w:rsidRPr="00CC6DF7" w:rsidRDefault="00A9569E" w:rsidP="00BF287B">
      <w:pPr>
        <w:pStyle w:val="Heading1"/>
        <w:rPr>
          <w:bCs/>
          <w:iCs/>
          <w:lang w:eastAsia="en-AU"/>
        </w:rPr>
      </w:pPr>
      <w:bookmarkStart w:id="371" w:name="_Toc430613790"/>
      <w:r w:rsidRPr="00CC6DF7">
        <w:rPr>
          <w:bCs/>
          <w:iCs/>
          <w:lang w:eastAsia="en-AU"/>
        </w:rPr>
        <w:t>Note 31: Information required by the Charitable Collections Act (1946) [Section 15] WA</w:t>
      </w:r>
      <w:bookmarkEnd w:id="371"/>
    </w:p>
    <w:tbl>
      <w:tblPr>
        <w:tblW w:w="8968" w:type="dxa"/>
        <w:tblInd w:w="-34" w:type="dxa"/>
        <w:tblLook w:val="04A0" w:firstRow="1" w:lastRow="0" w:firstColumn="1" w:lastColumn="0" w:noHBand="0" w:noVBand="1"/>
      </w:tblPr>
      <w:tblGrid>
        <w:gridCol w:w="5821"/>
        <w:gridCol w:w="1573"/>
        <w:gridCol w:w="1574"/>
      </w:tblGrid>
      <w:tr w:rsidR="00CC6DF7" w:rsidRPr="00133BE9" w14:paraId="5EA74491" w14:textId="77777777" w:rsidTr="00374C7E">
        <w:trPr>
          <w:trHeight w:val="184"/>
          <w:tblHeader/>
        </w:trPr>
        <w:tc>
          <w:tcPr>
            <w:tcW w:w="5821" w:type="dxa"/>
            <w:tcBorders>
              <w:left w:val="nil"/>
              <w:bottom w:val="nil"/>
              <w:right w:val="nil"/>
            </w:tcBorders>
            <w:shd w:val="clear" w:color="auto" w:fill="auto"/>
            <w:noWrap/>
            <w:vAlign w:val="bottom"/>
            <w:hideMark/>
          </w:tcPr>
          <w:p w14:paraId="5EA7448B" w14:textId="77777777" w:rsidR="00CC6DF7" w:rsidRPr="00133BE9" w:rsidRDefault="00CC6DF7" w:rsidP="00E5103B">
            <w:pPr>
              <w:rPr>
                <w:rFonts w:ascii="Calibri" w:hAnsi="Calibri" w:cs="Calibri"/>
                <w:color w:val="000000"/>
                <w:sz w:val="22"/>
                <w:szCs w:val="22"/>
                <w:lang w:eastAsia="en-AU"/>
              </w:rPr>
            </w:pPr>
            <w:bookmarkStart w:id="372" w:name="Table_70"/>
            <w:bookmarkEnd w:id="372"/>
          </w:p>
        </w:tc>
        <w:tc>
          <w:tcPr>
            <w:tcW w:w="1573" w:type="dxa"/>
            <w:tcBorders>
              <w:left w:val="nil"/>
              <w:bottom w:val="nil"/>
              <w:right w:val="nil"/>
            </w:tcBorders>
            <w:shd w:val="clear" w:color="000000" w:fill="BFBFBF" w:themeFill="background1" w:themeFillShade="BF"/>
            <w:vAlign w:val="center"/>
            <w:hideMark/>
          </w:tcPr>
          <w:p w14:paraId="5EA7448F" w14:textId="77777777" w:rsidR="00CC6DF7" w:rsidRPr="00CC6DF7" w:rsidRDefault="00CC6DF7" w:rsidP="0016002F">
            <w:pPr>
              <w:jc w:val="center"/>
              <w:rPr>
                <w:rFonts w:cs="Arial"/>
                <w:b/>
                <w:bCs/>
                <w:color w:val="000000"/>
                <w:sz w:val="22"/>
                <w:szCs w:val="22"/>
                <w:lang w:eastAsia="en-AU"/>
              </w:rPr>
            </w:pPr>
            <w:r w:rsidRPr="00CC6DF7">
              <w:rPr>
                <w:rFonts w:cs="Arial"/>
                <w:b/>
                <w:bCs/>
                <w:color w:val="000000"/>
                <w:sz w:val="22"/>
                <w:szCs w:val="22"/>
                <w:lang w:eastAsia="en-AU"/>
              </w:rPr>
              <w:t>2015</w:t>
            </w:r>
          </w:p>
        </w:tc>
        <w:tc>
          <w:tcPr>
            <w:tcW w:w="1574" w:type="dxa"/>
            <w:tcBorders>
              <w:left w:val="nil"/>
              <w:bottom w:val="nil"/>
              <w:right w:val="nil"/>
            </w:tcBorders>
            <w:shd w:val="clear" w:color="auto" w:fill="auto"/>
            <w:vAlign w:val="center"/>
            <w:hideMark/>
          </w:tcPr>
          <w:p w14:paraId="5EA74490" w14:textId="77777777" w:rsidR="00CC6DF7" w:rsidRPr="00133BE9" w:rsidRDefault="00CC6DF7" w:rsidP="0016002F">
            <w:pPr>
              <w:jc w:val="center"/>
              <w:rPr>
                <w:rFonts w:cs="Arial"/>
                <w:bCs/>
                <w:color w:val="000000"/>
                <w:sz w:val="22"/>
                <w:szCs w:val="22"/>
                <w:lang w:eastAsia="en-AU"/>
              </w:rPr>
            </w:pPr>
            <w:r w:rsidRPr="00133BE9">
              <w:rPr>
                <w:rFonts w:cs="Arial"/>
                <w:bCs/>
                <w:color w:val="000000"/>
                <w:sz w:val="22"/>
                <w:szCs w:val="22"/>
                <w:lang w:eastAsia="en-AU"/>
              </w:rPr>
              <w:t>2014</w:t>
            </w:r>
          </w:p>
        </w:tc>
      </w:tr>
      <w:tr w:rsidR="00CC6DF7" w:rsidRPr="00E5103B" w14:paraId="5EA744A6" w14:textId="77777777" w:rsidTr="00CC6DF7">
        <w:trPr>
          <w:trHeight w:val="175"/>
        </w:trPr>
        <w:tc>
          <w:tcPr>
            <w:tcW w:w="5821" w:type="dxa"/>
            <w:tcBorders>
              <w:top w:val="nil"/>
              <w:left w:val="nil"/>
              <w:bottom w:val="nil"/>
              <w:right w:val="nil"/>
            </w:tcBorders>
            <w:shd w:val="clear" w:color="auto" w:fill="auto"/>
            <w:vAlign w:val="bottom"/>
            <w:hideMark/>
          </w:tcPr>
          <w:p w14:paraId="5EA744A0" w14:textId="77777777" w:rsidR="00CC6DF7" w:rsidRPr="00E5103B" w:rsidRDefault="00CC6DF7" w:rsidP="00E5103B">
            <w:pPr>
              <w:rPr>
                <w:rFonts w:cs="Arial"/>
                <w:b/>
                <w:bCs/>
                <w:color w:val="000000"/>
                <w:sz w:val="22"/>
                <w:szCs w:val="22"/>
                <w:lang w:eastAsia="en-AU"/>
              </w:rPr>
            </w:pPr>
            <w:r>
              <w:rPr>
                <w:rFonts w:cs="Arial"/>
                <w:b/>
                <w:bCs/>
                <w:color w:val="000000"/>
                <w:sz w:val="22"/>
                <w:szCs w:val="22"/>
                <w:lang w:eastAsia="en-AU"/>
              </w:rPr>
              <w:t>Fundraising i</w:t>
            </w:r>
            <w:r w:rsidRPr="00E5103B">
              <w:rPr>
                <w:rFonts w:cs="Arial"/>
                <w:b/>
                <w:bCs/>
                <w:color w:val="000000"/>
                <w:sz w:val="22"/>
                <w:szCs w:val="22"/>
                <w:lang w:eastAsia="en-AU"/>
              </w:rPr>
              <w:t>ncome</w:t>
            </w:r>
          </w:p>
        </w:tc>
        <w:tc>
          <w:tcPr>
            <w:tcW w:w="1573" w:type="dxa"/>
            <w:tcBorders>
              <w:top w:val="nil"/>
              <w:left w:val="nil"/>
              <w:bottom w:val="single" w:sz="12" w:space="0" w:color="auto"/>
              <w:right w:val="nil"/>
            </w:tcBorders>
            <w:shd w:val="clear" w:color="000000" w:fill="BFBFBF" w:themeFill="background1" w:themeFillShade="BF"/>
            <w:vAlign w:val="bottom"/>
          </w:tcPr>
          <w:p w14:paraId="5EA744A4" w14:textId="77777777" w:rsidR="00CC6DF7" w:rsidRDefault="00CC6DF7">
            <w:pPr>
              <w:jc w:val="right"/>
              <w:rPr>
                <w:rFonts w:cs="Arial"/>
                <w:color w:val="000000"/>
                <w:sz w:val="22"/>
                <w:szCs w:val="22"/>
              </w:rPr>
            </w:pPr>
            <w:r>
              <w:rPr>
                <w:rFonts w:cs="Arial"/>
                <w:color w:val="000000"/>
                <w:sz w:val="22"/>
                <w:szCs w:val="22"/>
              </w:rPr>
              <w:t>26,233</w:t>
            </w:r>
          </w:p>
        </w:tc>
        <w:tc>
          <w:tcPr>
            <w:tcW w:w="1574" w:type="dxa"/>
            <w:tcBorders>
              <w:top w:val="nil"/>
              <w:left w:val="nil"/>
              <w:bottom w:val="single" w:sz="12" w:space="0" w:color="auto"/>
              <w:right w:val="nil"/>
            </w:tcBorders>
            <w:shd w:val="clear" w:color="auto" w:fill="auto"/>
            <w:noWrap/>
            <w:vAlign w:val="bottom"/>
            <w:hideMark/>
          </w:tcPr>
          <w:p w14:paraId="5EA744A5" w14:textId="77777777" w:rsidR="00CC6DF7" w:rsidRPr="00E5103B" w:rsidRDefault="00CC6DF7" w:rsidP="001A6917">
            <w:pPr>
              <w:jc w:val="right"/>
              <w:rPr>
                <w:rFonts w:cs="Arial"/>
                <w:color w:val="000000"/>
                <w:sz w:val="22"/>
                <w:szCs w:val="22"/>
                <w:lang w:eastAsia="en-AU"/>
              </w:rPr>
            </w:pPr>
            <w:r>
              <w:rPr>
                <w:rFonts w:cs="Arial"/>
                <w:color w:val="000000"/>
                <w:sz w:val="22"/>
                <w:szCs w:val="22"/>
              </w:rPr>
              <w:t>25,435</w:t>
            </w:r>
          </w:p>
        </w:tc>
      </w:tr>
    </w:tbl>
    <w:p w14:paraId="4A32C4FB" w14:textId="77777777" w:rsidR="00374C7E" w:rsidRDefault="00374C7E"/>
    <w:tbl>
      <w:tblPr>
        <w:tblW w:w="8968" w:type="dxa"/>
        <w:tblInd w:w="-34" w:type="dxa"/>
        <w:tblLook w:val="04A0" w:firstRow="1" w:lastRow="0" w:firstColumn="1" w:lastColumn="0" w:noHBand="0" w:noVBand="1"/>
      </w:tblPr>
      <w:tblGrid>
        <w:gridCol w:w="5821"/>
        <w:gridCol w:w="1573"/>
        <w:gridCol w:w="1574"/>
      </w:tblGrid>
      <w:tr w:rsidR="00CC6DF7" w:rsidRPr="00E5103B" w14:paraId="5EA744B4" w14:textId="77777777" w:rsidTr="00374C7E">
        <w:trPr>
          <w:trHeight w:val="167"/>
          <w:tblHeader/>
        </w:trPr>
        <w:tc>
          <w:tcPr>
            <w:tcW w:w="5821" w:type="dxa"/>
            <w:tcBorders>
              <w:top w:val="nil"/>
              <w:left w:val="nil"/>
              <w:bottom w:val="nil"/>
              <w:right w:val="nil"/>
            </w:tcBorders>
            <w:shd w:val="clear" w:color="auto" w:fill="auto"/>
            <w:vAlign w:val="center"/>
            <w:hideMark/>
          </w:tcPr>
          <w:p w14:paraId="5EA744AE" w14:textId="77777777" w:rsidR="00CC6DF7" w:rsidRPr="00374C7E" w:rsidRDefault="00CC6DF7" w:rsidP="00E5103B">
            <w:pPr>
              <w:rPr>
                <w:rFonts w:cs="Arial"/>
                <w:b/>
                <w:color w:val="000000"/>
                <w:sz w:val="22"/>
                <w:szCs w:val="22"/>
                <w:lang w:eastAsia="en-AU"/>
              </w:rPr>
            </w:pPr>
            <w:bookmarkStart w:id="373" w:name="Table_71"/>
            <w:bookmarkEnd w:id="373"/>
            <w:r w:rsidRPr="00374C7E">
              <w:rPr>
                <w:rFonts w:cs="Arial"/>
                <w:b/>
                <w:color w:val="000000"/>
                <w:sz w:val="22"/>
                <w:szCs w:val="22"/>
                <w:lang w:eastAsia="en-AU"/>
              </w:rPr>
              <w:t>Less fundraising expenses:</w:t>
            </w:r>
          </w:p>
        </w:tc>
        <w:tc>
          <w:tcPr>
            <w:tcW w:w="1573" w:type="dxa"/>
            <w:tcBorders>
              <w:top w:val="nil"/>
              <w:left w:val="nil"/>
              <w:bottom w:val="nil"/>
              <w:right w:val="nil"/>
            </w:tcBorders>
            <w:shd w:val="clear" w:color="000000" w:fill="BFBFBF" w:themeFill="background1" w:themeFillShade="BF"/>
            <w:vAlign w:val="bottom"/>
          </w:tcPr>
          <w:p w14:paraId="5EA744B2" w14:textId="18BBAE19" w:rsidR="00CC6DF7" w:rsidRPr="00374C7E" w:rsidRDefault="00374C7E">
            <w:pPr>
              <w:jc w:val="right"/>
              <w:rPr>
                <w:rFonts w:cs="Arial"/>
                <w:b/>
                <w:color w:val="000000"/>
                <w:sz w:val="22"/>
                <w:szCs w:val="22"/>
              </w:rPr>
            </w:pPr>
            <w:r w:rsidRPr="00374C7E">
              <w:rPr>
                <w:rFonts w:cs="Arial"/>
                <w:b/>
                <w:color w:val="000000"/>
                <w:sz w:val="22"/>
                <w:szCs w:val="22"/>
              </w:rPr>
              <w:t>2015</w:t>
            </w:r>
          </w:p>
        </w:tc>
        <w:tc>
          <w:tcPr>
            <w:tcW w:w="1574" w:type="dxa"/>
            <w:tcBorders>
              <w:top w:val="nil"/>
              <w:left w:val="nil"/>
              <w:bottom w:val="nil"/>
              <w:right w:val="nil"/>
            </w:tcBorders>
            <w:shd w:val="clear" w:color="auto" w:fill="auto"/>
            <w:noWrap/>
            <w:vAlign w:val="bottom"/>
            <w:hideMark/>
          </w:tcPr>
          <w:p w14:paraId="5EA744B3" w14:textId="2F32381A" w:rsidR="00CC6DF7" w:rsidRPr="00E5103B" w:rsidRDefault="00374C7E" w:rsidP="00374C7E">
            <w:pPr>
              <w:jc w:val="right"/>
              <w:rPr>
                <w:rFonts w:cs="Arial"/>
                <w:color w:val="000000"/>
                <w:sz w:val="22"/>
                <w:szCs w:val="22"/>
                <w:lang w:eastAsia="en-AU"/>
              </w:rPr>
            </w:pPr>
            <w:r>
              <w:rPr>
                <w:rFonts w:cs="Arial"/>
                <w:color w:val="000000"/>
                <w:sz w:val="22"/>
                <w:szCs w:val="22"/>
              </w:rPr>
              <w:t>2014</w:t>
            </w:r>
            <w:r w:rsidR="00CC6DF7">
              <w:rPr>
                <w:rFonts w:cs="Arial"/>
                <w:color w:val="000000"/>
                <w:sz w:val="22"/>
                <w:szCs w:val="22"/>
              </w:rPr>
              <w:t> </w:t>
            </w:r>
          </w:p>
        </w:tc>
      </w:tr>
      <w:tr w:rsidR="00CC6DF7" w:rsidRPr="00E5103B" w14:paraId="5EA744BB" w14:textId="77777777" w:rsidTr="00CC6DF7">
        <w:trPr>
          <w:trHeight w:val="167"/>
        </w:trPr>
        <w:tc>
          <w:tcPr>
            <w:tcW w:w="5821" w:type="dxa"/>
            <w:tcBorders>
              <w:top w:val="nil"/>
              <w:left w:val="nil"/>
              <w:bottom w:val="nil"/>
              <w:right w:val="nil"/>
            </w:tcBorders>
            <w:shd w:val="clear" w:color="auto" w:fill="auto"/>
            <w:vAlign w:val="center"/>
            <w:hideMark/>
          </w:tcPr>
          <w:p w14:paraId="5EA744B5" w14:textId="184C3922" w:rsidR="00CC6DF7" w:rsidRPr="00E5103B" w:rsidRDefault="00CC6DF7" w:rsidP="00A07FE0">
            <w:pPr>
              <w:rPr>
                <w:rFonts w:cs="Arial"/>
                <w:color w:val="000000"/>
                <w:sz w:val="22"/>
                <w:szCs w:val="22"/>
                <w:lang w:eastAsia="en-AU"/>
              </w:rPr>
            </w:pPr>
            <w:r>
              <w:rPr>
                <w:rFonts w:cs="Arial"/>
                <w:color w:val="000000"/>
                <w:sz w:val="22"/>
                <w:szCs w:val="22"/>
                <w:lang w:eastAsia="en-AU"/>
              </w:rPr>
              <w:t>Salaries and w</w:t>
            </w:r>
            <w:r w:rsidRPr="00E5103B">
              <w:rPr>
                <w:rFonts w:cs="Arial"/>
                <w:color w:val="000000"/>
                <w:sz w:val="22"/>
                <w:szCs w:val="22"/>
                <w:lang w:eastAsia="en-AU"/>
              </w:rPr>
              <w:t>ages</w:t>
            </w:r>
          </w:p>
        </w:tc>
        <w:tc>
          <w:tcPr>
            <w:tcW w:w="1573" w:type="dxa"/>
            <w:tcBorders>
              <w:top w:val="nil"/>
              <w:left w:val="nil"/>
              <w:bottom w:val="nil"/>
              <w:right w:val="nil"/>
            </w:tcBorders>
            <w:shd w:val="clear" w:color="000000" w:fill="BFBFBF" w:themeFill="background1" w:themeFillShade="BF"/>
            <w:vAlign w:val="bottom"/>
          </w:tcPr>
          <w:p w14:paraId="5EA744B9" w14:textId="77777777" w:rsidR="00CC6DF7" w:rsidRDefault="00CC6DF7">
            <w:pPr>
              <w:jc w:val="right"/>
              <w:rPr>
                <w:rFonts w:cs="Arial"/>
                <w:color w:val="000000"/>
                <w:sz w:val="22"/>
                <w:szCs w:val="22"/>
              </w:rPr>
            </w:pPr>
            <w:r>
              <w:rPr>
                <w:rFonts w:cs="Arial"/>
                <w:color w:val="000000"/>
                <w:sz w:val="22"/>
                <w:szCs w:val="22"/>
              </w:rPr>
              <w:t>(1,546)</w:t>
            </w:r>
          </w:p>
        </w:tc>
        <w:tc>
          <w:tcPr>
            <w:tcW w:w="1574" w:type="dxa"/>
            <w:tcBorders>
              <w:top w:val="nil"/>
              <w:left w:val="nil"/>
              <w:bottom w:val="nil"/>
              <w:right w:val="nil"/>
            </w:tcBorders>
            <w:shd w:val="clear" w:color="auto" w:fill="auto"/>
            <w:noWrap/>
            <w:vAlign w:val="bottom"/>
            <w:hideMark/>
          </w:tcPr>
          <w:p w14:paraId="5EA744BA" w14:textId="77777777" w:rsidR="00CC6DF7" w:rsidRPr="00E5103B" w:rsidRDefault="00CC6DF7" w:rsidP="001A6917">
            <w:pPr>
              <w:jc w:val="right"/>
              <w:rPr>
                <w:rFonts w:cs="Arial"/>
                <w:color w:val="000000"/>
                <w:sz w:val="22"/>
                <w:szCs w:val="22"/>
                <w:lang w:eastAsia="en-AU"/>
              </w:rPr>
            </w:pPr>
            <w:r>
              <w:rPr>
                <w:rFonts w:cs="Arial"/>
                <w:color w:val="000000"/>
                <w:sz w:val="22"/>
                <w:szCs w:val="22"/>
              </w:rPr>
              <w:t>(2,253)</w:t>
            </w:r>
          </w:p>
        </w:tc>
      </w:tr>
      <w:tr w:rsidR="00CC6DF7" w:rsidRPr="00E5103B" w14:paraId="5EA744C2" w14:textId="77777777" w:rsidTr="00CC6DF7">
        <w:trPr>
          <w:trHeight w:val="167"/>
        </w:trPr>
        <w:tc>
          <w:tcPr>
            <w:tcW w:w="5821" w:type="dxa"/>
            <w:tcBorders>
              <w:top w:val="nil"/>
              <w:left w:val="nil"/>
              <w:bottom w:val="nil"/>
              <w:right w:val="nil"/>
            </w:tcBorders>
            <w:shd w:val="clear" w:color="auto" w:fill="auto"/>
            <w:vAlign w:val="center"/>
            <w:hideMark/>
          </w:tcPr>
          <w:p w14:paraId="5EA744BC" w14:textId="77777777" w:rsidR="00CC6DF7" w:rsidRPr="00E5103B" w:rsidRDefault="00CC6DF7" w:rsidP="00E5103B">
            <w:pPr>
              <w:rPr>
                <w:rFonts w:cs="Arial"/>
                <w:color w:val="000000"/>
                <w:sz w:val="22"/>
                <w:szCs w:val="22"/>
                <w:lang w:eastAsia="en-AU"/>
              </w:rPr>
            </w:pPr>
            <w:r>
              <w:rPr>
                <w:rFonts w:cs="Arial"/>
                <w:color w:val="000000"/>
                <w:sz w:val="22"/>
                <w:szCs w:val="22"/>
                <w:lang w:eastAsia="en-AU"/>
              </w:rPr>
              <w:t>Telemarketing c</w:t>
            </w:r>
            <w:r w:rsidRPr="00E5103B">
              <w:rPr>
                <w:rFonts w:cs="Arial"/>
                <w:color w:val="000000"/>
                <w:sz w:val="22"/>
                <w:szCs w:val="22"/>
                <w:lang w:eastAsia="en-AU"/>
              </w:rPr>
              <w:t>osts</w:t>
            </w:r>
          </w:p>
        </w:tc>
        <w:tc>
          <w:tcPr>
            <w:tcW w:w="1573" w:type="dxa"/>
            <w:tcBorders>
              <w:top w:val="nil"/>
              <w:left w:val="nil"/>
              <w:bottom w:val="nil"/>
              <w:right w:val="nil"/>
            </w:tcBorders>
            <w:shd w:val="clear" w:color="000000" w:fill="BFBFBF" w:themeFill="background1" w:themeFillShade="BF"/>
            <w:vAlign w:val="bottom"/>
          </w:tcPr>
          <w:p w14:paraId="5EA744C0" w14:textId="77777777" w:rsidR="00CC6DF7" w:rsidRDefault="00CC6DF7">
            <w:pPr>
              <w:jc w:val="right"/>
              <w:rPr>
                <w:rFonts w:cs="Arial"/>
                <w:color w:val="000000"/>
                <w:sz w:val="22"/>
                <w:szCs w:val="22"/>
              </w:rPr>
            </w:pPr>
            <w:r>
              <w:rPr>
                <w:rFonts w:cs="Arial"/>
                <w:color w:val="000000"/>
                <w:sz w:val="22"/>
                <w:szCs w:val="22"/>
              </w:rPr>
              <w:t>(3,482)</w:t>
            </w:r>
          </w:p>
        </w:tc>
        <w:tc>
          <w:tcPr>
            <w:tcW w:w="1574" w:type="dxa"/>
            <w:tcBorders>
              <w:top w:val="nil"/>
              <w:left w:val="nil"/>
              <w:bottom w:val="nil"/>
              <w:right w:val="nil"/>
            </w:tcBorders>
            <w:shd w:val="clear" w:color="auto" w:fill="auto"/>
            <w:noWrap/>
            <w:vAlign w:val="bottom"/>
            <w:hideMark/>
          </w:tcPr>
          <w:p w14:paraId="5EA744C1" w14:textId="77777777" w:rsidR="00CC6DF7" w:rsidRPr="00E5103B" w:rsidRDefault="00CC6DF7" w:rsidP="001A6917">
            <w:pPr>
              <w:jc w:val="right"/>
              <w:rPr>
                <w:rFonts w:cs="Arial"/>
                <w:color w:val="000000"/>
                <w:sz w:val="22"/>
                <w:szCs w:val="22"/>
                <w:lang w:eastAsia="en-AU"/>
              </w:rPr>
            </w:pPr>
            <w:r>
              <w:rPr>
                <w:rFonts w:cs="Arial"/>
                <w:color w:val="000000"/>
                <w:sz w:val="22"/>
                <w:szCs w:val="22"/>
              </w:rPr>
              <w:t>(3,410)</w:t>
            </w:r>
          </w:p>
        </w:tc>
      </w:tr>
      <w:tr w:rsidR="00CC6DF7" w:rsidRPr="00E5103B" w14:paraId="5EA744C9" w14:textId="77777777" w:rsidTr="00CC6DF7">
        <w:trPr>
          <w:trHeight w:val="167"/>
        </w:trPr>
        <w:tc>
          <w:tcPr>
            <w:tcW w:w="5821" w:type="dxa"/>
            <w:tcBorders>
              <w:top w:val="nil"/>
              <w:left w:val="nil"/>
              <w:bottom w:val="nil"/>
              <w:right w:val="nil"/>
            </w:tcBorders>
            <w:shd w:val="clear" w:color="auto" w:fill="auto"/>
            <w:vAlign w:val="center"/>
            <w:hideMark/>
          </w:tcPr>
          <w:p w14:paraId="5EA744C3" w14:textId="77777777" w:rsidR="00CC6DF7" w:rsidRPr="00E5103B" w:rsidRDefault="00CC6DF7" w:rsidP="00E5103B">
            <w:pPr>
              <w:rPr>
                <w:rFonts w:cs="Arial"/>
                <w:color w:val="000000"/>
                <w:sz w:val="22"/>
                <w:szCs w:val="22"/>
                <w:lang w:eastAsia="en-AU"/>
              </w:rPr>
            </w:pPr>
            <w:r>
              <w:rPr>
                <w:rFonts w:cs="Arial"/>
                <w:color w:val="000000"/>
                <w:sz w:val="22"/>
                <w:szCs w:val="22"/>
                <w:lang w:eastAsia="en-AU"/>
              </w:rPr>
              <w:t>Consulting f</w:t>
            </w:r>
            <w:r w:rsidRPr="00E5103B">
              <w:rPr>
                <w:rFonts w:cs="Arial"/>
                <w:color w:val="000000"/>
                <w:sz w:val="22"/>
                <w:szCs w:val="22"/>
                <w:lang w:eastAsia="en-AU"/>
              </w:rPr>
              <w:t>ees</w:t>
            </w:r>
          </w:p>
        </w:tc>
        <w:tc>
          <w:tcPr>
            <w:tcW w:w="1573" w:type="dxa"/>
            <w:tcBorders>
              <w:top w:val="nil"/>
              <w:left w:val="nil"/>
              <w:bottom w:val="nil"/>
              <w:right w:val="nil"/>
            </w:tcBorders>
            <w:shd w:val="clear" w:color="000000" w:fill="BFBFBF" w:themeFill="background1" w:themeFillShade="BF"/>
            <w:vAlign w:val="bottom"/>
          </w:tcPr>
          <w:p w14:paraId="5EA744C7" w14:textId="77777777" w:rsidR="00CC6DF7" w:rsidRDefault="00CC6DF7">
            <w:pPr>
              <w:jc w:val="right"/>
              <w:rPr>
                <w:rFonts w:cs="Arial"/>
                <w:color w:val="000000"/>
                <w:sz w:val="22"/>
                <w:szCs w:val="22"/>
              </w:rPr>
            </w:pPr>
            <w:r>
              <w:rPr>
                <w:rFonts w:cs="Arial"/>
                <w:color w:val="000000"/>
                <w:sz w:val="22"/>
                <w:szCs w:val="22"/>
              </w:rPr>
              <w:t>(37)</w:t>
            </w:r>
          </w:p>
        </w:tc>
        <w:tc>
          <w:tcPr>
            <w:tcW w:w="1574" w:type="dxa"/>
            <w:tcBorders>
              <w:top w:val="nil"/>
              <w:left w:val="nil"/>
              <w:bottom w:val="nil"/>
              <w:right w:val="nil"/>
            </w:tcBorders>
            <w:shd w:val="clear" w:color="auto" w:fill="auto"/>
            <w:noWrap/>
            <w:vAlign w:val="bottom"/>
            <w:hideMark/>
          </w:tcPr>
          <w:p w14:paraId="5EA744C8" w14:textId="77777777" w:rsidR="00CC6DF7" w:rsidRPr="00E5103B" w:rsidRDefault="00CC6DF7" w:rsidP="001A6917">
            <w:pPr>
              <w:jc w:val="right"/>
              <w:rPr>
                <w:rFonts w:cs="Arial"/>
                <w:color w:val="000000"/>
                <w:sz w:val="22"/>
                <w:szCs w:val="22"/>
                <w:lang w:eastAsia="en-AU"/>
              </w:rPr>
            </w:pPr>
            <w:r>
              <w:rPr>
                <w:rFonts w:cs="Arial"/>
                <w:color w:val="000000"/>
                <w:sz w:val="22"/>
                <w:szCs w:val="22"/>
              </w:rPr>
              <w:t>(81)</w:t>
            </w:r>
          </w:p>
        </w:tc>
      </w:tr>
      <w:tr w:rsidR="00CC6DF7" w:rsidRPr="00E5103B" w14:paraId="5EA744D0" w14:textId="77777777" w:rsidTr="00CC6DF7">
        <w:trPr>
          <w:trHeight w:val="167"/>
        </w:trPr>
        <w:tc>
          <w:tcPr>
            <w:tcW w:w="5821" w:type="dxa"/>
            <w:tcBorders>
              <w:top w:val="nil"/>
              <w:left w:val="nil"/>
              <w:bottom w:val="nil"/>
              <w:right w:val="nil"/>
            </w:tcBorders>
            <w:shd w:val="clear" w:color="auto" w:fill="auto"/>
            <w:vAlign w:val="center"/>
            <w:hideMark/>
          </w:tcPr>
          <w:p w14:paraId="5EA744CA" w14:textId="77777777" w:rsidR="00CC6DF7" w:rsidRPr="00E5103B" w:rsidRDefault="00CC6DF7" w:rsidP="00E5103B">
            <w:pPr>
              <w:rPr>
                <w:rFonts w:cs="Arial"/>
                <w:color w:val="000000"/>
                <w:sz w:val="22"/>
                <w:szCs w:val="22"/>
                <w:lang w:eastAsia="en-AU"/>
              </w:rPr>
            </w:pPr>
            <w:r>
              <w:rPr>
                <w:rFonts w:cs="Arial"/>
                <w:color w:val="000000"/>
                <w:sz w:val="22"/>
                <w:szCs w:val="22"/>
                <w:lang w:eastAsia="en-AU"/>
              </w:rPr>
              <w:t>Face to face fundraising f</w:t>
            </w:r>
            <w:r w:rsidRPr="00E5103B">
              <w:rPr>
                <w:rFonts w:cs="Arial"/>
                <w:color w:val="000000"/>
                <w:sz w:val="22"/>
                <w:szCs w:val="22"/>
                <w:lang w:eastAsia="en-AU"/>
              </w:rPr>
              <w:t>ees</w:t>
            </w:r>
          </w:p>
        </w:tc>
        <w:tc>
          <w:tcPr>
            <w:tcW w:w="1573" w:type="dxa"/>
            <w:tcBorders>
              <w:top w:val="nil"/>
              <w:left w:val="nil"/>
              <w:bottom w:val="nil"/>
              <w:right w:val="nil"/>
            </w:tcBorders>
            <w:shd w:val="clear" w:color="000000" w:fill="BFBFBF" w:themeFill="background1" w:themeFillShade="BF"/>
            <w:vAlign w:val="bottom"/>
          </w:tcPr>
          <w:p w14:paraId="5EA744CE" w14:textId="77777777" w:rsidR="00CC6DF7" w:rsidRDefault="00CC6DF7">
            <w:pPr>
              <w:jc w:val="right"/>
              <w:rPr>
                <w:rFonts w:cs="Arial"/>
                <w:color w:val="000000"/>
                <w:sz w:val="22"/>
                <w:szCs w:val="22"/>
              </w:rPr>
            </w:pPr>
            <w:r>
              <w:rPr>
                <w:rFonts w:cs="Arial"/>
                <w:color w:val="000000"/>
                <w:sz w:val="22"/>
                <w:szCs w:val="22"/>
              </w:rPr>
              <w:t>(748)</w:t>
            </w:r>
          </w:p>
        </w:tc>
        <w:tc>
          <w:tcPr>
            <w:tcW w:w="1574" w:type="dxa"/>
            <w:tcBorders>
              <w:top w:val="nil"/>
              <w:left w:val="nil"/>
              <w:bottom w:val="nil"/>
              <w:right w:val="nil"/>
            </w:tcBorders>
            <w:shd w:val="clear" w:color="auto" w:fill="auto"/>
            <w:noWrap/>
            <w:vAlign w:val="bottom"/>
            <w:hideMark/>
          </w:tcPr>
          <w:p w14:paraId="5EA744CF" w14:textId="77777777" w:rsidR="00CC6DF7" w:rsidRPr="00E5103B" w:rsidRDefault="00CC6DF7" w:rsidP="001A6917">
            <w:pPr>
              <w:jc w:val="right"/>
              <w:rPr>
                <w:rFonts w:cs="Arial"/>
                <w:color w:val="000000"/>
                <w:sz w:val="22"/>
                <w:szCs w:val="22"/>
                <w:lang w:eastAsia="en-AU"/>
              </w:rPr>
            </w:pPr>
            <w:r>
              <w:rPr>
                <w:rFonts w:cs="Arial"/>
                <w:color w:val="000000"/>
                <w:sz w:val="22"/>
                <w:szCs w:val="22"/>
              </w:rPr>
              <w:t>(976)</w:t>
            </w:r>
          </w:p>
        </w:tc>
      </w:tr>
      <w:tr w:rsidR="00CC6DF7" w:rsidRPr="00E5103B" w14:paraId="5EA744D7" w14:textId="77777777" w:rsidTr="00CC6DF7">
        <w:trPr>
          <w:trHeight w:val="167"/>
        </w:trPr>
        <w:tc>
          <w:tcPr>
            <w:tcW w:w="5821" w:type="dxa"/>
            <w:tcBorders>
              <w:top w:val="nil"/>
              <w:left w:val="nil"/>
              <w:bottom w:val="nil"/>
              <w:right w:val="nil"/>
            </w:tcBorders>
            <w:shd w:val="clear" w:color="auto" w:fill="auto"/>
            <w:vAlign w:val="center"/>
            <w:hideMark/>
          </w:tcPr>
          <w:p w14:paraId="5EA744D1" w14:textId="77777777" w:rsidR="00CC6DF7" w:rsidRPr="00E5103B" w:rsidRDefault="00CC6DF7" w:rsidP="00A53383">
            <w:pPr>
              <w:rPr>
                <w:rFonts w:cs="Arial"/>
                <w:color w:val="000000"/>
                <w:sz w:val="22"/>
                <w:szCs w:val="22"/>
                <w:lang w:eastAsia="en-AU"/>
              </w:rPr>
            </w:pPr>
            <w:r w:rsidRPr="00E5103B">
              <w:rPr>
                <w:rFonts w:cs="Arial"/>
                <w:color w:val="000000"/>
                <w:sz w:val="22"/>
                <w:szCs w:val="22"/>
                <w:lang w:eastAsia="en-AU"/>
              </w:rPr>
              <w:t xml:space="preserve">Legal </w:t>
            </w:r>
            <w:r>
              <w:rPr>
                <w:rFonts w:cs="Arial"/>
                <w:color w:val="000000"/>
                <w:sz w:val="22"/>
                <w:szCs w:val="22"/>
                <w:lang w:eastAsia="en-AU"/>
              </w:rPr>
              <w:t>f</w:t>
            </w:r>
            <w:r w:rsidRPr="00E5103B">
              <w:rPr>
                <w:rFonts w:cs="Arial"/>
                <w:color w:val="000000"/>
                <w:sz w:val="22"/>
                <w:szCs w:val="22"/>
                <w:lang w:eastAsia="en-AU"/>
              </w:rPr>
              <w:t>ees</w:t>
            </w:r>
          </w:p>
        </w:tc>
        <w:tc>
          <w:tcPr>
            <w:tcW w:w="1573" w:type="dxa"/>
            <w:tcBorders>
              <w:top w:val="nil"/>
              <w:left w:val="nil"/>
              <w:bottom w:val="nil"/>
              <w:right w:val="nil"/>
            </w:tcBorders>
            <w:shd w:val="clear" w:color="000000" w:fill="BFBFBF" w:themeFill="background1" w:themeFillShade="BF"/>
            <w:vAlign w:val="bottom"/>
          </w:tcPr>
          <w:p w14:paraId="5EA744D5" w14:textId="77777777" w:rsidR="00CC6DF7" w:rsidRDefault="00CC6DF7">
            <w:pPr>
              <w:jc w:val="right"/>
              <w:rPr>
                <w:rFonts w:cs="Arial"/>
                <w:color w:val="000000"/>
                <w:sz w:val="22"/>
                <w:szCs w:val="22"/>
              </w:rPr>
            </w:pPr>
            <w:r>
              <w:rPr>
                <w:rFonts w:cs="Arial"/>
                <w:color w:val="000000"/>
                <w:sz w:val="22"/>
                <w:szCs w:val="22"/>
              </w:rPr>
              <w:t>(15)</w:t>
            </w:r>
          </w:p>
        </w:tc>
        <w:tc>
          <w:tcPr>
            <w:tcW w:w="1574" w:type="dxa"/>
            <w:tcBorders>
              <w:top w:val="nil"/>
              <w:left w:val="nil"/>
              <w:bottom w:val="nil"/>
              <w:right w:val="nil"/>
            </w:tcBorders>
            <w:shd w:val="clear" w:color="auto" w:fill="auto"/>
            <w:noWrap/>
            <w:vAlign w:val="bottom"/>
            <w:hideMark/>
          </w:tcPr>
          <w:p w14:paraId="5EA744D6" w14:textId="77777777" w:rsidR="00CC6DF7" w:rsidRPr="00E5103B" w:rsidRDefault="00CC6DF7" w:rsidP="001A6917">
            <w:pPr>
              <w:jc w:val="right"/>
              <w:rPr>
                <w:rFonts w:cs="Arial"/>
                <w:color w:val="000000"/>
                <w:sz w:val="22"/>
                <w:szCs w:val="22"/>
                <w:lang w:eastAsia="en-AU"/>
              </w:rPr>
            </w:pPr>
            <w:r>
              <w:rPr>
                <w:rFonts w:cs="Arial"/>
                <w:color w:val="000000"/>
                <w:sz w:val="22"/>
                <w:szCs w:val="22"/>
              </w:rPr>
              <w:t>(12)</w:t>
            </w:r>
          </w:p>
        </w:tc>
      </w:tr>
      <w:tr w:rsidR="00CC6DF7" w:rsidRPr="00E5103B" w14:paraId="5EA744DE" w14:textId="77777777" w:rsidTr="00CC6DF7">
        <w:trPr>
          <w:trHeight w:val="175"/>
        </w:trPr>
        <w:tc>
          <w:tcPr>
            <w:tcW w:w="5821" w:type="dxa"/>
            <w:tcBorders>
              <w:top w:val="nil"/>
              <w:left w:val="nil"/>
              <w:bottom w:val="nil"/>
              <w:right w:val="nil"/>
            </w:tcBorders>
            <w:shd w:val="clear" w:color="auto" w:fill="auto"/>
            <w:vAlign w:val="center"/>
            <w:hideMark/>
          </w:tcPr>
          <w:p w14:paraId="5EA744D8" w14:textId="77777777" w:rsidR="00CC6DF7" w:rsidRPr="00E5103B" w:rsidRDefault="00CC6DF7" w:rsidP="00A53383">
            <w:pPr>
              <w:rPr>
                <w:rFonts w:cs="Arial"/>
                <w:color w:val="000000"/>
                <w:sz w:val="22"/>
                <w:szCs w:val="22"/>
                <w:lang w:eastAsia="en-AU"/>
              </w:rPr>
            </w:pPr>
            <w:r w:rsidRPr="00E5103B">
              <w:rPr>
                <w:rFonts w:cs="Arial"/>
                <w:color w:val="000000"/>
                <w:sz w:val="22"/>
                <w:szCs w:val="22"/>
                <w:lang w:eastAsia="en-AU"/>
              </w:rPr>
              <w:t xml:space="preserve">Other </w:t>
            </w:r>
            <w:r>
              <w:rPr>
                <w:rFonts w:cs="Arial"/>
                <w:color w:val="000000"/>
                <w:sz w:val="22"/>
                <w:szCs w:val="22"/>
                <w:lang w:eastAsia="en-AU"/>
              </w:rPr>
              <w:t>fundraising e</w:t>
            </w:r>
            <w:r w:rsidRPr="00E5103B">
              <w:rPr>
                <w:rFonts w:cs="Arial"/>
                <w:color w:val="000000"/>
                <w:sz w:val="22"/>
                <w:szCs w:val="22"/>
                <w:lang w:eastAsia="en-AU"/>
              </w:rPr>
              <w:t>xpenses</w:t>
            </w:r>
          </w:p>
        </w:tc>
        <w:tc>
          <w:tcPr>
            <w:tcW w:w="1573" w:type="dxa"/>
            <w:tcBorders>
              <w:top w:val="nil"/>
              <w:left w:val="nil"/>
              <w:bottom w:val="single" w:sz="12" w:space="0" w:color="auto"/>
              <w:right w:val="nil"/>
            </w:tcBorders>
            <w:shd w:val="clear" w:color="000000" w:fill="BFBFBF" w:themeFill="background1" w:themeFillShade="BF"/>
            <w:vAlign w:val="bottom"/>
          </w:tcPr>
          <w:p w14:paraId="5EA744DC" w14:textId="77777777" w:rsidR="00CC6DF7" w:rsidRDefault="00CC6DF7">
            <w:pPr>
              <w:jc w:val="right"/>
              <w:rPr>
                <w:rFonts w:cs="Arial"/>
                <w:color w:val="000000"/>
                <w:sz w:val="22"/>
                <w:szCs w:val="22"/>
              </w:rPr>
            </w:pPr>
            <w:r>
              <w:rPr>
                <w:rFonts w:cs="Arial"/>
                <w:color w:val="000000"/>
                <w:sz w:val="22"/>
                <w:szCs w:val="22"/>
              </w:rPr>
              <w:t>(5,415)</w:t>
            </w:r>
          </w:p>
        </w:tc>
        <w:tc>
          <w:tcPr>
            <w:tcW w:w="1574" w:type="dxa"/>
            <w:tcBorders>
              <w:top w:val="nil"/>
              <w:left w:val="nil"/>
              <w:bottom w:val="single" w:sz="12" w:space="0" w:color="auto"/>
              <w:right w:val="nil"/>
            </w:tcBorders>
            <w:shd w:val="clear" w:color="auto" w:fill="auto"/>
            <w:noWrap/>
            <w:vAlign w:val="bottom"/>
            <w:hideMark/>
          </w:tcPr>
          <w:p w14:paraId="5EA744DD" w14:textId="77777777" w:rsidR="00CC6DF7" w:rsidRPr="00E5103B" w:rsidRDefault="00CC6DF7" w:rsidP="001A6917">
            <w:pPr>
              <w:jc w:val="right"/>
              <w:rPr>
                <w:rFonts w:cs="Arial"/>
                <w:color w:val="000000"/>
                <w:sz w:val="22"/>
                <w:szCs w:val="22"/>
                <w:lang w:eastAsia="en-AU"/>
              </w:rPr>
            </w:pPr>
            <w:r>
              <w:rPr>
                <w:rFonts w:cs="Arial"/>
                <w:color w:val="000000"/>
                <w:sz w:val="22"/>
                <w:szCs w:val="22"/>
              </w:rPr>
              <w:t>(5,049)</w:t>
            </w:r>
          </w:p>
        </w:tc>
      </w:tr>
      <w:tr w:rsidR="00CC6DF7" w:rsidRPr="00E5103B" w14:paraId="5EA744E5" w14:textId="77777777" w:rsidTr="00CC6DF7">
        <w:trPr>
          <w:trHeight w:val="184"/>
        </w:trPr>
        <w:tc>
          <w:tcPr>
            <w:tcW w:w="5821" w:type="dxa"/>
            <w:tcBorders>
              <w:top w:val="nil"/>
              <w:left w:val="nil"/>
              <w:bottom w:val="nil"/>
              <w:right w:val="nil"/>
            </w:tcBorders>
            <w:shd w:val="clear" w:color="auto" w:fill="auto"/>
            <w:vAlign w:val="center"/>
            <w:hideMark/>
          </w:tcPr>
          <w:p w14:paraId="5EA744DF" w14:textId="349F1B08" w:rsidR="00CC6DF7" w:rsidRPr="00E5103B" w:rsidRDefault="00374C7E" w:rsidP="00E5103B">
            <w:pPr>
              <w:rPr>
                <w:rFonts w:cs="Arial"/>
                <w:color w:val="000000"/>
                <w:sz w:val="22"/>
                <w:szCs w:val="22"/>
                <w:lang w:eastAsia="en-AU"/>
              </w:rPr>
            </w:pPr>
            <w:r>
              <w:rPr>
                <w:rFonts w:cs="Arial"/>
                <w:color w:val="000000"/>
                <w:sz w:val="22"/>
                <w:szCs w:val="22"/>
                <w:lang w:eastAsia="en-AU"/>
              </w:rPr>
              <w:t>Total expenses</w:t>
            </w:r>
          </w:p>
        </w:tc>
        <w:tc>
          <w:tcPr>
            <w:tcW w:w="1573" w:type="dxa"/>
            <w:tcBorders>
              <w:top w:val="nil"/>
              <w:left w:val="nil"/>
              <w:bottom w:val="single" w:sz="12" w:space="0" w:color="auto"/>
              <w:right w:val="nil"/>
            </w:tcBorders>
            <w:shd w:val="clear" w:color="000000" w:fill="BFBFBF" w:themeFill="background1" w:themeFillShade="BF"/>
            <w:vAlign w:val="bottom"/>
          </w:tcPr>
          <w:p w14:paraId="5EA744E3" w14:textId="77777777" w:rsidR="00CC6DF7" w:rsidRDefault="00CC6DF7" w:rsidP="002955F7">
            <w:pPr>
              <w:jc w:val="right"/>
              <w:rPr>
                <w:rFonts w:cs="Arial"/>
                <w:color w:val="000000"/>
                <w:sz w:val="22"/>
                <w:szCs w:val="22"/>
              </w:rPr>
            </w:pPr>
            <w:r>
              <w:rPr>
                <w:rFonts w:cs="Arial"/>
                <w:color w:val="000000"/>
                <w:sz w:val="22"/>
                <w:szCs w:val="22"/>
              </w:rPr>
              <w:t>(11,243)</w:t>
            </w:r>
          </w:p>
        </w:tc>
        <w:tc>
          <w:tcPr>
            <w:tcW w:w="1574" w:type="dxa"/>
            <w:tcBorders>
              <w:top w:val="nil"/>
              <w:left w:val="nil"/>
              <w:bottom w:val="single" w:sz="12" w:space="0" w:color="auto"/>
              <w:right w:val="nil"/>
            </w:tcBorders>
            <w:shd w:val="clear" w:color="auto" w:fill="auto"/>
            <w:noWrap/>
            <w:vAlign w:val="bottom"/>
            <w:hideMark/>
          </w:tcPr>
          <w:p w14:paraId="5EA744E4" w14:textId="77777777" w:rsidR="00CC6DF7" w:rsidRPr="00E5103B" w:rsidRDefault="00CC6DF7" w:rsidP="001A6917">
            <w:pPr>
              <w:jc w:val="right"/>
              <w:rPr>
                <w:rFonts w:cs="Arial"/>
                <w:color w:val="000000"/>
                <w:sz w:val="22"/>
                <w:szCs w:val="22"/>
                <w:lang w:eastAsia="en-AU"/>
              </w:rPr>
            </w:pPr>
            <w:r>
              <w:rPr>
                <w:rFonts w:cs="Arial"/>
                <w:color w:val="000000"/>
                <w:sz w:val="22"/>
                <w:szCs w:val="22"/>
              </w:rPr>
              <w:t>(11,781)</w:t>
            </w:r>
          </w:p>
        </w:tc>
      </w:tr>
      <w:tr w:rsidR="00CC6DF7" w:rsidRPr="00E5103B" w14:paraId="5EA744EC" w14:textId="77777777" w:rsidTr="00CC6DF7">
        <w:trPr>
          <w:trHeight w:val="234"/>
        </w:trPr>
        <w:tc>
          <w:tcPr>
            <w:tcW w:w="5821" w:type="dxa"/>
            <w:tcBorders>
              <w:top w:val="nil"/>
              <w:left w:val="nil"/>
              <w:bottom w:val="nil"/>
              <w:right w:val="nil"/>
            </w:tcBorders>
            <w:shd w:val="clear" w:color="auto" w:fill="auto"/>
            <w:vAlign w:val="center"/>
            <w:hideMark/>
          </w:tcPr>
          <w:p w14:paraId="5EA744E6" w14:textId="77777777" w:rsidR="00CC6DF7" w:rsidRPr="00E5103B" w:rsidRDefault="00CC6DF7" w:rsidP="00E5103B">
            <w:pPr>
              <w:rPr>
                <w:rFonts w:cs="Arial"/>
                <w:color w:val="000000"/>
                <w:sz w:val="22"/>
                <w:szCs w:val="22"/>
                <w:lang w:eastAsia="en-AU"/>
              </w:rPr>
            </w:pPr>
            <w:r w:rsidRPr="00E5103B">
              <w:rPr>
                <w:rFonts w:cs="Arial"/>
                <w:color w:val="000000"/>
                <w:sz w:val="22"/>
                <w:szCs w:val="22"/>
                <w:lang w:eastAsia="en-AU"/>
              </w:rPr>
              <w:t xml:space="preserve">Net </w:t>
            </w:r>
            <w:r>
              <w:rPr>
                <w:rFonts w:cs="Arial"/>
                <w:color w:val="000000"/>
                <w:sz w:val="22"/>
                <w:szCs w:val="22"/>
                <w:lang w:eastAsia="en-AU"/>
              </w:rPr>
              <w:t>surplus from fundraising a</w:t>
            </w:r>
            <w:r w:rsidRPr="00E5103B">
              <w:rPr>
                <w:rFonts w:cs="Arial"/>
                <w:color w:val="000000"/>
                <w:sz w:val="22"/>
                <w:szCs w:val="22"/>
                <w:lang w:eastAsia="en-AU"/>
              </w:rPr>
              <w:t>ppeals</w:t>
            </w:r>
          </w:p>
        </w:tc>
        <w:tc>
          <w:tcPr>
            <w:tcW w:w="1573" w:type="dxa"/>
            <w:tcBorders>
              <w:top w:val="nil"/>
              <w:left w:val="nil"/>
              <w:bottom w:val="single" w:sz="12" w:space="0" w:color="auto"/>
              <w:right w:val="nil"/>
            </w:tcBorders>
            <w:shd w:val="clear" w:color="000000" w:fill="BFBFBF" w:themeFill="background1" w:themeFillShade="BF"/>
            <w:vAlign w:val="bottom"/>
          </w:tcPr>
          <w:p w14:paraId="5EA744EA" w14:textId="77777777" w:rsidR="00CC6DF7" w:rsidRDefault="00CC6DF7">
            <w:pPr>
              <w:jc w:val="right"/>
              <w:rPr>
                <w:rFonts w:cs="Arial"/>
                <w:color w:val="000000"/>
                <w:sz w:val="22"/>
                <w:szCs w:val="22"/>
              </w:rPr>
            </w:pPr>
            <w:r>
              <w:rPr>
                <w:rFonts w:cs="Arial"/>
                <w:color w:val="000000"/>
                <w:sz w:val="22"/>
                <w:szCs w:val="22"/>
              </w:rPr>
              <w:t>14,990</w:t>
            </w:r>
          </w:p>
        </w:tc>
        <w:tc>
          <w:tcPr>
            <w:tcW w:w="1574" w:type="dxa"/>
            <w:tcBorders>
              <w:top w:val="nil"/>
              <w:left w:val="nil"/>
              <w:bottom w:val="single" w:sz="12" w:space="0" w:color="auto"/>
              <w:right w:val="nil"/>
            </w:tcBorders>
            <w:shd w:val="clear" w:color="auto" w:fill="auto"/>
            <w:noWrap/>
            <w:vAlign w:val="bottom"/>
            <w:hideMark/>
          </w:tcPr>
          <w:p w14:paraId="5EA744EB" w14:textId="77777777" w:rsidR="00CC6DF7" w:rsidRPr="00E5103B" w:rsidRDefault="00CC6DF7" w:rsidP="001A6917">
            <w:pPr>
              <w:jc w:val="right"/>
              <w:rPr>
                <w:rFonts w:cs="Arial"/>
                <w:color w:val="000000"/>
                <w:sz w:val="22"/>
                <w:szCs w:val="22"/>
                <w:lang w:eastAsia="en-AU"/>
              </w:rPr>
            </w:pPr>
            <w:r>
              <w:rPr>
                <w:rFonts w:cs="Arial"/>
                <w:color w:val="000000"/>
                <w:sz w:val="22"/>
                <w:szCs w:val="22"/>
              </w:rPr>
              <w:t>13,654</w:t>
            </w:r>
          </w:p>
        </w:tc>
      </w:tr>
    </w:tbl>
    <w:p w14:paraId="56DCD6B9" w14:textId="77777777" w:rsidR="00374C7E" w:rsidRDefault="00374C7E"/>
    <w:tbl>
      <w:tblPr>
        <w:tblW w:w="8968" w:type="dxa"/>
        <w:tblInd w:w="-34" w:type="dxa"/>
        <w:tblLook w:val="04A0" w:firstRow="1" w:lastRow="0" w:firstColumn="1" w:lastColumn="0" w:noHBand="0" w:noVBand="1"/>
      </w:tblPr>
      <w:tblGrid>
        <w:gridCol w:w="5821"/>
        <w:gridCol w:w="1573"/>
        <w:gridCol w:w="1574"/>
      </w:tblGrid>
      <w:tr w:rsidR="00374C7E" w:rsidRPr="00E5103B" w14:paraId="72660D39" w14:textId="77777777" w:rsidTr="00374C7E">
        <w:trPr>
          <w:trHeight w:val="175"/>
          <w:tblHeader/>
        </w:trPr>
        <w:tc>
          <w:tcPr>
            <w:tcW w:w="5821" w:type="dxa"/>
            <w:tcBorders>
              <w:top w:val="nil"/>
              <w:left w:val="nil"/>
              <w:bottom w:val="nil"/>
              <w:right w:val="nil"/>
            </w:tcBorders>
            <w:shd w:val="clear" w:color="auto" w:fill="auto"/>
            <w:vAlign w:val="bottom"/>
          </w:tcPr>
          <w:p w14:paraId="61C76DC3" w14:textId="77777777" w:rsidR="00374C7E" w:rsidRPr="00E5103B" w:rsidRDefault="00374C7E" w:rsidP="00E5103B">
            <w:pPr>
              <w:rPr>
                <w:rFonts w:cs="Arial"/>
                <w:b/>
                <w:bCs/>
                <w:color w:val="000000"/>
                <w:sz w:val="22"/>
                <w:szCs w:val="22"/>
                <w:lang w:eastAsia="en-AU"/>
              </w:rPr>
            </w:pPr>
            <w:bookmarkStart w:id="374" w:name="Table_72"/>
            <w:bookmarkEnd w:id="374"/>
          </w:p>
        </w:tc>
        <w:tc>
          <w:tcPr>
            <w:tcW w:w="1573" w:type="dxa"/>
            <w:tcBorders>
              <w:top w:val="nil"/>
              <w:left w:val="nil"/>
              <w:bottom w:val="single" w:sz="12" w:space="0" w:color="auto"/>
              <w:right w:val="nil"/>
            </w:tcBorders>
            <w:shd w:val="clear" w:color="000000" w:fill="BFBFBF" w:themeFill="background1" w:themeFillShade="BF"/>
            <w:vAlign w:val="center"/>
          </w:tcPr>
          <w:p w14:paraId="3ACACAB3" w14:textId="4FE49AD8" w:rsidR="00374C7E" w:rsidRDefault="00374C7E">
            <w:pPr>
              <w:jc w:val="right"/>
              <w:rPr>
                <w:rFonts w:cs="Arial"/>
                <w:color w:val="000000"/>
                <w:sz w:val="22"/>
                <w:szCs w:val="22"/>
              </w:rPr>
            </w:pPr>
            <w:r w:rsidRPr="00CC6DF7">
              <w:rPr>
                <w:rFonts w:cs="Arial"/>
                <w:b/>
                <w:bCs/>
                <w:color w:val="000000"/>
                <w:sz w:val="22"/>
                <w:szCs w:val="22"/>
                <w:lang w:eastAsia="en-AU"/>
              </w:rPr>
              <w:t>2015</w:t>
            </w:r>
          </w:p>
        </w:tc>
        <w:tc>
          <w:tcPr>
            <w:tcW w:w="1574" w:type="dxa"/>
            <w:tcBorders>
              <w:top w:val="nil"/>
              <w:left w:val="nil"/>
              <w:bottom w:val="single" w:sz="12" w:space="0" w:color="auto"/>
              <w:right w:val="nil"/>
            </w:tcBorders>
            <w:shd w:val="clear" w:color="auto" w:fill="auto"/>
            <w:noWrap/>
            <w:vAlign w:val="center"/>
          </w:tcPr>
          <w:p w14:paraId="10CF0E58" w14:textId="10152D29" w:rsidR="00374C7E" w:rsidRDefault="00374C7E" w:rsidP="001A6917">
            <w:pPr>
              <w:jc w:val="right"/>
              <w:rPr>
                <w:rFonts w:cs="Arial"/>
                <w:color w:val="000000"/>
                <w:sz w:val="22"/>
                <w:szCs w:val="22"/>
              </w:rPr>
            </w:pPr>
            <w:r w:rsidRPr="00133BE9">
              <w:rPr>
                <w:rFonts w:cs="Arial"/>
                <w:bCs/>
                <w:color w:val="000000"/>
                <w:sz w:val="22"/>
                <w:szCs w:val="22"/>
                <w:lang w:eastAsia="en-AU"/>
              </w:rPr>
              <w:t>2014</w:t>
            </w:r>
          </w:p>
        </w:tc>
      </w:tr>
      <w:tr w:rsidR="00374C7E" w:rsidRPr="00E5103B" w14:paraId="5EA74501" w14:textId="77777777" w:rsidTr="00CC6DF7">
        <w:trPr>
          <w:trHeight w:val="175"/>
        </w:trPr>
        <w:tc>
          <w:tcPr>
            <w:tcW w:w="5821" w:type="dxa"/>
            <w:tcBorders>
              <w:top w:val="nil"/>
              <w:left w:val="nil"/>
              <w:bottom w:val="nil"/>
              <w:right w:val="nil"/>
            </w:tcBorders>
            <w:shd w:val="clear" w:color="auto" w:fill="auto"/>
            <w:vAlign w:val="bottom"/>
            <w:hideMark/>
          </w:tcPr>
          <w:p w14:paraId="5EA744FB" w14:textId="77777777" w:rsidR="00374C7E" w:rsidRPr="00E5103B" w:rsidRDefault="00374C7E" w:rsidP="00E5103B">
            <w:pPr>
              <w:rPr>
                <w:rFonts w:cs="Arial"/>
                <w:b/>
                <w:bCs/>
                <w:color w:val="000000"/>
                <w:sz w:val="22"/>
                <w:szCs w:val="22"/>
                <w:lang w:eastAsia="en-AU"/>
              </w:rPr>
            </w:pPr>
            <w:r w:rsidRPr="00E5103B">
              <w:rPr>
                <w:rFonts w:cs="Arial"/>
                <w:b/>
                <w:bCs/>
                <w:color w:val="000000"/>
                <w:sz w:val="22"/>
                <w:szCs w:val="22"/>
                <w:lang w:eastAsia="en-AU"/>
              </w:rPr>
              <w:t>Bequest Income</w:t>
            </w:r>
          </w:p>
        </w:tc>
        <w:tc>
          <w:tcPr>
            <w:tcW w:w="1573" w:type="dxa"/>
            <w:tcBorders>
              <w:top w:val="nil"/>
              <w:left w:val="nil"/>
              <w:bottom w:val="single" w:sz="12" w:space="0" w:color="auto"/>
              <w:right w:val="nil"/>
            </w:tcBorders>
            <w:shd w:val="clear" w:color="000000" w:fill="BFBFBF" w:themeFill="background1" w:themeFillShade="BF"/>
            <w:vAlign w:val="bottom"/>
          </w:tcPr>
          <w:p w14:paraId="5EA744FF" w14:textId="77777777" w:rsidR="00374C7E" w:rsidRDefault="00374C7E">
            <w:pPr>
              <w:jc w:val="right"/>
              <w:rPr>
                <w:rFonts w:cs="Arial"/>
                <w:color w:val="000000"/>
                <w:sz w:val="22"/>
                <w:szCs w:val="22"/>
              </w:rPr>
            </w:pPr>
            <w:r>
              <w:rPr>
                <w:rFonts w:cs="Arial"/>
                <w:color w:val="000000"/>
                <w:sz w:val="22"/>
                <w:szCs w:val="22"/>
              </w:rPr>
              <w:t>16,674</w:t>
            </w:r>
          </w:p>
        </w:tc>
        <w:tc>
          <w:tcPr>
            <w:tcW w:w="1574" w:type="dxa"/>
            <w:tcBorders>
              <w:top w:val="nil"/>
              <w:left w:val="nil"/>
              <w:bottom w:val="single" w:sz="12" w:space="0" w:color="auto"/>
              <w:right w:val="nil"/>
            </w:tcBorders>
            <w:shd w:val="clear" w:color="auto" w:fill="auto"/>
            <w:noWrap/>
            <w:vAlign w:val="bottom"/>
            <w:hideMark/>
          </w:tcPr>
          <w:p w14:paraId="5EA74500" w14:textId="77777777" w:rsidR="00374C7E" w:rsidRPr="00E5103B" w:rsidRDefault="00374C7E" w:rsidP="001A6917">
            <w:pPr>
              <w:jc w:val="right"/>
              <w:rPr>
                <w:rFonts w:cs="Arial"/>
                <w:color w:val="000000"/>
                <w:sz w:val="22"/>
                <w:szCs w:val="22"/>
                <w:lang w:eastAsia="en-AU"/>
              </w:rPr>
            </w:pPr>
            <w:r>
              <w:rPr>
                <w:rFonts w:cs="Arial"/>
                <w:color w:val="000000"/>
                <w:sz w:val="22"/>
                <w:szCs w:val="22"/>
              </w:rPr>
              <w:t>17,164</w:t>
            </w:r>
          </w:p>
        </w:tc>
      </w:tr>
    </w:tbl>
    <w:p w14:paraId="712668B9" w14:textId="77777777" w:rsidR="00374C7E" w:rsidRDefault="00374C7E"/>
    <w:tbl>
      <w:tblPr>
        <w:tblW w:w="8968" w:type="dxa"/>
        <w:tblInd w:w="-34" w:type="dxa"/>
        <w:tblLook w:val="04A0" w:firstRow="1" w:lastRow="0" w:firstColumn="1" w:lastColumn="0" w:noHBand="0" w:noVBand="1"/>
      </w:tblPr>
      <w:tblGrid>
        <w:gridCol w:w="5821"/>
        <w:gridCol w:w="1573"/>
        <w:gridCol w:w="1574"/>
      </w:tblGrid>
      <w:tr w:rsidR="00374C7E" w:rsidRPr="00E5103B" w14:paraId="5EA7450F" w14:textId="77777777" w:rsidTr="00374C7E">
        <w:trPr>
          <w:trHeight w:val="167"/>
          <w:tblHeader/>
        </w:trPr>
        <w:tc>
          <w:tcPr>
            <w:tcW w:w="5821" w:type="dxa"/>
            <w:tcBorders>
              <w:top w:val="nil"/>
              <w:left w:val="nil"/>
              <w:bottom w:val="nil"/>
              <w:right w:val="nil"/>
            </w:tcBorders>
            <w:shd w:val="clear" w:color="auto" w:fill="auto"/>
            <w:vAlign w:val="center"/>
          </w:tcPr>
          <w:p w14:paraId="5EA74509" w14:textId="77777777" w:rsidR="00374C7E" w:rsidRPr="00374C7E" w:rsidRDefault="00374C7E" w:rsidP="00E5103B">
            <w:pPr>
              <w:rPr>
                <w:rFonts w:cs="Arial"/>
                <w:b/>
                <w:color w:val="000000"/>
                <w:sz w:val="22"/>
                <w:szCs w:val="22"/>
                <w:lang w:eastAsia="en-AU"/>
              </w:rPr>
            </w:pPr>
            <w:bookmarkStart w:id="375" w:name="Table_73"/>
            <w:bookmarkEnd w:id="375"/>
            <w:r w:rsidRPr="00374C7E">
              <w:rPr>
                <w:rFonts w:cs="Arial"/>
                <w:b/>
                <w:color w:val="000000"/>
                <w:sz w:val="22"/>
                <w:szCs w:val="22"/>
                <w:lang w:eastAsia="en-AU"/>
              </w:rPr>
              <w:t>Less bequest expenses:</w:t>
            </w:r>
          </w:p>
        </w:tc>
        <w:tc>
          <w:tcPr>
            <w:tcW w:w="1573" w:type="dxa"/>
            <w:tcBorders>
              <w:top w:val="nil"/>
              <w:left w:val="nil"/>
              <w:bottom w:val="nil"/>
              <w:right w:val="nil"/>
            </w:tcBorders>
            <w:shd w:val="clear" w:color="000000" w:fill="BFBFBF" w:themeFill="background1" w:themeFillShade="BF"/>
            <w:vAlign w:val="center"/>
          </w:tcPr>
          <w:p w14:paraId="5EA7450D" w14:textId="5BE61296" w:rsidR="00374C7E" w:rsidRDefault="00374C7E">
            <w:pPr>
              <w:jc w:val="right"/>
              <w:rPr>
                <w:rFonts w:cs="Arial"/>
                <w:color w:val="000000"/>
                <w:sz w:val="22"/>
                <w:szCs w:val="22"/>
              </w:rPr>
            </w:pPr>
            <w:r w:rsidRPr="00CC6DF7">
              <w:rPr>
                <w:rFonts w:cs="Arial"/>
                <w:b/>
                <w:bCs/>
                <w:color w:val="000000"/>
                <w:sz w:val="22"/>
                <w:szCs w:val="22"/>
                <w:lang w:eastAsia="en-AU"/>
              </w:rPr>
              <w:t>2015</w:t>
            </w:r>
          </w:p>
        </w:tc>
        <w:tc>
          <w:tcPr>
            <w:tcW w:w="1574" w:type="dxa"/>
            <w:tcBorders>
              <w:top w:val="nil"/>
              <w:left w:val="nil"/>
              <w:bottom w:val="nil"/>
              <w:right w:val="nil"/>
            </w:tcBorders>
            <w:shd w:val="clear" w:color="auto" w:fill="auto"/>
            <w:noWrap/>
            <w:vAlign w:val="center"/>
          </w:tcPr>
          <w:p w14:paraId="5EA7450E" w14:textId="2463DFD5" w:rsidR="00374C7E" w:rsidRPr="00E5103B" w:rsidRDefault="00374C7E" w:rsidP="001A6917">
            <w:pPr>
              <w:jc w:val="right"/>
              <w:rPr>
                <w:rFonts w:cs="Arial"/>
                <w:color w:val="000000"/>
                <w:sz w:val="22"/>
                <w:szCs w:val="22"/>
                <w:lang w:eastAsia="en-AU"/>
              </w:rPr>
            </w:pPr>
            <w:r w:rsidRPr="00133BE9">
              <w:rPr>
                <w:rFonts w:cs="Arial"/>
                <w:bCs/>
                <w:color w:val="000000"/>
                <w:sz w:val="22"/>
                <w:szCs w:val="22"/>
                <w:lang w:eastAsia="en-AU"/>
              </w:rPr>
              <w:t>2014</w:t>
            </w:r>
          </w:p>
        </w:tc>
      </w:tr>
      <w:tr w:rsidR="00374C7E" w:rsidRPr="00E5103B" w14:paraId="5EA74516" w14:textId="77777777" w:rsidTr="00CC6DF7">
        <w:trPr>
          <w:trHeight w:val="167"/>
        </w:trPr>
        <w:tc>
          <w:tcPr>
            <w:tcW w:w="5821" w:type="dxa"/>
            <w:tcBorders>
              <w:top w:val="nil"/>
              <w:left w:val="nil"/>
              <w:bottom w:val="nil"/>
              <w:right w:val="nil"/>
            </w:tcBorders>
            <w:shd w:val="clear" w:color="auto" w:fill="auto"/>
            <w:vAlign w:val="center"/>
            <w:hideMark/>
          </w:tcPr>
          <w:p w14:paraId="5EA74510" w14:textId="77777777" w:rsidR="00374C7E" w:rsidRPr="00E5103B" w:rsidRDefault="00374C7E" w:rsidP="00E5103B">
            <w:pPr>
              <w:rPr>
                <w:rFonts w:cs="Arial"/>
                <w:color w:val="000000"/>
                <w:sz w:val="22"/>
                <w:szCs w:val="22"/>
                <w:lang w:eastAsia="en-AU"/>
              </w:rPr>
            </w:pPr>
            <w:r w:rsidRPr="00E5103B">
              <w:rPr>
                <w:rFonts w:cs="Arial"/>
                <w:color w:val="000000"/>
                <w:sz w:val="22"/>
                <w:szCs w:val="22"/>
                <w:lang w:eastAsia="en-AU"/>
              </w:rPr>
              <w:t>Salaries and Wages</w:t>
            </w:r>
          </w:p>
        </w:tc>
        <w:tc>
          <w:tcPr>
            <w:tcW w:w="1573" w:type="dxa"/>
            <w:tcBorders>
              <w:top w:val="nil"/>
              <w:left w:val="nil"/>
              <w:bottom w:val="nil"/>
              <w:right w:val="nil"/>
            </w:tcBorders>
            <w:shd w:val="clear" w:color="000000" w:fill="BFBFBF" w:themeFill="background1" w:themeFillShade="BF"/>
            <w:vAlign w:val="bottom"/>
          </w:tcPr>
          <w:p w14:paraId="5EA74514" w14:textId="77777777" w:rsidR="00374C7E" w:rsidRDefault="00374C7E" w:rsidP="001A6917">
            <w:pPr>
              <w:jc w:val="right"/>
              <w:rPr>
                <w:rFonts w:cs="Arial"/>
                <w:color w:val="000000"/>
                <w:sz w:val="22"/>
                <w:szCs w:val="22"/>
              </w:rPr>
            </w:pPr>
            <w:r>
              <w:rPr>
                <w:rFonts w:cs="Arial"/>
                <w:color w:val="000000"/>
                <w:sz w:val="22"/>
                <w:szCs w:val="22"/>
              </w:rPr>
              <w:t>(353)</w:t>
            </w:r>
          </w:p>
        </w:tc>
        <w:tc>
          <w:tcPr>
            <w:tcW w:w="1574" w:type="dxa"/>
            <w:tcBorders>
              <w:top w:val="nil"/>
              <w:left w:val="nil"/>
              <w:bottom w:val="nil"/>
              <w:right w:val="nil"/>
            </w:tcBorders>
            <w:shd w:val="clear" w:color="auto" w:fill="auto"/>
            <w:noWrap/>
            <w:vAlign w:val="bottom"/>
            <w:hideMark/>
          </w:tcPr>
          <w:p w14:paraId="5EA74515" w14:textId="77777777" w:rsidR="00374C7E" w:rsidRPr="00E5103B" w:rsidRDefault="00374C7E" w:rsidP="001A6917">
            <w:pPr>
              <w:jc w:val="right"/>
              <w:rPr>
                <w:rFonts w:cs="Arial"/>
                <w:color w:val="000000"/>
                <w:sz w:val="22"/>
                <w:szCs w:val="22"/>
                <w:lang w:eastAsia="en-AU"/>
              </w:rPr>
            </w:pPr>
            <w:r>
              <w:rPr>
                <w:rFonts w:cs="Arial"/>
                <w:color w:val="000000"/>
                <w:sz w:val="22"/>
                <w:szCs w:val="22"/>
              </w:rPr>
              <w:t>(359)</w:t>
            </w:r>
          </w:p>
        </w:tc>
      </w:tr>
      <w:tr w:rsidR="00374C7E" w:rsidRPr="00E5103B" w14:paraId="5EA7451D" w14:textId="77777777" w:rsidTr="00CC6DF7">
        <w:trPr>
          <w:trHeight w:val="167"/>
        </w:trPr>
        <w:tc>
          <w:tcPr>
            <w:tcW w:w="5821" w:type="dxa"/>
            <w:tcBorders>
              <w:top w:val="nil"/>
              <w:left w:val="nil"/>
              <w:bottom w:val="nil"/>
              <w:right w:val="nil"/>
            </w:tcBorders>
            <w:shd w:val="clear" w:color="auto" w:fill="auto"/>
            <w:vAlign w:val="center"/>
            <w:hideMark/>
          </w:tcPr>
          <w:p w14:paraId="5EA74517" w14:textId="77777777" w:rsidR="00374C7E" w:rsidRPr="00E5103B" w:rsidRDefault="00374C7E" w:rsidP="00E5103B">
            <w:pPr>
              <w:rPr>
                <w:rFonts w:cs="Arial"/>
                <w:color w:val="000000"/>
                <w:sz w:val="22"/>
                <w:szCs w:val="22"/>
                <w:lang w:eastAsia="en-AU"/>
              </w:rPr>
            </w:pPr>
            <w:r w:rsidRPr="00E5103B">
              <w:rPr>
                <w:rFonts w:cs="Arial"/>
                <w:color w:val="000000"/>
                <w:sz w:val="22"/>
                <w:szCs w:val="22"/>
                <w:lang w:eastAsia="en-AU"/>
              </w:rPr>
              <w:t>Legal Fees</w:t>
            </w:r>
          </w:p>
        </w:tc>
        <w:tc>
          <w:tcPr>
            <w:tcW w:w="1573" w:type="dxa"/>
            <w:tcBorders>
              <w:top w:val="nil"/>
              <w:left w:val="nil"/>
              <w:bottom w:val="nil"/>
              <w:right w:val="nil"/>
            </w:tcBorders>
            <w:shd w:val="clear" w:color="000000" w:fill="BFBFBF" w:themeFill="background1" w:themeFillShade="BF"/>
            <w:vAlign w:val="bottom"/>
          </w:tcPr>
          <w:p w14:paraId="5EA7451B" w14:textId="77777777" w:rsidR="00374C7E" w:rsidRDefault="00374C7E" w:rsidP="001A6917">
            <w:pPr>
              <w:jc w:val="right"/>
              <w:rPr>
                <w:rFonts w:cs="Arial"/>
                <w:color w:val="000000"/>
                <w:sz w:val="22"/>
                <w:szCs w:val="22"/>
              </w:rPr>
            </w:pPr>
            <w:r>
              <w:rPr>
                <w:rFonts w:cs="Arial"/>
                <w:color w:val="000000"/>
                <w:sz w:val="22"/>
                <w:szCs w:val="22"/>
              </w:rPr>
              <w:t>(116)</w:t>
            </w:r>
          </w:p>
        </w:tc>
        <w:tc>
          <w:tcPr>
            <w:tcW w:w="1574" w:type="dxa"/>
            <w:tcBorders>
              <w:top w:val="nil"/>
              <w:left w:val="nil"/>
              <w:bottom w:val="nil"/>
              <w:right w:val="nil"/>
            </w:tcBorders>
            <w:shd w:val="clear" w:color="auto" w:fill="auto"/>
            <w:noWrap/>
            <w:vAlign w:val="bottom"/>
            <w:hideMark/>
          </w:tcPr>
          <w:p w14:paraId="5EA7451C" w14:textId="77777777" w:rsidR="00374C7E" w:rsidRPr="00E5103B" w:rsidRDefault="00374C7E" w:rsidP="001A6917">
            <w:pPr>
              <w:jc w:val="right"/>
              <w:rPr>
                <w:rFonts w:cs="Arial"/>
                <w:color w:val="000000"/>
                <w:sz w:val="22"/>
                <w:szCs w:val="22"/>
                <w:lang w:eastAsia="en-AU"/>
              </w:rPr>
            </w:pPr>
            <w:r>
              <w:rPr>
                <w:rFonts w:cs="Arial"/>
                <w:color w:val="000000"/>
                <w:sz w:val="22"/>
                <w:szCs w:val="22"/>
              </w:rPr>
              <w:t>(27)</w:t>
            </w:r>
          </w:p>
        </w:tc>
      </w:tr>
      <w:tr w:rsidR="00374C7E" w:rsidRPr="00E5103B" w14:paraId="5EA74524" w14:textId="77777777" w:rsidTr="00CC6DF7">
        <w:trPr>
          <w:trHeight w:val="175"/>
        </w:trPr>
        <w:tc>
          <w:tcPr>
            <w:tcW w:w="5821" w:type="dxa"/>
            <w:tcBorders>
              <w:top w:val="nil"/>
              <w:left w:val="nil"/>
              <w:bottom w:val="nil"/>
              <w:right w:val="nil"/>
            </w:tcBorders>
            <w:shd w:val="clear" w:color="auto" w:fill="auto"/>
            <w:vAlign w:val="center"/>
            <w:hideMark/>
          </w:tcPr>
          <w:p w14:paraId="5EA7451E" w14:textId="77777777" w:rsidR="00374C7E" w:rsidRPr="00E5103B" w:rsidRDefault="00374C7E" w:rsidP="00E5103B">
            <w:pPr>
              <w:rPr>
                <w:rFonts w:cs="Arial"/>
                <w:color w:val="000000"/>
                <w:sz w:val="22"/>
                <w:szCs w:val="22"/>
                <w:lang w:eastAsia="en-AU"/>
              </w:rPr>
            </w:pPr>
            <w:r w:rsidRPr="00E5103B">
              <w:rPr>
                <w:rFonts w:cs="Arial"/>
                <w:color w:val="000000"/>
                <w:sz w:val="22"/>
                <w:szCs w:val="22"/>
                <w:lang w:eastAsia="en-AU"/>
              </w:rPr>
              <w:t>Other Bequest Expenses</w:t>
            </w:r>
          </w:p>
        </w:tc>
        <w:tc>
          <w:tcPr>
            <w:tcW w:w="1573" w:type="dxa"/>
            <w:tcBorders>
              <w:top w:val="nil"/>
              <w:left w:val="nil"/>
              <w:bottom w:val="single" w:sz="12" w:space="0" w:color="auto"/>
              <w:right w:val="nil"/>
            </w:tcBorders>
            <w:shd w:val="clear" w:color="000000" w:fill="BFBFBF" w:themeFill="background1" w:themeFillShade="BF"/>
            <w:vAlign w:val="bottom"/>
          </w:tcPr>
          <w:p w14:paraId="5EA74522" w14:textId="77777777" w:rsidR="00374C7E" w:rsidRDefault="00374C7E" w:rsidP="002955F7">
            <w:pPr>
              <w:jc w:val="right"/>
              <w:rPr>
                <w:rFonts w:cs="Arial"/>
                <w:color w:val="000000"/>
                <w:sz w:val="22"/>
                <w:szCs w:val="22"/>
              </w:rPr>
            </w:pPr>
            <w:r>
              <w:rPr>
                <w:rFonts w:cs="Arial"/>
                <w:color w:val="000000"/>
                <w:sz w:val="22"/>
                <w:szCs w:val="22"/>
              </w:rPr>
              <w:t>(205)</w:t>
            </w:r>
          </w:p>
        </w:tc>
        <w:tc>
          <w:tcPr>
            <w:tcW w:w="1574" w:type="dxa"/>
            <w:tcBorders>
              <w:top w:val="nil"/>
              <w:left w:val="nil"/>
              <w:bottom w:val="single" w:sz="12" w:space="0" w:color="auto"/>
              <w:right w:val="nil"/>
            </w:tcBorders>
            <w:shd w:val="clear" w:color="auto" w:fill="auto"/>
            <w:noWrap/>
            <w:vAlign w:val="bottom"/>
            <w:hideMark/>
          </w:tcPr>
          <w:p w14:paraId="5EA74523" w14:textId="77777777" w:rsidR="00374C7E" w:rsidRPr="00E5103B" w:rsidRDefault="00374C7E" w:rsidP="001A6917">
            <w:pPr>
              <w:jc w:val="right"/>
              <w:rPr>
                <w:rFonts w:cs="Arial"/>
                <w:color w:val="000000"/>
                <w:sz w:val="22"/>
                <w:szCs w:val="22"/>
                <w:lang w:eastAsia="en-AU"/>
              </w:rPr>
            </w:pPr>
            <w:r>
              <w:rPr>
                <w:rFonts w:cs="Arial"/>
                <w:color w:val="000000"/>
                <w:sz w:val="22"/>
                <w:szCs w:val="22"/>
              </w:rPr>
              <w:t>(155)</w:t>
            </w:r>
          </w:p>
        </w:tc>
      </w:tr>
      <w:tr w:rsidR="00374C7E" w:rsidRPr="00E5103B" w14:paraId="5EA7452B" w14:textId="77777777" w:rsidTr="00CC6DF7">
        <w:trPr>
          <w:trHeight w:val="184"/>
        </w:trPr>
        <w:tc>
          <w:tcPr>
            <w:tcW w:w="5821" w:type="dxa"/>
            <w:tcBorders>
              <w:top w:val="nil"/>
              <w:left w:val="nil"/>
              <w:bottom w:val="nil"/>
              <w:right w:val="nil"/>
            </w:tcBorders>
            <w:shd w:val="clear" w:color="auto" w:fill="auto"/>
            <w:vAlign w:val="center"/>
            <w:hideMark/>
          </w:tcPr>
          <w:p w14:paraId="5EA74525" w14:textId="268EB1F7" w:rsidR="00374C7E" w:rsidRPr="00E5103B" w:rsidRDefault="00374C7E" w:rsidP="00E5103B">
            <w:pPr>
              <w:rPr>
                <w:rFonts w:cs="Arial"/>
                <w:color w:val="000000"/>
                <w:sz w:val="22"/>
                <w:szCs w:val="22"/>
                <w:lang w:eastAsia="en-AU"/>
              </w:rPr>
            </w:pPr>
            <w:r>
              <w:rPr>
                <w:rFonts w:cs="Arial"/>
                <w:color w:val="000000"/>
                <w:sz w:val="22"/>
                <w:szCs w:val="22"/>
                <w:lang w:eastAsia="en-AU"/>
              </w:rPr>
              <w:t>Total bequest expenses</w:t>
            </w:r>
          </w:p>
        </w:tc>
        <w:tc>
          <w:tcPr>
            <w:tcW w:w="1573" w:type="dxa"/>
            <w:tcBorders>
              <w:top w:val="nil"/>
              <w:left w:val="nil"/>
              <w:bottom w:val="single" w:sz="12" w:space="0" w:color="auto"/>
              <w:right w:val="nil"/>
            </w:tcBorders>
            <w:shd w:val="clear" w:color="000000" w:fill="BFBFBF" w:themeFill="background1" w:themeFillShade="BF"/>
            <w:vAlign w:val="bottom"/>
          </w:tcPr>
          <w:p w14:paraId="5EA74529" w14:textId="77777777" w:rsidR="00374C7E" w:rsidRDefault="00374C7E" w:rsidP="001A6917">
            <w:pPr>
              <w:jc w:val="right"/>
              <w:rPr>
                <w:rFonts w:cs="Arial"/>
                <w:color w:val="000000"/>
                <w:sz w:val="22"/>
                <w:szCs w:val="22"/>
              </w:rPr>
            </w:pPr>
            <w:r>
              <w:rPr>
                <w:rFonts w:cs="Arial"/>
                <w:color w:val="000000"/>
                <w:sz w:val="22"/>
                <w:szCs w:val="22"/>
              </w:rPr>
              <w:t>(674)</w:t>
            </w:r>
          </w:p>
        </w:tc>
        <w:tc>
          <w:tcPr>
            <w:tcW w:w="1574" w:type="dxa"/>
            <w:tcBorders>
              <w:top w:val="nil"/>
              <w:left w:val="nil"/>
              <w:bottom w:val="single" w:sz="12" w:space="0" w:color="auto"/>
              <w:right w:val="nil"/>
            </w:tcBorders>
            <w:shd w:val="clear" w:color="auto" w:fill="auto"/>
            <w:noWrap/>
            <w:vAlign w:val="bottom"/>
            <w:hideMark/>
          </w:tcPr>
          <w:p w14:paraId="5EA7452A" w14:textId="77777777" w:rsidR="00374C7E" w:rsidRPr="00E5103B" w:rsidRDefault="00374C7E" w:rsidP="001A6917">
            <w:pPr>
              <w:jc w:val="right"/>
              <w:rPr>
                <w:rFonts w:cs="Arial"/>
                <w:color w:val="000000"/>
                <w:sz w:val="22"/>
                <w:szCs w:val="22"/>
                <w:lang w:eastAsia="en-AU"/>
              </w:rPr>
            </w:pPr>
            <w:r>
              <w:rPr>
                <w:rFonts w:cs="Arial"/>
                <w:color w:val="000000"/>
                <w:sz w:val="22"/>
                <w:szCs w:val="22"/>
              </w:rPr>
              <w:t>(541)</w:t>
            </w:r>
          </w:p>
        </w:tc>
      </w:tr>
      <w:tr w:rsidR="00374C7E" w:rsidRPr="00E5103B" w14:paraId="5EA74532" w14:textId="77777777" w:rsidTr="00CC6DF7">
        <w:trPr>
          <w:trHeight w:val="184"/>
        </w:trPr>
        <w:tc>
          <w:tcPr>
            <w:tcW w:w="5821" w:type="dxa"/>
            <w:tcBorders>
              <w:top w:val="nil"/>
              <w:left w:val="nil"/>
              <w:bottom w:val="nil"/>
              <w:right w:val="nil"/>
            </w:tcBorders>
            <w:shd w:val="clear" w:color="auto" w:fill="auto"/>
            <w:vAlign w:val="center"/>
            <w:hideMark/>
          </w:tcPr>
          <w:p w14:paraId="5EA7452C" w14:textId="77777777" w:rsidR="00374C7E" w:rsidRPr="00E5103B" w:rsidRDefault="00374C7E" w:rsidP="00E5103B">
            <w:pPr>
              <w:rPr>
                <w:rFonts w:cs="Arial"/>
                <w:color w:val="000000"/>
                <w:sz w:val="22"/>
                <w:szCs w:val="22"/>
                <w:lang w:eastAsia="en-AU"/>
              </w:rPr>
            </w:pPr>
            <w:r>
              <w:rPr>
                <w:rFonts w:cs="Arial"/>
                <w:color w:val="000000"/>
                <w:sz w:val="22"/>
                <w:szCs w:val="22"/>
                <w:lang w:eastAsia="en-AU"/>
              </w:rPr>
              <w:t>Net s</w:t>
            </w:r>
            <w:r w:rsidRPr="00E5103B">
              <w:rPr>
                <w:rFonts w:cs="Arial"/>
                <w:color w:val="000000"/>
                <w:sz w:val="22"/>
                <w:szCs w:val="22"/>
                <w:lang w:eastAsia="en-AU"/>
              </w:rPr>
              <w:t>urplus from Bequests</w:t>
            </w:r>
          </w:p>
        </w:tc>
        <w:tc>
          <w:tcPr>
            <w:tcW w:w="1573" w:type="dxa"/>
            <w:tcBorders>
              <w:top w:val="nil"/>
              <w:left w:val="nil"/>
              <w:bottom w:val="single" w:sz="12" w:space="0" w:color="auto"/>
              <w:right w:val="nil"/>
            </w:tcBorders>
            <w:shd w:val="clear" w:color="000000" w:fill="BFBFBF" w:themeFill="background1" w:themeFillShade="BF"/>
            <w:vAlign w:val="bottom"/>
          </w:tcPr>
          <w:p w14:paraId="5EA74530" w14:textId="77777777" w:rsidR="00374C7E" w:rsidRDefault="00374C7E" w:rsidP="001A6917">
            <w:pPr>
              <w:jc w:val="right"/>
              <w:rPr>
                <w:rFonts w:cs="Arial"/>
                <w:color w:val="000000"/>
                <w:sz w:val="22"/>
                <w:szCs w:val="22"/>
              </w:rPr>
            </w:pPr>
            <w:r>
              <w:rPr>
                <w:rFonts w:cs="Arial"/>
                <w:color w:val="000000"/>
                <w:sz w:val="22"/>
                <w:szCs w:val="22"/>
              </w:rPr>
              <w:t>16,000</w:t>
            </w:r>
          </w:p>
        </w:tc>
        <w:tc>
          <w:tcPr>
            <w:tcW w:w="1574" w:type="dxa"/>
            <w:tcBorders>
              <w:top w:val="nil"/>
              <w:left w:val="nil"/>
              <w:bottom w:val="single" w:sz="12" w:space="0" w:color="auto"/>
              <w:right w:val="nil"/>
            </w:tcBorders>
            <w:shd w:val="clear" w:color="auto" w:fill="auto"/>
            <w:noWrap/>
            <w:vAlign w:val="bottom"/>
            <w:hideMark/>
          </w:tcPr>
          <w:p w14:paraId="5EA74531" w14:textId="77777777" w:rsidR="00374C7E" w:rsidRPr="00E5103B" w:rsidRDefault="00374C7E" w:rsidP="001A6917">
            <w:pPr>
              <w:jc w:val="right"/>
              <w:rPr>
                <w:rFonts w:cs="Arial"/>
                <w:color w:val="000000"/>
                <w:sz w:val="22"/>
                <w:szCs w:val="22"/>
                <w:lang w:eastAsia="en-AU"/>
              </w:rPr>
            </w:pPr>
            <w:r>
              <w:rPr>
                <w:rFonts w:cs="Arial"/>
                <w:color w:val="000000"/>
                <w:sz w:val="22"/>
                <w:szCs w:val="22"/>
              </w:rPr>
              <w:t>16,623</w:t>
            </w:r>
          </w:p>
        </w:tc>
      </w:tr>
    </w:tbl>
    <w:p w14:paraId="4B4E246D" w14:textId="77777777" w:rsidR="00374C7E" w:rsidRDefault="00374C7E"/>
    <w:tbl>
      <w:tblPr>
        <w:tblW w:w="8968" w:type="dxa"/>
        <w:tblInd w:w="-34" w:type="dxa"/>
        <w:tblLook w:val="04A0" w:firstRow="1" w:lastRow="0" w:firstColumn="1" w:lastColumn="0" w:noHBand="0" w:noVBand="1"/>
      </w:tblPr>
      <w:tblGrid>
        <w:gridCol w:w="5821"/>
        <w:gridCol w:w="1573"/>
        <w:gridCol w:w="1574"/>
      </w:tblGrid>
      <w:tr w:rsidR="00374C7E" w14:paraId="5764AE3E" w14:textId="77777777" w:rsidTr="00374C7E">
        <w:trPr>
          <w:trHeight w:val="175"/>
          <w:tblHeader/>
        </w:trPr>
        <w:tc>
          <w:tcPr>
            <w:tcW w:w="5821" w:type="dxa"/>
            <w:tcBorders>
              <w:top w:val="nil"/>
              <w:left w:val="nil"/>
              <w:bottom w:val="nil"/>
              <w:right w:val="nil"/>
            </w:tcBorders>
            <w:shd w:val="clear" w:color="auto" w:fill="auto"/>
            <w:vAlign w:val="bottom"/>
          </w:tcPr>
          <w:p w14:paraId="16F9FCAA" w14:textId="77777777" w:rsidR="00374C7E" w:rsidRPr="00E5103B" w:rsidRDefault="00374C7E" w:rsidP="002B368D">
            <w:pPr>
              <w:rPr>
                <w:rFonts w:cs="Arial"/>
                <w:b/>
                <w:bCs/>
                <w:color w:val="000000"/>
                <w:sz w:val="22"/>
                <w:szCs w:val="22"/>
                <w:lang w:eastAsia="en-AU"/>
              </w:rPr>
            </w:pPr>
            <w:bookmarkStart w:id="376" w:name="Table_74"/>
            <w:bookmarkEnd w:id="376"/>
          </w:p>
        </w:tc>
        <w:tc>
          <w:tcPr>
            <w:tcW w:w="1573" w:type="dxa"/>
            <w:tcBorders>
              <w:top w:val="nil"/>
              <w:left w:val="nil"/>
              <w:bottom w:val="single" w:sz="12" w:space="0" w:color="auto"/>
              <w:right w:val="nil"/>
            </w:tcBorders>
            <w:shd w:val="clear" w:color="000000" w:fill="BFBFBF" w:themeFill="background1" w:themeFillShade="BF"/>
            <w:vAlign w:val="center"/>
          </w:tcPr>
          <w:p w14:paraId="0F5EB185" w14:textId="77777777" w:rsidR="00374C7E" w:rsidRDefault="00374C7E" w:rsidP="002B368D">
            <w:pPr>
              <w:jc w:val="right"/>
              <w:rPr>
                <w:rFonts w:cs="Arial"/>
                <w:color w:val="000000"/>
                <w:sz w:val="22"/>
                <w:szCs w:val="22"/>
              </w:rPr>
            </w:pPr>
            <w:r w:rsidRPr="00CC6DF7">
              <w:rPr>
                <w:rFonts w:cs="Arial"/>
                <w:b/>
                <w:bCs/>
                <w:color w:val="000000"/>
                <w:sz w:val="22"/>
                <w:szCs w:val="22"/>
                <w:lang w:eastAsia="en-AU"/>
              </w:rPr>
              <w:t>2015</w:t>
            </w:r>
          </w:p>
        </w:tc>
        <w:tc>
          <w:tcPr>
            <w:tcW w:w="1574" w:type="dxa"/>
            <w:tcBorders>
              <w:top w:val="nil"/>
              <w:left w:val="nil"/>
              <w:bottom w:val="single" w:sz="12" w:space="0" w:color="auto"/>
              <w:right w:val="nil"/>
            </w:tcBorders>
            <w:shd w:val="clear" w:color="auto" w:fill="auto"/>
            <w:noWrap/>
            <w:vAlign w:val="center"/>
          </w:tcPr>
          <w:p w14:paraId="3ECCF1CA" w14:textId="77777777" w:rsidR="00374C7E" w:rsidRDefault="00374C7E" w:rsidP="002B368D">
            <w:pPr>
              <w:jc w:val="right"/>
              <w:rPr>
                <w:rFonts w:cs="Arial"/>
                <w:color w:val="000000"/>
                <w:sz w:val="22"/>
                <w:szCs w:val="22"/>
              </w:rPr>
            </w:pPr>
            <w:r w:rsidRPr="00133BE9">
              <w:rPr>
                <w:rFonts w:cs="Arial"/>
                <w:bCs/>
                <w:color w:val="000000"/>
                <w:sz w:val="22"/>
                <w:szCs w:val="22"/>
                <w:lang w:eastAsia="en-AU"/>
              </w:rPr>
              <w:t>2014</w:t>
            </w:r>
          </w:p>
        </w:tc>
      </w:tr>
      <w:tr w:rsidR="00374C7E" w:rsidRPr="00E5103B" w14:paraId="5EA74540" w14:textId="77777777" w:rsidTr="00CC6DF7">
        <w:trPr>
          <w:trHeight w:val="326"/>
        </w:trPr>
        <w:tc>
          <w:tcPr>
            <w:tcW w:w="5821" w:type="dxa"/>
            <w:tcBorders>
              <w:top w:val="nil"/>
              <w:left w:val="nil"/>
              <w:bottom w:val="nil"/>
              <w:right w:val="nil"/>
            </w:tcBorders>
            <w:shd w:val="clear" w:color="auto" w:fill="auto"/>
            <w:vAlign w:val="center"/>
            <w:hideMark/>
          </w:tcPr>
          <w:p w14:paraId="5EA7453A" w14:textId="77777777" w:rsidR="00374C7E" w:rsidRPr="00E5103B" w:rsidRDefault="00374C7E" w:rsidP="00E5103B">
            <w:pPr>
              <w:rPr>
                <w:rFonts w:cs="Arial"/>
                <w:color w:val="000000"/>
                <w:sz w:val="22"/>
                <w:szCs w:val="22"/>
                <w:lang w:eastAsia="en-AU"/>
              </w:rPr>
            </w:pPr>
            <w:r w:rsidRPr="00E5103B">
              <w:rPr>
                <w:rFonts w:cs="Arial"/>
                <w:color w:val="000000"/>
                <w:sz w:val="22"/>
                <w:szCs w:val="22"/>
                <w:lang w:eastAsia="en-AU"/>
              </w:rPr>
              <w:t xml:space="preserve">Net </w:t>
            </w:r>
            <w:r>
              <w:rPr>
                <w:rFonts w:cs="Arial"/>
                <w:color w:val="000000"/>
                <w:sz w:val="22"/>
                <w:szCs w:val="22"/>
                <w:lang w:eastAsia="en-AU"/>
              </w:rPr>
              <w:t>s</w:t>
            </w:r>
            <w:r w:rsidRPr="00E5103B">
              <w:rPr>
                <w:rFonts w:cs="Arial"/>
                <w:color w:val="000000"/>
                <w:sz w:val="22"/>
                <w:szCs w:val="22"/>
                <w:lang w:eastAsia="en-AU"/>
              </w:rPr>
              <w:t>urplus from fundraising appeals and bequests</w:t>
            </w:r>
          </w:p>
        </w:tc>
        <w:tc>
          <w:tcPr>
            <w:tcW w:w="1573" w:type="dxa"/>
            <w:tcBorders>
              <w:top w:val="nil"/>
              <w:left w:val="nil"/>
              <w:bottom w:val="single" w:sz="12" w:space="0" w:color="auto"/>
              <w:right w:val="nil"/>
            </w:tcBorders>
            <w:shd w:val="clear" w:color="000000" w:fill="BFBFBF" w:themeFill="background1" w:themeFillShade="BF"/>
            <w:vAlign w:val="bottom"/>
          </w:tcPr>
          <w:p w14:paraId="5EA7453E" w14:textId="77777777" w:rsidR="00374C7E" w:rsidRDefault="00374C7E" w:rsidP="001A6917">
            <w:pPr>
              <w:jc w:val="right"/>
              <w:rPr>
                <w:rFonts w:cs="Arial"/>
                <w:color w:val="000000"/>
                <w:sz w:val="22"/>
                <w:szCs w:val="22"/>
              </w:rPr>
            </w:pPr>
            <w:r>
              <w:rPr>
                <w:rFonts w:cs="Arial"/>
                <w:color w:val="000000"/>
                <w:sz w:val="22"/>
                <w:szCs w:val="22"/>
              </w:rPr>
              <w:t>30,990</w:t>
            </w:r>
          </w:p>
        </w:tc>
        <w:tc>
          <w:tcPr>
            <w:tcW w:w="1574" w:type="dxa"/>
            <w:tcBorders>
              <w:top w:val="nil"/>
              <w:left w:val="nil"/>
              <w:bottom w:val="single" w:sz="12" w:space="0" w:color="auto"/>
              <w:right w:val="nil"/>
            </w:tcBorders>
            <w:shd w:val="clear" w:color="auto" w:fill="auto"/>
            <w:noWrap/>
            <w:vAlign w:val="bottom"/>
            <w:hideMark/>
          </w:tcPr>
          <w:p w14:paraId="5EA7453F" w14:textId="77777777" w:rsidR="00374C7E" w:rsidRPr="00E5103B" w:rsidRDefault="00374C7E" w:rsidP="001A6917">
            <w:pPr>
              <w:jc w:val="right"/>
              <w:rPr>
                <w:rFonts w:cs="Arial"/>
                <w:color w:val="000000"/>
                <w:sz w:val="22"/>
                <w:szCs w:val="22"/>
                <w:lang w:eastAsia="en-AU"/>
              </w:rPr>
            </w:pPr>
            <w:r>
              <w:rPr>
                <w:rFonts w:cs="Arial"/>
                <w:color w:val="000000"/>
                <w:sz w:val="22"/>
                <w:szCs w:val="22"/>
              </w:rPr>
              <w:t>30,277</w:t>
            </w:r>
          </w:p>
        </w:tc>
      </w:tr>
    </w:tbl>
    <w:p w14:paraId="5EA74541" w14:textId="77777777" w:rsidR="00983B4C" w:rsidRPr="007540D9" w:rsidRDefault="00983B4C">
      <w:pPr>
        <w:rPr>
          <w:rFonts w:cs="Arial"/>
          <w:b/>
          <w:sz w:val="22"/>
          <w:szCs w:val="22"/>
        </w:rPr>
      </w:pPr>
    </w:p>
    <w:p w14:paraId="5EA74542" w14:textId="77777777" w:rsidR="00A95447" w:rsidRDefault="00A95447">
      <w:pPr>
        <w:rPr>
          <w:rFonts w:ascii="Times New Roman" w:hAnsi="Times New Roman"/>
          <w:sz w:val="20"/>
          <w:szCs w:val="20"/>
          <w:lang w:eastAsia="en-AU"/>
        </w:rPr>
      </w:pPr>
    </w:p>
    <w:p w14:paraId="091C0CCB" w14:textId="77777777" w:rsidR="00A9569E" w:rsidRDefault="00A9569E">
      <w:r>
        <w:br w:type="page"/>
      </w:r>
    </w:p>
    <w:p w14:paraId="2DF66581" w14:textId="60A0D3B6" w:rsidR="00A9569E" w:rsidRDefault="00A9569E"/>
    <w:p w14:paraId="14E6E2C2" w14:textId="5191FF2D" w:rsidR="00A9569E" w:rsidRPr="00A9569E" w:rsidRDefault="00A9569E" w:rsidP="00BF287B">
      <w:pPr>
        <w:pStyle w:val="Heading1"/>
      </w:pPr>
      <w:bookmarkStart w:id="377" w:name="_Toc430613791"/>
      <w:r w:rsidRPr="00A9569E">
        <w:t xml:space="preserve">Note 32: </w:t>
      </w:r>
      <w:r w:rsidRPr="00A9569E">
        <w:rPr>
          <w:lang w:eastAsia="en-AU"/>
        </w:rPr>
        <w:t>Restructuring Costs</w:t>
      </w:r>
      <w:bookmarkEnd w:id="377"/>
    </w:p>
    <w:p w14:paraId="7895E6B1" w14:textId="77777777" w:rsidR="00A9569E" w:rsidRDefault="00A9569E"/>
    <w:tbl>
      <w:tblPr>
        <w:tblW w:w="6620" w:type="dxa"/>
        <w:tblInd w:w="-34" w:type="dxa"/>
        <w:tblLook w:val="04A0" w:firstRow="1" w:lastRow="0" w:firstColumn="1" w:lastColumn="0" w:noHBand="0" w:noVBand="1"/>
      </w:tblPr>
      <w:tblGrid>
        <w:gridCol w:w="3806"/>
        <w:gridCol w:w="1417"/>
        <w:gridCol w:w="1397"/>
      </w:tblGrid>
      <w:tr w:rsidR="00374C7E" w:rsidRPr="00A94A4A" w14:paraId="5EA74550" w14:textId="77777777" w:rsidTr="00374C7E">
        <w:trPr>
          <w:trHeight w:val="303"/>
        </w:trPr>
        <w:tc>
          <w:tcPr>
            <w:tcW w:w="3806" w:type="dxa"/>
            <w:tcBorders>
              <w:top w:val="nil"/>
              <w:left w:val="nil"/>
              <w:bottom w:val="nil"/>
              <w:right w:val="nil"/>
            </w:tcBorders>
            <w:shd w:val="clear" w:color="auto" w:fill="auto"/>
            <w:vAlign w:val="center"/>
            <w:hideMark/>
          </w:tcPr>
          <w:p w14:paraId="5EA7454A" w14:textId="77777777" w:rsidR="00374C7E" w:rsidRPr="00A94A4A" w:rsidRDefault="00374C7E" w:rsidP="00A94A4A">
            <w:pPr>
              <w:rPr>
                <w:rFonts w:cs="Arial"/>
                <w:color w:val="000000"/>
                <w:sz w:val="22"/>
                <w:szCs w:val="22"/>
                <w:lang w:eastAsia="en-AU"/>
              </w:rPr>
            </w:pPr>
            <w:bookmarkStart w:id="378" w:name="Table_75"/>
            <w:bookmarkEnd w:id="378"/>
            <w:r w:rsidRPr="00A94A4A">
              <w:rPr>
                <w:rFonts w:cs="Arial"/>
                <w:color w:val="000000"/>
                <w:sz w:val="22"/>
                <w:szCs w:val="22"/>
                <w:lang w:eastAsia="en-AU"/>
              </w:rPr>
              <w:t xml:space="preserve">Termination Benefits </w:t>
            </w:r>
          </w:p>
        </w:tc>
        <w:tc>
          <w:tcPr>
            <w:tcW w:w="1417" w:type="dxa"/>
            <w:tcBorders>
              <w:top w:val="nil"/>
              <w:left w:val="nil"/>
              <w:bottom w:val="single" w:sz="12" w:space="0" w:color="auto"/>
              <w:right w:val="nil"/>
            </w:tcBorders>
            <w:shd w:val="clear" w:color="000000" w:fill="BFBFBF" w:themeFill="background1" w:themeFillShade="BF"/>
            <w:vAlign w:val="center"/>
          </w:tcPr>
          <w:p w14:paraId="5EA7454E" w14:textId="77777777" w:rsidR="00374C7E" w:rsidRPr="00A94A4A" w:rsidRDefault="00374C7E" w:rsidP="00A94A4A">
            <w:pPr>
              <w:jc w:val="right"/>
              <w:rPr>
                <w:rFonts w:cs="Arial"/>
                <w:color w:val="000000"/>
                <w:sz w:val="22"/>
                <w:szCs w:val="22"/>
                <w:lang w:eastAsia="en-AU"/>
              </w:rPr>
            </w:pPr>
            <w:r>
              <w:rPr>
                <w:rFonts w:cs="Arial"/>
                <w:color w:val="000000"/>
                <w:sz w:val="22"/>
                <w:szCs w:val="22"/>
                <w:lang w:eastAsia="en-AU"/>
              </w:rPr>
              <w:t>1,789</w:t>
            </w:r>
          </w:p>
        </w:tc>
        <w:tc>
          <w:tcPr>
            <w:tcW w:w="1397" w:type="dxa"/>
            <w:tcBorders>
              <w:top w:val="nil"/>
              <w:left w:val="nil"/>
              <w:bottom w:val="single" w:sz="12" w:space="0" w:color="auto"/>
              <w:right w:val="nil"/>
            </w:tcBorders>
            <w:shd w:val="clear" w:color="auto" w:fill="auto"/>
            <w:vAlign w:val="center"/>
            <w:hideMark/>
          </w:tcPr>
          <w:p w14:paraId="5EA7454F" w14:textId="77777777" w:rsidR="00374C7E" w:rsidRPr="00A94A4A" w:rsidRDefault="00374C7E" w:rsidP="00DA12A7">
            <w:pPr>
              <w:jc w:val="right"/>
              <w:rPr>
                <w:rFonts w:cs="Arial"/>
                <w:color w:val="000000"/>
                <w:sz w:val="22"/>
                <w:szCs w:val="22"/>
                <w:lang w:eastAsia="en-AU"/>
              </w:rPr>
            </w:pPr>
            <w:r>
              <w:rPr>
                <w:rFonts w:cs="Arial"/>
                <w:color w:val="000000"/>
                <w:sz w:val="22"/>
                <w:szCs w:val="22"/>
                <w:lang w:eastAsia="en-AU"/>
              </w:rPr>
              <w:t>1,805</w:t>
            </w:r>
          </w:p>
        </w:tc>
      </w:tr>
      <w:tr w:rsidR="00374C7E" w:rsidRPr="00A94A4A" w14:paraId="5EA74557" w14:textId="77777777" w:rsidTr="00374C7E">
        <w:trPr>
          <w:trHeight w:val="303"/>
        </w:trPr>
        <w:tc>
          <w:tcPr>
            <w:tcW w:w="3806" w:type="dxa"/>
            <w:tcBorders>
              <w:top w:val="nil"/>
              <w:left w:val="nil"/>
              <w:bottom w:val="nil"/>
              <w:right w:val="nil"/>
            </w:tcBorders>
            <w:shd w:val="clear" w:color="auto" w:fill="auto"/>
            <w:vAlign w:val="center"/>
            <w:hideMark/>
          </w:tcPr>
          <w:p w14:paraId="5EA74551" w14:textId="2AE9D558" w:rsidR="00374C7E" w:rsidRPr="00A94A4A" w:rsidRDefault="00374C7E" w:rsidP="00A94A4A">
            <w:pPr>
              <w:rPr>
                <w:rFonts w:cs="Arial"/>
                <w:color w:val="000000"/>
                <w:sz w:val="22"/>
                <w:szCs w:val="22"/>
                <w:lang w:eastAsia="en-AU"/>
              </w:rPr>
            </w:pPr>
            <w:r>
              <w:rPr>
                <w:rFonts w:cs="Arial"/>
                <w:color w:val="000000"/>
                <w:sz w:val="22"/>
                <w:szCs w:val="22"/>
                <w:lang w:eastAsia="en-AU"/>
              </w:rPr>
              <w:t>Total</w:t>
            </w:r>
          </w:p>
        </w:tc>
        <w:tc>
          <w:tcPr>
            <w:tcW w:w="1417" w:type="dxa"/>
            <w:tcBorders>
              <w:top w:val="single" w:sz="12" w:space="0" w:color="auto"/>
              <w:left w:val="nil"/>
              <w:bottom w:val="single" w:sz="12" w:space="0" w:color="auto"/>
              <w:right w:val="nil"/>
            </w:tcBorders>
            <w:shd w:val="clear" w:color="000000" w:fill="BFBFBF" w:themeFill="background1" w:themeFillShade="BF"/>
            <w:vAlign w:val="center"/>
          </w:tcPr>
          <w:p w14:paraId="5EA74555" w14:textId="77777777" w:rsidR="00374C7E" w:rsidRPr="00A94A4A" w:rsidRDefault="00374C7E" w:rsidP="00A94A4A">
            <w:pPr>
              <w:jc w:val="right"/>
              <w:rPr>
                <w:rFonts w:cs="Arial"/>
                <w:color w:val="000000"/>
                <w:sz w:val="22"/>
                <w:szCs w:val="22"/>
                <w:lang w:eastAsia="en-AU"/>
              </w:rPr>
            </w:pPr>
            <w:r>
              <w:rPr>
                <w:rFonts w:cs="Arial"/>
                <w:color w:val="000000"/>
                <w:sz w:val="22"/>
                <w:szCs w:val="22"/>
                <w:lang w:eastAsia="en-AU"/>
              </w:rPr>
              <w:t>1,789</w:t>
            </w:r>
          </w:p>
        </w:tc>
        <w:tc>
          <w:tcPr>
            <w:tcW w:w="1397" w:type="dxa"/>
            <w:tcBorders>
              <w:top w:val="nil"/>
              <w:left w:val="nil"/>
              <w:bottom w:val="single" w:sz="12" w:space="0" w:color="auto"/>
              <w:right w:val="nil"/>
            </w:tcBorders>
            <w:shd w:val="clear" w:color="auto" w:fill="auto"/>
            <w:vAlign w:val="center"/>
            <w:hideMark/>
          </w:tcPr>
          <w:p w14:paraId="5EA74556" w14:textId="77777777" w:rsidR="00374C7E" w:rsidRPr="00A94A4A" w:rsidRDefault="00374C7E" w:rsidP="00DA12A7">
            <w:pPr>
              <w:jc w:val="right"/>
              <w:rPr>
                <w:rFonts w:cs="Arial"/>
                <w:color w:val="000000"/>
                <w:sz w:val="22"/>
                <w:szCs w:val="22"/>
                <w:lang w:eastAsia="en-AU"/>
              </w:rPr>
            </w:pPr>
            <w:r>
              <w:rPr>
                <w:rFonts w:cs="Arial"/>
                <w:color w:val="000000"/>
                <w:sz w:val="22"/>
                <w:szCs w:val="22"/>
                <w:lang w:eastAsia="en-AU"/>
              </w:rPr>
              <w:t>1,805</w:t>
            </w:r>
          </w:p>
        </w:tc>
      </w:tr>
    </w:tbl>
    <w:p w14:paraId="5EA74558" w14:textId="77777777" w:rsidR="00CE1AB0" w:rsidRPr="007540D9" w:rsidRDefault="00CE1AB0">
      <w:pPr>
        <w:rPr>
          <w:rFonts w:cs="Arial"/>
          <w:sz w:val="22"/>
          <w:szCs w:val="22"/>
          <w:lang w:eastAsia="en-AU"/>
        </w:rPr>
      </w:pPr>
    </w:p>
    <w:p w14:paraId="5EA74559" w14:textId="4BA0980D" w:rsidR="006621AC" w:rsidRPr="00A9569E" w:rsidRDefault="006621AC" w:rsidP="00BF287B">
      <w:pPr>
        <w:pStyle w:val="Heading1"/>
      </w:pPr>
      <w:bookmarkStart w:id="379" w:name="_Toc430613792"/>
      <w:r w:rsidRPr="00A9569E">
        <w:t xml:space="preserve">Note </w:t>
      </w:r>
      <w:r w:rsidR="00FD563D" w:rsidRPr="00A9569E">
        <w:t>3</w:t>
      </w:r>
      <w:r w:rsidR="00133BE9" w:rsidRPr="00A9569E">
        <w:t>3</w:t>
      </w:r>
      <w:r w:rsidRPr="00A9569E">
        <w:t>:  Subsequent events</w:t>
      </w:r>
      <w:bookmarkEnd w:id="379"/>
    </w:p>
    <w:p w14:paraId="5EA7455A" w14:textId="77777777" w:rsidR="00CC7806" w:rsidRPr="00C201B8" w:rsidRDefault="00CC7806" w:rsidP="008A6079">
      <w:pPr>
        <w:pStyle w:val="TextPara"/>
        <w:autoSpaceDE/>
        <w:autoSpaceDN/>
        <w:adjustRightInd/>
        <w:jc w:val="both"/>
        <w:rPr>
          <w:rFonts w:cs="Arial"/>
          <w:sz w:val="22"/>
          <w:szCs w:val="22"/>
        </w:rPr>
      </w:pPr>
    </w:p>
    <w:p w14:paraId="5EA7455B" w14:textId="77777777" w:rsidR="00BF5A35" w:rsidRPr="00C201B8" w:rsidRDefault="00C201B8" w:rsidP="004D62B7">
      <w:pPr>
        <w:autoSpaceDE w:val="0"/>
        <w:autoSpaceDN w:val="0"/>
        <w:adjustRightInd w:val="0"/>
        <w:ind w:right="-329"/>
        <w:rPr>
          <w:rFonts w:cs="Arial"/>
          <w:sz w:val="22"/>
          <w:szCs w:val="22"/>
          <w:lang w:eastAsia="en-AU"/>
        </w:rPr>
      </w:pPr>
      <w:r w:rsidRPr="00C201B8">
        <w:rPr>
          <w:rFonts w:cs="Arial"/>
          <w:sz w:val="22"/>
          <w:szCs w:val="22"/>
          <w:lang w:eastAsia="en-AU"/>
        </w:rPr>
        <w:t>There has not been any matter or circumstance occurring subsequent to the end of the financial year that has significantly affected, or may significantly affect, the operations of the consolidated entity, the results of those operations, or the state of affairs of the consolidated entity in future financial years.</w:t>
      </w:r>
    </w:p>
    <w:p w14:paraId="5EA74575" w14:textId="77777777" w:rsidR="00531454" w:rsidRDefault="00531454" w:rsidP="00531454"/>
    <w:p w14:paraId="5EA74576" w14:textId="77777777" w:rsidR="00D77B43" w:rsidRPr="00531454" w:rsidRDefault="00D77B43" w:rsidP="00531454">
      <w:pPr>
        <w:sectPr w:rsidR="00D77B43" w:rsidRPr="00531454" w:rsidSect="00961BF6">
          <w:headerReference w:type="default" r:id="rId48"/>
          <w:headerReference w:type="first" r:id="rId49"/>
          <w:pgSz w:w="11907" w:h="16839" w:code="9"/>
          <w:pgMar w:top="1418" w:right="1440" w:bottom="993" w:left="1440" w:header="720" w:footer="720" w:gutter="0"/>
          <w:cols w:space="708"/>
          <w:titlePg/>
          <w:docGrid w:linePitch="360"/>
        </w:sectPr>
      </w:pPr>
    </w:p>
    <w:p w14:paraId="5EA74577" w14:textId="77777777" w:rsidR="00C54BE5" w:rsidRPr="00990072" w:rsidRDefault="00C54BE5" w:rsidP="00A9569E">
      <w:pPr>
        <w:pStyle w:val="Heading1"/>
      </w:pPr>
      <w:bookmarkStart w:id="380" w:name="_Toc430613793"/>
      <w:r w:rsidRPr="00990072">
        <w:lastRenderedPageBreak/>
        <w:t>Directors’ declaration</w:t>
      </w:r>
      <w:bookmarkEnd w:id="380"/>
    </w:p>
    <w:p w14:paraId="5EA74578" w14:textId="77777777" w:rsidR="00C54BE5" w:rsidRPr="00990072" w:rsidRDefault="00C54BE5" w:rsidP="00C54BE5">
      <w:pPr>
        <w:pStyle w:val="TextPara"/>
        <w:rPr>
          <w:rFonts w:cs="Arial"/>
          <w:sz w:val="22"/>
          <w:szCs w:val="22"/>
        </w:rPr>
      </w:pPr>
    </w:p>
    <w:p w14:paraId="5EA74579" w14:textId="77777777" w:rsidR="00C54BE5" w:rsidRPr="00990072" w:rsidRDefault="00C54BE5" w:rsidP="00C54BE5">
      <w:pPr>
        <w:pStyle w:val="TextPara"/>
        <w:rPr>
          <w:rFonts w:cs="Arial"/>
          <w:sz w:val="22"/>
          <w:szCs w:val="22"/>
        </w:rPr>
      </w:pPr>
      <w:r w:rsidRPr="00990072">
        <w:rPr>
          <w:rFonts w:cs="Arial"/>
          <w:sz w:val="22"/>
          <w:szCs w:val="22"/>
        </w:rPr>
        <w:t>The directors declare that:</w:t>
      </w:r>
    </w:p>
    <w:p w14:paraId="5EA7457A" w14:textId="77777777" w:rsidR="00C54BE5" w:rsidRPr="00990072" w:rsidRDefault="00C54BE5" w:rsidP="00C54BE5">
      <w:pPr>
        <w:pStyle w:val="TextPara"/>
        <w:rPr>
          <w:rFonts w:cs="Arial"/>
          <w:sz w:val="22"/>
          <w:szCs w:val="22"/>
        </w:rPr>
      </w:pPr>
    </w:p>
    <w:p w14:paraId="5EA7457B" w14:textId="77777777" w:rsidR="00C54BE5" w:rsidRPr="00990072" w:rsidRDefault="00C54BE5" w:rsidP="00C54BE5">
      <w:pPr>
        <w:pStyle w:val="TextPara"/>
        <w:ind w:left="561" w:hanging="561"/>
        <w:rPr>
          <w:rFonts w:cs="Arial"/>
          <w:sz w:val="22"/>
          <w:szCs w:val="22"/>
        </w:rPr>
      </w:pPr>
      <w:r w:rsidRPr="00990072">
        <w:rPr>
          <w:rFonts w:cs="Arial"/>
          <w:sz w:val="22"/>
          <w:szCs w:val="22"/>
        </w:rPr>
        <w:t>(a)</w:t>
      </w:r>
      <w:r w:rsidRPr="00990072">
        <w:rPr>
          <w:rFonts w:cs="Arial"/>
          <w:sz w:val="22"/>
          <w:szCs w:val="22"/>
        </w:rPr>
        <w:tab/>
      </w:r>
      <w:proofErr w:type="gramStart"/>
      <w:r w:rsidRPr="00990072">
        <w:rPr>
          <w:rFonts w:cs="Arial"/>
          <w:sz w:val="22"/>
          <w:szCs w:val="22"/>
        </w:rPr>
        <w:t>in</w:t>
      </w:r>
      <w:proofErr w:type="gramEnd"/>
      <w:r w:rsidRPr="00990072">
        <w:rPr>
          <w:rFonts w:cs="Arial"/>
          <w:sz w:val="22"/>
          <w:szCs w:val="22"/>
        </w:rPr>
        <w:t xml:space="preserve"> the directors’ opinion, there are reasonable grounds to believe that the consolidated entity </w:t>
      </w:r>
      <w:r w:rsidR="007D737E">
        <w:rPr>
          <w:rFonts w:cs="Arial"/>
          <w:sz w:val="22"/>
          <w:szCs w:val="22"/>
        </w:rPr>
        <w:t xml:space="preserve">and company </w:t>
      </w:r>
      <w:r w:rsidRPr="00990072">
        <w:rPr>
          <w:rFonts w:cs="Arial"/>
          <w:sz w:val="22"/>
          <w:szCs w:val="22"/>
        </w:rPr>
        <w:t>will be able to pay its debts as and when they become due and payable; and</w:t>
      </w:r>
    </w:p>
    <w:p w14:paraId="5EA7457C" w14:textId="77777777" w:rsidR="00C54BE5" w:rsidRPr="00990072" w:rsidRDefault="00C54BE5" w:rsidP="00C54BE5">
      <w:pPr>
        <w:pStyle w:val="TextPara"/>
        <w:ind w:left="561" w:hanging="561"/>
        <w:rPr>
          <w:rFonts w:cs="Arial"/>
          <w:sz w:val="22"/>
          <w:szCs w:val="22"/>
        </w:rPr>
      </w:pPr>
    </w:p>
    <w:p w14:paraId="5EA7457D" w14:textId="087372EE" w:rsidR="00C54BE5" w:rsidRPr="00990072" w:rsidRDefault="00C54BE5" w:rsidP="00C54BE5">
      <w:pPr>
        <w:pStyle w:val="TextPara"/>
        <w:ind w:left="561" w:hanging="561"/>
        <w:rPr>
          <w:rFonts w:cs="Arial"/>
          <w:sz w:val="22"/>
          <w:szCs w:val="22"/>
        </w:rPr>
      </w:pPr>
      <w:r w:rsidRPr="00990072" w:rsidDel="00D15FFE">
        <w:rPr>
          <w:rFonts w:cs="Arial"/>
          <w:sz w:val="22"/>
          <w:szCs w:val="22"/>
        </w:rPr>
        <w:t xml:space="preserve"> </w:t>
      </w:r>
      <w:r w:rsidRPr="00990072">
        <w:rPr>
          <w:rFonts w:cs="Arial"/>
          <w:sz w:val="22"/>
          <w:szCs w:val="22"/>
        </w:rPr>
        <w:t xml:space="preserve">(b) </w:t>
      </w:r>
      <w:r w:rsidRPr="00990072">
        <w:rPr>
          <w:rFonts w:cs="Arial"/>
          <w:sz w:val="22"/>
          <w:szCs w:val="22"/>
        </w:rPr>
        <w:tab/>
        <w:t xml:space="preserve">in the directors’ opinion, </w:t>
      </w:r>
      <w:r w:rsidR="0054179F" w:rsidRPr="007540D9">
        <w:rPr>
          <w:rFonts w:cs="Arial"/>
          <w:sz w:val="22"/>
          <w:szCs w:val="22"/>
        </w:rPr>
        <w:t xml:space="preserve">the attached financial statements and notes thereto are in accordance with the </w:t>
      </w:r>
      <w:r w:rsidR="0054179F" w:rsidRPr="00887462">
        <w:rPr>
          <w:sz w:val="22"/>
          <w:szCs w:val="22"/>
        </w:rPr>
        <w:t>Australian Charities and Not-for-profits Commission Act 2012</w:t>
      </w:r>
      <w:r w:rsidR="00CE6256">
        <w:rPr>
          <w:sz w:val="22"/>
          <w:szCs w:val="22"/>
        </w:rPr>
        <w:t xml:space="preserve"> </w:t>
      </w:r>
      <w:r w:rsidR="0054179F" w:rsidRPr="007540D9">
        <w:rPr>
          <w:rFonts w:cs="Arial"/>
          <w:sz w:val="22"/>
          <w:szCs w:val="22"/>
        </w:rPr>
        <w:t>and in compliance with the Charitable Fundraising Act</w:t>
      </w:r>
      <w:r w:rsidR="0054179F">
        <w:rPr>
          <w:rFonts w:cs="Arial"/>
          <w:sz w:val="22"/>
          <w:szCs w:val="22"/>
        </w:rPr>
        <w:t xml:space="preserve"> 1991</w:t>
      </w:r>
      <w:r w:rsidR="0054179F" w:rsidRPr="007540D9">
        <w:rPr>
          <w:rFonts w:cs="Arial"/>
          <w:sz w:val="22"/>
          <w:szCs w:val="22"/>
        </w:rPr>
        <w:t>, including compliance with accounting standards and giving a true and fair view of the financial position and performance of the consolidated entity.</w:t>
      </w:r>
    </w:p>
    <w:p w14:paraId="5EA7457E" w14:textId="77777777" w:rsidR="00C54BE5" w:rsidRPr="00990072" w:rsidRDefault="00C54BE5" w:rsidP="00C54BE5">
      <w:pPr>
        <w:pStyle w:val="TextPara"/>
        <w:rPr>
          <w:rFonts w:cs="Arial"/>
          <w:sz w:val="22"/>
          <w:szCs w:val="22"/>
        </w:rPr>
      </w:pPr>
    </w:p>
    <w:p w14:paraId="5EA7457F" w14:textId="77777777" w:rsidR="006D6085" w:rsidRPr="00887462" w:rsidRDefault="006D6085" w:rsidP="006D6085">
      <w:pPr>
        <w:tabs>
          <w:tab w:val="left" w:pos="-1122"/>
          <w:tab w:val="left" w:pos="567"/>
          <w:tab w:val="left" w:pos="10398"/>
          <w:tab w:val="left" w:pos="11118"/>
          <w:tab w:val="left" w:pos="11838"/>
          <w:tab w:val="left" w:pos="12558"/>
          <w:tab w:val="left" w:pos="13278"/>
          <w:tab w:val="left" w:pos="13998"/>
          <w:tab w:val="left" w:pos="14718"/>
          <w:tab w:val="left" w:pos="15438"/>
          <w:tab w:val="left" w:pos="16158"/>
          <w:tab w:val="left" w:pos="16878"/>
          <w:tab w:val="left" w:pos="17598"/>
          <w:tab w:val="left" w:pos="18318"/>
        </w:tabs>
        <w:suppressAutoHyphens/>
        <w:ind w:right="39"/>
        <w:jc w:val="both"/>
        <w:rPr>
          <w:rFonts w:cs="Arial"/>
          <w:spacing w:val="-2"/>
          <w:sz w:val="22"/>
          <w:szCs w:val="22"/>
        </w:rPr>
      </w:pPr>
      <w:proofErr w:type="gramStart"/>
      <w:r w:rsidRPr="00887462">
        <w:rPr>
          <w:rFonts w:cs="Arial"/>
          <w:sz w:val="22"/>
          <w:szCs w:val="22"/>
        </w:rPr>
        <w:t>Signed in accordance with a resolution of the directors made pursuant to s.60.15 of the Australian Charities and Not-for-profits Commission Regulation 2013.</w:t>
      </w:r>
      <w:proofErr w:type="gramEnd"/>
    </w:p>
    <w:p w14:paraId="5EA74580" w14:textId="77777777" w:rsidR="00C54BE5" w:rsidRPr="00990072" w:rsidRDefault="00C54BE5" w:rsidP="00C54BE5">
      <w:pPr>
        <w:pStyle w:val="TextPara"/>
        <w:rPr>
          <w:rFonts w:cs="Arial"/>
          <w:sz w:val="22"/>
          <w:szCs w:val="22"/>
        </w:rPr>
      </w:pPr>
    </w:p>
    <w:p w14:paraId="5EA74581" w14:textId="77777777" w:rsidR="00C54BE5" w:rsidRPr="00990072" w:rsidRDefault="00C54BE5" w:rsidP="00C54BE5">
      <w:pPr>
        <w:pStyle w:val="TextPara"/>
        <w:rPr>
          <w:rFonts w:cs="Arial"/>
          <w:sz w:val="22"/>
          <w:szCs w:val="22"/>
        </w:rPr>
      </w:pPr>
      <w:r w:rsidRPr="00990072">
        <w:rPr>
          <w:rFonts w:cs="Arial"/>
          <w:sz w:val="22"/>
          <w:szCs w:val="22"/>
        </w:rPr>
        <w:t>On behalf of the Directors</w:t>
      </w:r>
    </w:p>
    <w:p w14:paraId="5EA74582" w14:textId="77777777" w:rsidR="00C54BE5" w:rsidRPr="00990072" w:rsidRDefault="00C54BE5" w:rsidP="000A4FDF">
      <w:pPr>
        <w:pStyle w:val="TextPara"/>
        <w:rPr>
          <w:rFonts w:cs="Arial"/>
          <w:sz w:val="22"/>
          <w:szCs w:val="22"/>
        </w:rPr>
      </w:pPr>
    </w:p>
    <w:p w14:paraId="5EA74587" w14:textId="7784405D" w:rsidR="00C54BE5" w:rsidRPr="00D9480F" w:rsidRDefault="00C54BE5" w:rsidP="000A4FDF">
      <w:pPr>
        <w:pStyle w:val="TextPara"/>
        <w:tabs>
          <w:tab w:val="left" w:pos="5049"/>
        </w:tabs>
        <w:rPr>
          <w:rFonts w:cs="Arial"/>
          <w:sz w:val="22"/>
          <w:szCs w:val="22"/>
        </w:rPr>
      </w:pPr>
      <w:r w:rsidRPr="00D9480F">
        <w:rPr>
          <w:rFonts w:cs="Arial"/>
          <w:sz w:val="22"/>
          <w:szCs w:val="22"/>
        </w:rPr>
        <w:t>Kevin Murfitt</w:t>
      </w:r>
      <w:r w:rsidRPr="00D9480F">
        <w:rPr>
          <w:rFonts w:cs="Arial"/>
          <w:sz w:val="22"/>
          <w:szCs w:val="22"/>
        </w:rPr>
        <w:tab/>
      </w:r>
    </w:p>
    <w:p w14:paraId="5EA74588" w14:textId="201025FA" w:rsidR="00C54BE5" w:rsidRPr="00D9480F" w:rsidRDefault="00C54BE5" w:rsidP="000A4FDF">
      <w:pPr>
        <w:pStyle w:val="TextPara"/>
        <w:tabs>
          <w:tab w:val="left" w:pos="5049"/>
        </w:tabs>
        <w:rPr>
          <w:rFonts w:cs="Arial"/>
          <w:sz w:val="22"/>
          <w:szCs w:val="22"/>
        </w:rPr>
      </w:pPr>
      <w:r w:rsidRPr="00D9480F">
        <w:rPr>
          <w:rFonts w:cs="Arial"/>
          <w:sz w:val="22"/>
          <w:szCs w:val="22"/>
        </w:rPr>
        <w:t>Director</w:t>
      </w:r>
      <w:r w:rsidRPr="00D9480F">
        <w:rPr>
          <w:rFonts w:cs="Arial"/>
          <w:sz w:val="22"/>
          <w:szCs w:val="22"/>
        </w:rPr>
        <w:tab/>
      </w:r>
    </w:p>
    <w:p w14:paraId="365B6C1F" w14:textId="77777777" w:rsidR="00A9569E" w:rsidRDefault="0016002F" w:rsidP="000A4FDF">
      <w:pPr>
        <w:pStyle w:val="TextPara"/>
        <w:autoSpaceDE/>
        <w:autoSpaceDN/>
        <w:adjustRightInd/>
        <w:rPr>
          <w:rFonts w:cs="Arial"/>
          <w:sz w:val="22"/>
          <w:szCs w:val="22"/>
        </w:rPr>
      </w:pPr>
      <w:r>
        <w:rPr>
          <w:rFonts w:cs="Arial"/>
          <w:sz w:val="22"/>
          <w:szCs w:val="22"/>
        </w:rPr>
        <w:t>19</w:t>
      </w:r>
      <w:r w:rsidR="00C54BE5" w:rsidRPr="00D9480F">
        <w:rPr>
          <w:rFonts w:cs="Arial"/>
          <w:sz w:val="22"/>
          <w:szCs w:val="22"/>
        </w:rPr>
        <w:t xml:space="preserve"> August 20</w:t>
      </w:r>
      <w:r>
        <w:rPr>
          <w:rFonts w:cs="Arial"/>
          <w:sz w:val="22"/>
          <w:szCs w:val="22"/>
        </w:rPr>
        <w:t>15</w:t>
      </w:r>
      <w:r w:rsidR="00C54BE5" w:rsidRPr="00D9480F">
        <w:rPr>
          <w:rFonts w:cs="Arial"/>
          <w:sz w:val="22"/>
          <w:szCs w:val="22"/>
        </w:rPr>
        <w:tab/>
      </w:r>
    </w:p>
    <w:p w14:paraId="45F58938" w14:textId="77777777" w:rsidR="00A9569E" w:rsidRDefault="00A9569E" w:rsidP="000A4FDF">
      <w:pPr>
        <w:pStyle w:val="TextPara"/>
        <w:autoSpaceDE/>
        <w:autoSpaceDN/>
        <w:adjustRightInd/>
        <w:rPr>
          <w:rFonts w:cs="Arial"/>
          <w:sz w:val="22"/>
          <w:szCs w:val="22"/>
        </w:rPr>
      </w:pPr>
    </w:p>
    <w:p w14:paraId="779E11DE" w14:textId="27A630AA" w:rsidR="00A9569E" w:rsidRDefault="00A9569E" w:rsidP="000A4FDF">
      <w:pPr>
        <w:pStyle w:val="TextPara"/>
        <w:autoSpaceDE/>
        <w:autoSpaceDN/>
        <w:adjustRightInd/>
        <w:rPr>
          <w:rFonts w:cs="Arial"/>
          <w:sz w:val="22"/>
          <w:szCs w:val="22"/>
        </w:rPr>
      </w:pPr>
      <w:r w:rsidRPr="00D9480F">
        <w:rPr>
          <w:rFonts w:cs="Arial"/>
          <w:sz w:val="22"/>
          <w:szCs w:val="22"/>
        </w:rPr>
        <w:t>Andrew Moffat</w:t>
      </w:r>
    </w:p>
    <w:p w14:paraId="06205A67" w14:textId="268DB4EC" w:rsidR="00A9569E" w:rsidRDefault="00A9569E" w:rsidP="000A4FDF">
      <w:pPr>
        <w:pStyle w:val="TextPara"/>
        <w:autoSpaceDE/>
        <w:autoSpaceDN/>
        <w:adjustRightInd/>
        <w:rPr>
          <w:rFonts w:cs="Arial"/>
          <w:sz w:val="22"/>
          <w:szCs w:val="22"/>
        </w:rPr>
      </w:pPr>
      <w:r w:rsidRPr="00D9480F">
        <w:rPr>
          <w:rFonts w:cs="Arial"/>
          <w:sz w:val="22"/>
          <w:szCs w:val="22"/>
        </w:rPr>
        <w:t>Director</w:t>
      </w:r>
    </w:p>
    <w:p w14:paraId="3CBB0140" w14:textId="2981BFE5" w:rsidR="000A4FDF" w:rsidRDefault="0016002F" w:rsidP="000A4FDF">
      <w:pPr>
        <w:rPr>
          <w:rStyle w:val="Heading1Char"/>
          <w:lang w:val="en-AU"/>
        </w:rPr>
      </w:pPr>
      <w:r>
        <w:rPr>
          <w:rFonts w:cs="Arial"/>
          <w:sz w:val="22"/>
          <w:szCs w:val="22"/>
        </w:rPr>
        <w:t>19</w:t>
      </w:r>
      <w:r w:rsidR="00C54BE5" w:rsidRPr="00D9480F">
        <w:rPr>
          <w:rFonts w:cs="Arial"/>
          <w:sz w:val="22"/>
          <w:szCs w:val="22"/>
        </w:rPr>
        <w:t xml:space="preserve"> August 20</w:t>
      </w:r>
      <w:r>
        <w:rPr>
          <w:rFonts w:cs="Arial"/>
          <w:sz w:val="22"/>
          <w:szCs w:val="22"/>
        </w:rPr>
        <w:t>15</w:t>
      </w:r>
      <w:r w:rsidR="00C54BE5">
        <w:rPr>
          <w:rFonts w:cs="Arial"/>
          <w:b/>
          <w:bCs/>
          <w:sz w:val="22"/>
          <w:szCs w:val="22"/>
        </w:rPr>
        <w:br w:type="page"/>
      </w:r>
    </w:p>
    <w:p w14:paraId="03594FED" w14:textId="66EACB41" w:rsidR="000A4FDF" w:rsidRPr="000A4FDF" w:rsidRDefault="000A4FDF" w:rsidP="000A4FDF">
      <w:pPr>
        <w:pStyle w:val="Heading1"/>
      </w:pPr>
      <w:bookmarkStart w:id="381" w:name="_Toc430613794"/>
      <w:r w:rsidRPr="000A4FDF">
        <w:lastRenderedPageBreak/>
        <w:t>Executives’ declaration</w:t>
      </w:r>
      <w:bookmarkEnd w:id="381"/>
    </w:p>
    <w:p w14:paraId="524646E6" w14:textId="77777777" w:rsidR="000A4FDF" w:rsidRDefault="000A4FDF" w:rsidP="000A4FDF">
      <w:pPr>
        <w:rPr>
          <w:rFonts w:cs="Arial"/>
          <w:sz w:val="22"/>
          <w:szCs w:val="22"/>
        </w:rPr>
      </w:pPr>
    </w:p>
    <w:p w14:paraId="5EA7458B" w14:textId="53D5F5DF" w:rsidR="006621AC" w:rsidRPr="007540D9" w:rsidRDefault="006621AC" w:rsidP="000A4FDF">
      <w:pPr>
        <w:rPr>
          <w:rFonts w:cs="Arial"/>
          <w:sz w:val="22"/>
          <w:szCs w:val="22"/>
        </w:rPr>
      </w:pPr>
      <w:r w:rsidRPr="007540D9">
        <w:rPr>
          <w:rFonts w:cs="Arial"/>
          <w:sz w:val="22"/>
          <w:szCs w:val="22"/>
        </w:rPr>
        <w:t xml:space="preserve">The Chief Executive Officer and the </w:t>
      </w:r>
      <w:r w:rsidR="00531454">
        <w:rPr>
          <w:rFonts w:cs="Arial"/>
          <w:sz w:val="22"/>
          <w:szCs w:val="22"/>
        </w:rPr>
        <w:t>Chief Financial Officer</w:t>
      </w:r>
      <w:r w:rsidRPr="007540D9">
        <w:rPr>
          <w:rFonts w:cs="Arial"/>
          <w:sz w:val="22"/>
          <w:szCs w:val="22"/>
        </w:rPr>
        <w:t xml:space="preserve"> of Vision Australia</w:t>
      </w:r>
      <w:r w:rsidR="00EB1A0C" w:rsidRPr="007540D9">
        <w:rPr>
          <w:rFonts w:cs="Arial"/>
          <w:sz w:val="22"/>
          <w:szCs w:val="22"/>
        </w:rPr>
        <w:t xml:space="preserve"> Limited</w:t>
      </w:r>
      <w:r w:rsidRPr="007540D9">
        <w:rPr>
          <w:rFonts w:cs="Arial"/>
          <w:sz w:val="22"/>
          <w:szCs w:val="22"/>
        </w:rPr>
        <w:t xml:space="preserve"> declare that:</w:t>
      </w:r>
    </w:p>
    <w:p w14:paraId="5EA7458C" w14:textId="77777777" w:rsidR="006621AC" w:rsidRPr="007540D9" w:rsidRDefault="006621AC">
      <w:pPr>
        <w:pStyle w:val="TextPara"/>
        <w:rPr>
          <w:rFonts w:cs="Arial"/>
          <w:sz w:val="22"/>
          <w:szCs w:val="22"/>
        </w:rPr>
      </w:pPr>
    </w:p>
    <w:p w14:paraId="5EA7458D" w14:textId="77777777" w:rsidR="006621AC" w:rsidRPr="007540D9" w:rsidRDefault="006621AC" w:rsidP="00BA6929">
      <w:pPr>
        <w:pStyle w:val="TextPara"/>
        <w:ind w:left="374" w:hanging="374"/>
        <w:rPr>
          <w:rFonts w:cs="Arial"/>
          <w:sz w:val="22"/>
          <w:szCs w:val="22"/>
        </w:rPr>
      </w:pPr>
      <w:r w:rsidRPr="007540D9">
        <w:rPr>
          <w:rFonts w:cs="Arial"/>
          <w:sz w:val="22"/>
          <w:szCs w:val="22"/>
        </w:rPr>
        <w:t xml:space="preserve">(a) </w:t>
      </w:r>
      <w:proofErr w:type="gramStart"/>
      <w:r w:rsidRPr="007540D9">
        <w:rPr>
          <w:rFonts w:cs="Arial"/>
          <w:sz w:val="22"/>
          <w:szCs w:val="22"/>
        </w:rPr>
        <w:t>in</w:t>
      </w:r>
      <w:proofErr w:type="gramEnd"/>
      <w:r w:rsidRPr="007540D9">
        <w:rPr>
          <w:rFonts w:cs="Arial"/>
          <w:sz w:val="22"/>
          <w:szCs w:val="22"/>
        </w:rPr>
        <w:t xml:space="preserve"> the executives’ opinion, there are reasonable gro</w:t>
      </w:r>
      <w:r w:rsidR="006E4C03" w:rsidRPr="007540D9">
        <w:rPr>
          <w:rFonts w:cs="Arial"/>
          <w:sz w:val="22"/>
          <w:szCs w:val="22"/>
        </w:rPr>
        <w:t>unds to believe that the consolidated entity</w:t>
      </w:r>
      <w:r w:rsidRPr="007540D9">
        <w:rPr>
          <w:rFonts w:cs="Arial"/>
          <w:sz w:val="22"/>
          <w:szCs w:val="22"/>
        </w:rPr>
        <w:t xml:space="preserve"> </w:t>
      </w:r>
      <w:r w:rsidR="007D737E">
        <w:rPr>
          <w:rFonts w:cs="Arial"/>
          <w:sz w:val="22"/>
          <w:szCs w:val="22"/>
        </w:rPr>
        <w:t xml:space="preserve">and company </w:t>
      </w:r>
      <w:r w:rsidRPr="007540D9">
        <w:rPr>
          <w:rFonts w:cs="Arial"/>
          <w:sz w:val="22"/>
          <w:szCs w:val="22"/>
        </w:rPr>
        <w:t xml:space="preserve">will be able to pay its debts as and when </w:t>
      </w:r>
      <w:r w:rsidR="00C15C47" w:rsidRPr="007540D9">
        <w:rPr>
          <w:rFonts w:cs="Arial"/>
          <w:sz w:val="22"/>
          <w:szCs w:val="22"/>
        </w:rPr>
        <w:t>they become due and payable;</w:t>
      </w:r>
      <w:r w:rsidR="00D15FFE" w:rsidRPr="007540D9">
        <w:rPr>
          <w:rFonts w:cs="Arial"/>
          <w:sz w:val="22"/>
          <w:szCs w:val="22"/>
        </w:rPr>
        <w:t xml:space="preserve"> and</w:t>
      </w:r>
    </w:p>
    <w:p w14:paraId="5EA7458E" w14:textId="77777777" w:rsidR="00C15C47" w:rsidRPr="007540D9" w:rsidRDefault="00C15C47" w:rsidP="00C15C47">
      <w:pPr>
        <w:pStyle w:val="TextPara"/>
        <w:ind w:left="561" w:hanging="561"/>
        <w:rPr>
          <w:rFonts w:cs="Arial"/>
          <w:sz w:val="22"/>
          <w:szCs w:val="22"/>
        </w:rPr>
      </w:pPr>
    </w:p>
    <w:p w14:paraId="5EA7458F" w14:textId="113033A9" w:rsidR="006621AC" w:rsidRPr="007540D9" w:rsidRDefault="00C15C47" w:rsidP="00BA6929">
      <w:pPr>
        <w:pStyle w:val="TextPara"/>
        <w:ind w:left="374" w:hanging="374"/>
        <w:rPr>
          <w:rFonts w:cs="Arial"/>
          <w:sz w:val="22"/>
          <w:szCs w:val="22"/>
        </w:rPr>
      </w:pPr>
      <w:r w:rsidRPr="007540D9">
        <w:rPr>
          <w:rFonts w:cs="Arial"/>
          <w:sz w:val="22"/>
          <w:szCs w:val="22"/>
        </w:rPr>
        <w:t>(</w:t>
      </w:r>
      <w:r w:rsidR="00D15FFE" w:rsidRPr="007540D9">
        <w:rPr>
          <w:rFonts w:cs="Arial"/>
          <w:sz w:val="22"/>
          <w:szCs w:val="22"/>
        </w:rPr>
        <w:t>b</w:t>
      </w:r>
      <w:r w:rsidR="006621AC" w:rsidRPr="007540D9">
        <w:rPr>
          <w:rFonts w:cs="Arial"/>
          <w:sz w:val="22"/>
          <w:szCs w:val="22"/>
        </w:rPr>
        <w:t xml:space="preserve">) in the executives’ opinion, the attached financial statements and notes thereto are in accordance with the </w:t>
      </w:r>
      <w:r w:rsidR="0031604D" w:rsidRPr="00887462">
        <w:rPr>
          <w:sz w:val="22"/>
          <w:szCs w:val="22"/>
        </w:rPr>
        <w:t>Australian Charities and Not-for-profits Commission Act 2012</w:t>
      </w:r>
      <w:r w:rsidR="00CE6256">
        <w:rPr>
          <w:sz w:val="22"/>
          <w:szCs w:val="22"/>
        </w:rPr>
        <w:t xml:space="preserve"> </w:t>
      </w:r>
      <w:r w:rsidR="006621AC" w:rsidRPr="007540D9">
        <w:rPr>
          <w:rFonts w:cs="Arial"/>
          <w:sz w:val="22"/>
          <w:szCs w:val="22"/>
        </w:rPr>
        <w:t>and in compliance with the Charitable Fundraising Act</w:t>
      </w:r>
      <w:r w:rsidR="0054179F">
        <w:rPr>
          <w:rFonts w:cs="Arial"/>
          <w:sz w:val="22"/>
          <w:szCs w:val="22"/>
        </w:rPr>
        <w:t xml:space="preserve"> 1991</w:t>
      </w:r>
      <w:r w:rsidR="006621AC" w:rsidRPr="007540D9">
        <w:rPr>
          <w:rFonts w:cs="Arial"/>
          <w:sz w:val="22"/>
          <w:szCs w:val="22"/>
        </w:rPr>
        <w:t>, including compliance with accounting standards and giving a true and fair view of the financial position and performance of the consolidated entity.</w:t>
      </w:r>
    </w:p>
    <w:p w14:paraId="5EA74590" w14:textId="77777777" w:rsidR="006621AC" w:rsidRPr="007540D9" w:rsidRDefault="006621AC">
      <w:pPr>
        <w:pStyle w:val="TextPara"/>
        <w:rPr>
          <w:rFonts w:cs="Arial"/>
          <w:sz w:val="22"/>
          <w:szCs w:val="22"/>
        </w:rPr>
      </w:pPr>
    </w:p>
    <w:p w14:paraId="5EA74599" w14:textId="50835219" w:rsidR="001D7E1C" w:rsidRPr="007B2B61" w:rsidRDefault="00646896">
      <w:pPr>
        <w:pStyle w:val="TextPara"/>
        <w:rPr>
          <w:rFonts w:cs="Arial"/>
          <w:sz w:val="22"/>
          <w:szCs w:val="22"/>
        </w:rPr>
      </w:pPr>
      <w:r>
        <w:rPr>
          <w:rFonts w:cs="Arial"/>
          <w:sz w:val="22"/>
          <w:szCs w:val="22"/>
        </w:rPr>
        <w:t>Ron Hooton</w:t>
      </w:r>
      <w:r>
        <w:rPr>
          <w:rFonts w:cs="Arial"/>
          <w:sz w:val="22"/>
          <w:szCs w:val="22"/>
        </w:rPr>
        <w:tab/>
      </w:r>
      <w:r w:rsidR="001D7E1C" w:rsidRPr="007B2B61">
        <w:rPr>
          <w:rFonts w:cs="Arial"/>
          <w:sz w:val="22"/>
          <w:szCs w:val="22"/>
        </w:rPr>
        <w:tab/>
      </w:r>
      <w:r w:rsidR="001D7E1C" w:rsidRPr="007B2B61">
        <w:rPr>
          <w:rFonts w:cs="Arial"/>
          <w:sz w:val="22"/>
          <w:szCs w:val="22"/>
        </w:rPr>
        <w:tab/>
      </w:r>
      <w:r w:rsidR="001D7E1C" w:rsidRPr="007B2B61">
        <w:rPr>
          <w:rFonts w:cs="Arial"/>
          <w:sz w:val="22"/>
          <w:szCs w:val="22"/>
        </w:rPr>
        <w:tab/>
      </w:r>
      <w:r w:rsidR="001D7E1C" w:rsidRPr="007B2B61">
        <w:rPr>
          <w:rFonts w:cs="Arial"/>
          <w:sz w:val="22"/>
          <w:szCs w:val="22"/>
        </w:rPr>
        <w:tab/>
      </w:r>
      <w:r w:rsidR="005735E2">
        <w:rPr>
          <w:rFonts w:cs="Arial"/>
          <w:sz w:val="22"/>
          <w:szCs w:val="22"/>
        </w:rPr>
        <w:tab/>
      </w:r>
    </w:p>
    <w:p w14:paraId="5EA7459A" w14:textId="78CD6DB5" w:rsidR="001D7E1C" w:rsidRPr="0041668E" w:rsidRDefault="001D7E1C">
      <w:pPr>
        <w:pStyle w:val="TextPara"/>
        <w:rPr>
          <w:rFonts w:cs="Arial"/>
          <w:sz w:val="22"/>
          <w:szCs w:val="22"/>
        </w:rPr>
      </w:pPr>
      <w:r w:rsidRPr="00E1294C">
        <w:rPr>
          <w:rFonts w:cs="Arial"/>
          <w:sz w:val="22"/>
          <w:szCs w:val="22"/>
        </w:rPr>
        <w:t>Chief Executive Officer</w:t>
      </w:r>
      <w:r w:rsidRPr="0041668E">
        <w:rPr>
          <w:rFonts w:cs="Arial"/>
          <w:sz w:val="22"/>
          <w:szCs w:val="22"/>
        </w:rPr>
        <w:tab/>
      </w:r>
      <w:r w:rsidRPr="0041668E">
        <w:rPr>
          <w:rFonts w:cs="Arial"/>
          <w:sz w:val="22"/>
          <w:szCs w:val="22"/>
        </w:rPr>
        <w:tab/>
      </w:r>
      <w:r w:rsidR="00646896">
        <w:rPr>
          <w:rFonts w:cs="Arial"/>
          <w:sz w:val="22"/>
          <w:szCs w:val="22"/>
        </w:rPr>
        <w:tab/>
      </w:r>
      <w:r w:rsidR="005735E2">
        <w:rPr>
          <w:rFonts w:cs="Arial"/>
          <w:sz w:val="22"/>
          <w:szCs w:val="22"/>
        </w:rPr>
        <w:tab/>
      </w:r>
      <w:r w:rsidRPr="0041668E">
        <w:rPr>
          <w:rFonts w:cs="Arial"/>
          <w:sz w:val="22"/>
          <w:szCs w:val="22"/>
        </w:rPr>
        <w:t xml:space="preserve"> </w:t>
      </w:r>
    </w:p>
    <w:p w14:paraId="5EA7459B" w14:textId="1917AE72" w:rsidR="006621AC" w:rsidRPr="007540D9" w:rsidRDefault="0016002F">
      <w:pPr>
        <w:pStyle w:val="TextPara"/>
        <w:rPr>
          <w:rFonts w:cs="Arial"/>
          <w:sz w:val="22"/>
          <w:szCs w:val="22"/>
        </w:rPr>
      </w:pPr>
      <w:r>
        <w:rPr>
          <w:rFonts w:cs="Arial"/>
          <w:sz w:val="22"/>
          <w:szCs w:val="22"/>
        </w:rPr>
        <w:t>19</w:t>
      </w:r>
      <w:r w:rsidR="001D7E1C" w:rsidRPr="00B036A5">
        <w:rPr>
          <w:rFonts w:cs="Arial"/>
          <w:sz w:val="22"/>
          <w:szCs w:val="22"/>
        </w:rPr>
        <w:t xml:space="preserve"> August 201</w:t>
      </w:r>
      <w:r>
        <w:rPr>
          <w:rFonts w:cs="Arial"/>
          <w:sz w:val="22"/>
          <w:szCs w:val="22"/>
        </w:rPr>
        <w:t>5</w:t>
      </w:r>
      <w:r w:rsidR="001D7E1C" w:rsidRPr="00B036A5">
        <w:rPr>
          <w:rFonts w:cs="Arial"/>
          <w:sz w:val="22"/>
          <w:szCs w:val="22"/>
        </w:rPr>
        <w:tab/>
      </w:r>
      <w:r w:rsidR="001D7E1C" w:rsidRPr="00B036A5">
        <w:rPr>
          <w:rFonts w:cs="Arial"/>
          <w:sz w:val="22"/>
          <w:szCs w:val="22"/>
        </w:rPr>
        <w:tab/>
      </w:r>
      <w:r w:rsidR="001D7E1C" w:rsidRPr="00B036A5">
        <w:rPr>
          <w:rFonts w:cs="Arial"/>
          <w:sz w:val="22"/>
          <w:szCs w:val="22"/>
        </w:rPr>
        <w:tab/>
      </w:r>
      <w:r w:rsidR="001D7E1C" w:rsidRPr="00B036A5">
        <w:rPr>
          <w:rFonts w:cs="Arial"/>
          <w:sz w:val="22"/>
          <w:szCs w:val="22"/>
        </w:rPr>
        <w:tab/>
      </w:r>
      <w:r w:rsidR="005735E2">
        <w:rPr>
          <w:rFonts w:cs="Arial"/>
          <w:sz w:val="22"/>
          <w:szCs w:val="22"/>
        </w:rPr>
        <w:tab/>
      </w:r>
    </w:p>
    <w:p w14:paraId="5EA7459C" w14:textId="77777777" w:rsidR="006621AC" w:rsidRPr="007B2B61" w:rsidRDefault="006621AC">
      <w:pPr>
        <w:pStyle w:val="TextPara"/>
        <w:autoSpaceDE/>
        <w:autoSpaceDN/>
        <w:adjustRightInd/>
        <w:rPr>
          <w:rFonts w:cs="Arial"/>
          <w:sz w:val="22"/>
          <w:szCs w:val="22"/>
        </w:rPr>
      </w:pPr>
    </w:p>
    <w:p w14:paraId="5EA7459E" w14:textId="7615C55C" w:rsidR="006621AC" w:rsidRPr="007540D9" w:rsidRDefault="000A4FDF" w:rsidP="007540D9">
      <w:pPr>
        <w:pStyle w:val="TextPara"/>
        <w:autoSpaceDE/>
        <w:autoSpaceDN/>
        <w:adjustRightInd/>
        <w:rPr>
          <w:rFonts w:cs="Arial"/>
          <w:sz w:val="22"/>
          <w:szCs w:val="22"/>
        </w:rPr>
      </w:pPr>
      <w:r>
        <w:rPr>
          <w:rFonts w:cs="Arial"/>
          <w:sz w:val="22"/>
          <w:szCs w:val="22"/>
        </w:rPr>
        <w:t>David Speyer</w:t>
      </w:r>
    </w:p>
    <w:p w14:paraId="5EA7459F" w14:textId="7BF6AE17" w:rsidR="006621AC" w:rsidRPr="007540D9" w:rsidRDefault="000A4FDF">
      <w:pPr>
        <w:pStyle w:val="TextPara"/>
        <w:autoSpaceDE/>
        <w:autoSpaceDN/>
        <w:adjustRightInd/>
        <w:rPr>
          <w:rFonts w:cs="Arial"/>
          <w:sz w:val="22"/>
          <w:szCs w:val="22"/>
        </w:rPr>
      </w:pPr>
      <w:r>
        <w:rPr>
          <w:rFonts w:cs="Arial"/>
          <w:sz w:val="22"/>
          <w:szCs w:val="22"/>
        </w:rPr>
        <w:t>Chief Financial Officer</w:t>
      </w:r>
    </w:p>
    <w:p w14:paraId="5EA745A1" w14:textId="3C8C1645" w:rsidR="007B5E21" w:rsidRDefault="000A4FDF" w:rsidP="007B5E21">
      <w:pPr>
        <w:pStyle w:val="Dividerline"/>
        <w:rPr>
          <w:rFonts w:cs="Arial"/>
          <w:sz w:val="22"/>
          <w:szCs w:val="22"/>
        </w:rPr>
      </w:pPr>
      <w:r>
        <w:rPr>
          <w:rFonts w:cs="Arial"/>
          <w:sz w:val="22"/>
          <w:szCs w:val="22"/>
        </w:rPr>
        <w:t>19</w:t>
      </w:r>
      <w:r w:rsidRPr="00B036A5">
        <w:rPr>
          <w:rFonts w:cs="Arial"/>
          <w:sz w:val="22"/>
          <w:szCs w:val="22"/>
        </w:rPr>
        <w:t xml:space="preserve"> August 201</w:t>
      </w:r>
      <w:r>
        <w:rPr>
          <w:rFonts w:cs="Arial"/>
          <w:sz w:val="22"/>
          <w:szCs w:val="22"/>
        </w:rPr>
        <w:t>5</w:t>
      </w:r>
    </w:p>
    <w:p w14:paraId="5EA745A2" w14:textId="77777777" w:rsidR="007B5E21" w:rsidRDefault="007B5E21" w:rsidP="007B5E21">
      <w:pPr>
        <w:pStyle w:val="Dividerline"/>
        <w:rPr>
          <w:rFonts w:cs="Arial"/>
          <w:sz w:val="22"/>
          <w:szCs w:val="22"/>
        </w:rPr>
      </w:pPr>
    </w:p>
    <w:p w14:paraId="5EA745A3" w14:textId="77777777" w:rsidR="007B5E21" w:rsidRDefault="007B5E21" w:rsidP="007B5E21">
      <w:pPr>
        <w:pStyle w:val="Dividerline"/>
        <w:rPr>
          <w:rFonts w:cs="Arial"/>
          <w:sz w:val="22"/>
          <w:szCs w:val="22"/>
        </w:rPr>
      </w:pPr>
    </w:p>
    <w:p w14:paraId="5EA745A4" w14:textId="77777777" w:rsidR="007B5E21" w:rsidRDefault="007B5E21" w:rsidP="007B5E21">
      <w:pPr>
        <w:pStyle w:val="Dividerline"/>
        <w:rPr>
          <w:rFonts w:cs="Arial"/>
          <w:sz w:val="22"/>
          <w:szCs w:val="22"/>
        </w:rPr>
      </w:pPr>
    </w:p>
    <w:p w14:paraId="5EA745A5" w14:textId="77777777" w:rsidR="007B5E21" w:rsidRDefault="007B5E21" w:rsidP="007B5E21">
      <w:pPr>
        <w:pStyle w:val="Dividerline"/>
        <w:rPr>
          <w:rFonts w:cs="Arial"/>
          <w:sz w:val="22"/>
          <w:szCs w:val="22"/>
        </w:rPr>
      </w:pPr>
    </w:p>
    <w:p w14:paraId="5EA745A6" w14:textId="77777777" w:rsidR="007B5E21" w:rsidRDefault="007B5E21" w:rsidP="007B5E21">
      <w:pPr>
        <w:pStyle w:val="Dividerline"/>
        <w:rPr>
          <w:rFonts w:cs="Arial"/>
          <w:sz w:val="22"/>
          <w:szCs w:val="22"/>
        </w:rPr>
      </w:pPr>
    </w:p>
    <w:p w14:paraId="5EA745A7" w14:textId="77777777" w:rsidR="007B5E21" w:rsidRDefault="007B5E21" w:rsidP="007B5E21">
      <w:pPr>
        <w:pStyle w:val="Dividerline"/>
        <w:rPr>
          <w:rFonts w:cs="Arial"/>
          <w:sz w:val="22"/>
          <w:szCs w:val="22"/>
        </w:rPr>
      </w:pPr>
    </w:p>
    <w:p w14:paraId="5EA745A8" w14:textId="77777777" w:rsidR="007B5E21" w:rsidRDefault="007B5E21" w:rsidP="007B5E21">
      <w:pPr>
        <w:pStyle w:val="Dividerline"/>
        <w:rPr>
          <w:rFonts w:cs="Arial"/>
          <w:sz w:val="22"/>
          <w:szCs w:val="22"/>
        </w:rPr>
      </w:pPr>
    </w:p>
    <w:p w14:paraId="5EA745A9" w14:textId="77777777" w:rsidR="007B5E21" w:rsidRDefault="007B5E21" w:rsidP="007B5E21">
      <w:pPr>
        <w:pStyle w:val="Dividerline"/>
        <w:rPr>
          <w:rFonts w:cs="Arial"/>
          <w:sz w:val="22"/>
          <w:szCs w:val="22"/>
        </w:rPr>
      </w:pPr>
    </w:p>
    <w:p w14:paraId="5EA745AA" w14:textId="77777777" w:rsidR="007B5E21" w:rsidRDefault="007B5E21" w:rsidP="007B5E21">
      <w:pPr>
        <w:pStyle w:val="Dividerline"/>
        <w:rPr>
          <w:rFonts w:cs="Arial"/>
          <w:sz w:val="22"/>
          <w:szCs w:val="22"/>
        </w:rPr>
      </w:pPr>
    </w:p>
    <w:p w14:paraId="5EA745AB" w14:textId="77777777" w:rsidR="007B5E21" w:rsidRDefault="007B5E21" w:rsidP="007B5E21">
      <w:pPr>
        <w:pStyle w:val="Dividerline"/>
        <w:rPr>
          <w:rFonts w:cs="Arial"/>
          <w:sz w:val="22"/>
          <w:szCs w:val="22"/>
        </w:rPr>
      </w:pPr>
    </w:p>
    <w:p w14:paraId="5EA745AC" w14:textId="77777777" w:rsidR="007B5E21" w:rsidRDefault="007B5E21" w:rsidP="007B5E21">
      <w:pPr>
        <w:pStyle w:val="Dividerline"/>
        <w:rPr>
          <w:rFonts w:cs="Arial"/>
          <w:sz w:val="22"/>
          <w:szCs w:val="22"/>
        </w:rPr>
      </w:pPr>
    </w:p>
    <w:p w14:paraId="5EA745AD" w14:textId="77777777" w:rsidR="007B5E21" w:rsidRDefault="007B5E21" w:rsidP="007B5E21">
      <w:pPr>
        <w:pStyle w:val="Dividerline"/>
        <w:rPr>
          <w:rFonts w:cs="Arial"/>
          <w:sz w:val="22"/>
          <w:szCs w:val="22"/>
        </w:rPr>
      </w:pPr>
    </w:p>
    <w:p w14:paraId="5EA745AE" w14:textId="77777777" w:rsidR="007B5E21" w:rsidRDefault="007B5E21" w:rsidP="007B5E21">
      <w:pPr>
        <w:pStyle w:val="Dividerline"/>
        <w:rPr>
          <w:rFonts w:cs="Arial"/>
          <w:sz w:val="22"/>
          <w:szCs w:val="22"/>
        </w:rPr>
      </w:pPr>
    </w:p>
    <w:p w14:paraId="5EA745AF" w14:textId="77777777" w:rsidR="007B5E21" w:rsidRDefault="007B5E21" w:rsidP="007B5E21">
      <w:pPr>
        <w:pStyle w:val="Dividerline"/>
        <w:rPr>
          <w:rFonts w:cs="Arial"/>
          <w:sz w:val="22"/>
          <w:szCs w:val="22"/>
        </w:rPr>
      </w:pPr>
    </w:p>
    <w:p w14:paraId="5EA745B0" w14:textId="77777777" w:rsidR="007B5E21" w:rsidRDefault="007B5E21" w:rsidP="007B5E21">
      <w:pPr>
        <w:pStyle w:val="Dividerline"/>
        <w:rPr>
          <w:rFonts w:cs="Arial"/>
          <w:sz w:val="22"/>
          <w:szCs w:val="22"/>
        </w:rPr>
      </w:pPr>
    </w:p>
    <w:p w14:paraId="5EA745B1" w14:textId="77777777" w:rsidR="007B5E21" w:rsidRDefault="007B5E21" w:rsidP="007B5E21">
      <w:pPr>
        <w:pStyle w:val="Dividerline"/>
        <w:rPr>
          <w:rFonts w:cs="Arial"/>
          <w:sz w:val="22"/>
          <w:szCs w:val="22"/>
        </w:rPr>
      </w:pPr>
    </w:p>
    <w:p w14:paraId="5EA745B2" w14:textId="77777777" w:rsidR="007B5E21" w:rsidRDefault="007B5E21" w:rsidP="007B5E21">
      <w:pPr>
        <w:pStyle w:val="Dividerline"/>
        <w:rPr>
          <w:rFonts w:cs="Arial"/>
          <w:sz w:val="22"/>
          <w:szCs w:val="22"/>
        </w:rPr>
      </w:pPr>
    </w:p>
    <w:p w14:paraId="5EA745B3" w14:textId="77777777" w:rsidR="007B5E21" w:rsidRDefault="007B5E21" w:rsidP="007B5E21">
      <w:pPr>
        <w:pStyle w:val="Dividerline"/>
        <w:rPr>
          <w:rFonts w:cs="Arial"/>
          <w:sz w:val="22"/>
          <w:szCs w:val="22"/>
        </w:rPr>
      </w:pPr>
    </w:p>
    <w:p w14:paraId="5EA745B4" w14:textId="77777777" w:rsidR="007B5E21" w:rsidRDefault="007B5E21" w:rsidP="007B5E21">
      <w:pPr>
        <w:pStyle w:val="Dividerline"/>
        <w:rPr>
          <w:rFonts w:cs="Arial"/>
          <w:sz w:val="22"/>
          <w:szCs w:val="22"/>
        </w:rPr>
      </w:pPr>
    </w:p>
    <w:p w14:paraId="5EA745B5" w14:textId="77777777" w:rsidR="007B5E21" w:rsidRDefault="007B5E21" w:rsidP="007B5E21">
      <w:pPr>
        <w:pStyle w:val="Dividerline"/>
        <w:rPr>
          <w:rFonts w:cs="Arial"/>
          <w:sz w:val="22"/>
          <w:szCs w:val="22"/>
        </w:rPr>
      </w:pPr>
    </w:p>
    <w:p w14:paraId="5EA745B6" w14:textId="77777777" w:rsidR="007B5E21" w:rsidRDefault="007B5E21" w:rsidP="007B5E21">
      <w:pPr>
        <w:pStyle w:val="Dividerline"/>
        <w:rPr>
          <w:rFonts w:cs="Arial"/>
          <w:sz w:val="22"/>
          <w:szCs w:val="22"/>
        </w:rPr>
      </w:pPr>
    </w:p>
    <w:p w14:paraId="5EA745B7" w14:textId="77777777" w:rsidR="007B5E21" w:rsidRDefault="007B5E21" w:rsidP="007B5E21">
      <w:pPr>
        <w:pStyle w:val="Dividerline"/>
        <w:rPr>
          <w:rFonts w:cs="Arial"/>
          <w:sz w:val="22"/>
          <w:szCs w:val="22"/>
        </w:rPr>
        <w:sectPr w:rsidR="007B5E21" w:rsidSect="00817B70">
          <w:headerReference w:type="default" r:id="rId50"/>
          <w:headerReference w:type="first" r:id="rId51"/>
          <w:pgSz w:w="11907" w:h="16840" w:code="9"/>
          <w:pgMar w:top="1418" w:right="1440" w:bottom="1276" w:left="1440" w:header="720" w:footer="720" w:gutter="0"/>
          <w:cols w:space="708"/>
          <w:titlePg/>
          <w:docGrid w:linePitch="360"/>
        </w:sectPr>
      </w:pPr>
    </w:p>
    <w:p w14:paraId="5EA745B8" w14:textId="77777777" w:rsidR="001D01C3" w:rsidRDefault="001D01C3" w:rsidP="001D01C3">
      <w:pPr>
        <w:pStyle w:val="Dividerline"/>
        <w:rPr>
          <w:rFonts w:cs="Arial"/>
          <w:sz w:val="22"/>
          <w:szCs w:val="22"/>
        </w:rPr>
      </w:pPr>
    </w:p>
    <w:p w14:paraId="5EA745B9" w14:textId="77777777" w:rsidR="001D01C3" w:rsidRDefault="001D01C3" w:rsidP="001D01C3">
      <w:pPr>
        <w:pStyle w:val="Dividerline"/>
        <w:rPr>
          <w:rFonts w:cs="Arial"/>
          <w:sz w:val="22"/>
          <w:szCs w:val="22"/>
        </w:rPr>
      </w:pPr>
    </w:p>
    <w:p w14:paraId="5EA745BA" w14:textId="77777777" w:rsidR="001D01C3" w:rsidRPr="00531454" w:rsidRDefault="006B2BD8" w:rsidP="001D01C3">
      <w:pPr>
        <w:pStyle w:val="Dividerline"/>
        <w:rPr>
          <w:rFonts w:ascii="Times New Roman" w:hAnsi="Times New Roman" w:cs="Times New Roman"/>
          <w:sz w:val="22"/>
          <w:szCs w:val="22"/>
          <w:highlight w:val="yellow"/>
        </w:rPr>
      </w:pPr>
      <w:r>
        <w:rPr>
          <w:noProof/>
          <w:lang w:eastAsia="en-AU"/>
        </w:rPr>
        <w:drawing>
          <wp:anchor distT="0" distB="0" distL="114300" distR="114300" simplePos="0" relativeHeight="251658241" behindDoc="1" locked="0" layoutInCell="1" allowOverlap="1" wp14:anchorId="5EA74628" wp14:editId="65DAE3F2">
            <wp:simplePos x="0" y="0"/>
            <wp:positionH relativeFrom="column">
              <wp:posOffset>9525</wp:posOffset>
            </wp:positionH>
            <wp:positionV relativeFrom="paragraph">
              <wp:posOffset>-190500</wp:posOffset>
            </wp:positionV>
            <wp:extent cx="1767205" cy="333375"/>
            <wp:effectExtent l="0" t="0" r="4445" b="9525"/>
            <wp:wrapNone/>
            <wp:docPr id="9" name="Picture 25" title="Deloit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6720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1" allowOverlap="1" wp14:anchorId="5EA7462A" wp14:editId="5EA7462B">
                <wp:simplePos x="0" y="0"/>
                <wp:positionH relativeFrom="column">
                  <wp:posOffset>4578350</wp:posOffset>
                </wp:positionH>
                <wp:positionV relativeFrom="paragraph">
                  <wp:posOffset>-170180</wp:posOffset>
                </wp:positionV>
                <wp:extent cx="1517015" cy="1811020"/>
                <wp:effectExtent l="6350" t="10795" r="10160" b="698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811020"/>
                        </a:xfrm>
                        <a:prstGeom prst="rect">
                          <a:avLst/>
                        </a:prstGeom>
                        <a:solidFill>
                          <a:srgbClr val="FFFFFF"/>
                        </a:solidFill>
                        <a:ln w="9525">
                          <a:solidFill>
                            <a:srgbClr val="FFFFFF"/>
                          </a:solidFill>
                          <a:miter lim="800000"/>
                          <a:headEnd/>
                          <a:tailEnd/>
                        </a:ln>
                      </wps:spPr>
                      <wps:txbx>
                        <w:txbxContent>
                          <w:p w14:paraId="5EA7465C" w14:textId="77777777" w:rsidR="00083D2F" w:rsidRDefault="00083D2F" w:rsidP="001D01C3">
                            <w:pPr>
                              <w:spacing w:before="30" w:line="180" w:lineRule="atLeast"/>
                              <w:rPr>
                                <w:rStyle w:val="AddressdetailsChar"/>
                              </w:rPr>
                            </w:pPr>
                            <w:r>
                              <w:rPr>
                                <w:rStyle w:val="AddressdetailsChar"/>
                              </w:rPr>
                              <w:t xml:space="preserve">Deloitte </w:t>
                            </w:r>
                            <w:proofErr w:type="spellStart"/>
                            <w:r>
                              <w:rPr>
                                <w:rStyle w:val="AddressdetailsChar"/>
                              </w:rPr>
                              <w:t>Touche</w:t>
                            </w:r>
                            <w:proofErr w:type="spellEnd"/>
                            <w:r>
                              <w:rPr>
                                <w:rStyle w:val="AddressdetailsChar"/>
                              </w:rPr>
                              <w:t xml:space="preserve"> Tohmatsu</w:t>
                            </w:r>
                            <w:r>
                              <w:rPr>
                                <w:rStyle w:val="AddressdetailsChar"/>
                              </w:rPr>
                              <w:br/>
                              <w:t>ABN 74 490 121 060</w:t>
                            </w:r>
                            <w:r>
                              <w:rPr>
                                <w:rStyle w:val="AddressdetailsChar"/>
                              </w:rPr>
                              <w:br/>
                            </w:r>
                            <w:r>
                              <w:rPr>
                                <w:rStyle w:val="AddressdetailsChar"/>
                              </w:rPr>
                              <w:br/>
                              <w:t>550 Bourke Street</w:t>
                            </w:r>
                            <w:r>
                              <w:rPr>
                                <w:rStyle w:val="AddressdetailsChar"/>
                              </w:rPr>
                              <w:br/>
                              <w:t>Melbourne VIC 3000</w:t>
                            </w:r>
                            <w:r>
                              <w:rPr>
                                <w:rStyle w:val="AddressdetailsChar"/>
                              </w:rPr>
                              <w:br/>
                              <w:t>GPO Box 78</w:t>
                            </w:r>
                            <w:r>
                              <w:rPr>
                                <w:rStyle w:val="AddressdetailsChar"/>
                              </w:rPr>
                              <w:br/>
                              <w:t>Melbourne VIC 3001 Australia</w:t>
                            </w:r>
                            <w:r>
                              <w:rPr>
                                <w:rStyle w:val="AddressdetailsChar"/>
                              </w:rPr>
                              <w:br/>
                            </w:r>
                            <w:r>
                              <w:rPr>
                                <w:rStyle w:val="AddressdetailsChar"/>
                              </w:rPr>
                              <w:br/>
                              <w:t>DX: 111</w:t>
                            </w:r>
                            <w:r>
                              <w:rPr>
                                <w:rStyle w:val="AddressdetailsChar"/>
                              </w:rPr>
                              <w:br/>
                              <w:t>Tel:  +61 (0) 3 9671 7000</w:t>
                            </w:r>
                            <w:r>
                              <w:rPr>
                                <w:rStyle w:val="AddressdetailsChar"/>
                              </w:rPr>
                              <w:br/>
                              <w:t>Fax:  +61 (0)3 9671 7001</w:t>
                            </w:r>
                            <w:r>
                              <w:rPr>
                                <w:rStyle w:val="AddressdetailsChar"/>
                              </w:rPr>
                              <w:br/>
                              <w:t>www.deloitte.com.au</w:t>
                            </w:r>
                          </w:p>
                          <w:p w14:paraId="5EA7465D" w14:textId="77777777" w:rsidR="00083D2F" w:rsidRDefault="00083D2F" w:rsidP="001D01C3">
                            <w:pPr>
                              <w:rPr>
                                <w:rFonts w:ascii="Times New Roman" w:hAnsi="Times New Roman"/>
                                <w:sz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60.5pt;margin-top:-13.4pt;width:119.45pt;height:1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" strokecolor="white">
                <v:textbox>
                  <w:txbxContent>
                    <w:p w14:paraId="5EA7465C" w14:textId="77777777" w:rsidR="00083D2F" w:rsidRDefault="00083D2F" w:rsidP="001D01C3">
                      <w:pPr>
                        <w:spacing w:before="30" w:line="180" w:lineRule="atLeast"/>
                        <w:rPr>
                          <w:rStyle w:val="AddressdetailsChar"/>
                        </w:rPr>
                      </w:pPr>
                      <w:r>
                        <w:rPr>
                          <w:rStyle w:val="AddressdetailsChar"/>
                        </w:rPr>
                        <w:t xml:space="preserve">Deloitte </w:t>
                      </w:r>
                      <w:proofErr w:type="spellStart"/>
                      <w:r>
                        <w:rPr>
                          <w:rStyle w:val="AddressdetailsChar"/>
                        </w:rPr>
                        <w:t>Touche</w:t>
                      </w:r>
                      <w:proofErr w:type="spellEnd"/>
                      <w:r>
                        <w:rPr>
                          <w:rStyle w:val="AddressdetailsChar"/>
                        </w:rPr>
                        <w:t xml:space="preserve"> Tohmatsu</w:t>
                      </w:r>
                      <w:r>
                        <w:rPr>
                          <w:rStyle w:val="AddressdetailsChar"/>
                        </w:rPr>
                        <w:br/>
                        <w:t>ABN 74 490 121 060</w:t>
                      </w:r>
                      <w:r>
                        <w:rPr>
                          <w:rStyle w:val="AddressdetailsChar"/>
                        </w:rPr>
                        <w:br/>
                      </w:r>
                      <w:r>
                        <w:rPr>
                          <w:rStyle w:val="AddressdetailsChar"/>
                        </w:rPr>
                        <w:br/>
                        <w:t>550 Bourke Street</w:t>
                      </w:r>
                      <w:r>
                        <w:rPr>
                          <w:rStyle w:val="AddressdetailsChar"/>
                        </w:rPr>
                        <w:br/>
                        <w:t>Melbourne VIC 3000</w:t>
                      </w:r>
                      <w:r>
                        <w:rPr>
                          <w:rStyle w:val="AddressdetailsChar"/>
                        </w:rPr>
                        <w:br/>
                        <w:t>GPO Box 78</w:t>
                      </w:r>
                      <w:r>
                        <w:rPr>
                          <w:rStyle w:val="AddressdetailsChar"/>
                        </w:rPr>
                        <w:br/>
                        <w:t>Melbourne VIC 3001 Australia</w:t>
                      </w:r>
                      <w:r>
                        <w:rPr>
                          <w:rStyle w:val="AddressdetailsChar"/>
                        </w:rPr>
                        <w:br/>
                      </w:r>
                      <w:r>
                        <w:rPr>
                          <w:rStyle w:val="AddressdetailsChar"/>
                        </w:rPr>
                        <w:br/>
                        <w:t>DX: 111</w:t>
                      </w:r>
                      <w:r>
                        <w:rPr>
                          <w:rStyle w:val="AddressdetailsChar"/>
                        </w:rPr>
                        <w:br/>
                        <w:t>Tel:  +61 (0) 3 9671 7000</w:t>
                      </w:r>
                      <w:r>
                        <w:rPr>
                          <w:rStyle w:val="AddressdetailsChar"/>
                        </w:rPr>
                        <w:br/>
                        <w:t>Fax:  +61 (0)3 9671 7001</w:t>
                      </w:r>
                      <w:r>
                        <w:rPr>
                          <w:rStyle w:val="AddressdetailsChar"/>
                        </w:rPr>
                        <w:br/>
                        <w:t>www.deloitte.com.au</w:t>
                      </w:r>
                    </w:p>
                    <w:p w14:paraId="5EA7465D" w14:textId="77777777" w:rsidR="00083D2F" w:rsidRDefault="00083D2F" w:rsidP="001D01C3">
                      <w:pPr>
                        <w:rPr>
                          <w:rFonts w:ascii="Times New Roman" w:hAnsi="Times New Roman"/>
                          <w:sz w:val="21"/>
                        </w:rPr>
                      </w:pPr>
                    </w:p>
                  </w:txbxContent>
                </v:textbox>
              </v:shape>
            </w:pict>
          </mc:Fallback>
        </mc:AlternateContent>
      </w:r>
    </w:p>
    <w:p w14:paraId="5EA745BB" w14:textId="77777777" w:rsidR="001D01C3" w:rsidRPr="00531454" w:rsidRDefault="001D01C3" w:rsidP="001D01C3">
      <w:pPr>
        <w:pStyle w:val="Dividerline"/>
        <w:rPr>
          <w:rFonts w:ascii="Times New Roman" w:hAnsi="Times New Roman" w:cs="Times New Roman"/>
          <w:sz w:val="22"/>
          <w:szCs w:val="22"/>
          <w:highlight w:val="yellow"/>
        </w:rPr>
      </w:pPr>
    </w:p>
    <w:p w14:paraId="5EA745BC" w14:textId="77777777" w:rsidR="001D01C3" w:rsidRPr="00531454" w:rsidRDefault="001D01C3" w:rsidP="001D01C3">
      <w:pPr>
        <w:pStyle w:val="Dividerline"/>
        <w:rPr>
          <w:rFonts w:ascii="Times New Roman" w:hAnsi="Times New Roman" w:cs="Times New Roman"/>
          <w:sz w:val="22"/>
          <w:szCs w:val="22"/>
          <w:highlight w:val="yellow"/>
        </w:rPr>
      </w:pPr>
    </w:p>
    <w:p w14:paraId="5EA745BD" w14:textId="77777777" w:rsidR="001D01C3" w:rsidRPr="00531454" w:rsidRDefault="001D01C3" w:rsidP="001D01C3">
      <w:pPr>
        <w:pStyle w:val="Dividerline"/>
        <w:rPr>
          <w:rFonts w:ascii="Times New Roman" w:hAnsi="Times New Roman" w:cs="Times New Roman"/>
          <w:sz w:val="22"/>
          <w:szCs w:val="22"/>
          <w:highlight w:val="yellow"/>
        </w:rPr>
      </w:pPr>
    </w:p>
    <w:p w14:paraId="5EA745BE" w14:textId="77777777" w:rsidR="001D01C3" w:rsidRPr="00531454" w:rsidRDefault="001D01C3" w:rsidP="001D01C3">
      <w:pPr>
        <w:pStyle w:val="Dividerline"/>
        <w:rPr>
          <w:rFonts w:ascii="Times New Roman" w:hAnsi="Times New Roman" w:cs="Times New Roman"/>
          <w:sz w:val="22"/>
          <w:szCs w:val="22"/>
          <w:highlight w:val="yellow"/>
        </w:rPr>
      </w:pPr>
    </w:p>
    <w:p w14:paraId="5EA745BF" w14:textId="77777777" w:rsidR="001D01C3" w:rsidRPr="00531454" w:rsidRDefault="001D01C3" w:rsidP="001D01C3">
      <w:pPr>
        <w:pStyle w:val="Dividerline"/>
        <w:rPr>
          <w:rFonts w:ascii="Times New Roman" w:hAnsi="Times New Roman" w:cs="Times New Roman"/>
          <w:sz w:val="22"/>
          <w:szCs w:val="22"/>
          <w:highlight w:val="yellow"/>
        </w:rPr>
      </w:pPr>
    </w:p>
    <w:p w14:paraId="5EA745C0" w14:textId="77777777" w:rsidR="001D01C3" w:rsidRPr="00531454" w:rsidRDefault="001D01C3" w:rsidP="001D01C3">
      <w:pPr>
        <w:pStyle w:val="Dividerline"/>
        <w:rPr>
          <w:rFonts w:ascii="Times New Roman" w:hAnsi="Times New Roman" w:cs="Times New Roman"/>
          <w:sz w:val="22"/>
          <w:szCs w:val="22"/>
          <w:highlight w:val="yellow"/>
        </w:rPr>
      </w:pPr>
    </w:p>
    <w:p w14:paraId="5EA745C1" w14:textId="77777777" w:rsidR="001D01C3" w:rsidRPr="00531454" w:rsidRDefault="001D01C3" w:rsidP="001D01C3">
      <w:pPr>
        <w:pStyle w:val="Dividerline"/>
        <w:rPr>
          <w:rFonts w:ascii="Times New Roman" w:hAnsi="Times New Roman" w:cs="Times New Roman"/>
          <w:sz w:val="22"/>
          <w:szCs w:val="22"/>
          <w:highlight w:val="yellow"/>
        </w:rPr>
      </w:pPr>
    </w:p>
    <w:p w14:paraId="5EA745C2" w14:textId="77777777" w:rsidR="001D01C3" w:rsidRPr="001D01C3" w:rsidRDefault="001D01C3" w:rsidP="001D01C3">
      <w:pPr>
        <w:pStyle w:val="Dividerline"/>
        <w:rPr>
          <w:rFonts w:ascii="Times New Roman" w:hAnsi="Times New Roman" w:cs="Times New Roman"/>
          <w:sz w:val="20"/>
          <w:szCs w:val="20"/>
        </w:rPr>
      </w:pPr>
      <w:r w:rsidRPr="001D01C3">
        <w:rPr>
          <w:rFonts w:ascii="Times New Roman" w:hAnsi="Times New Roman" w:cs="Times New Roman"/>
          <w:sz w:val="20"/>
          <w:szCs w:val="20"/>
        </w:rPr>
        <w:t>The Board of Directors</w:t>
      </w:r>
    </w:p>
    <w:p w14:paraId="5EA745C3" w14:textId="77777777" w:rsidR="001D01C3" w:rsidRPr="001D01C3" w:rsidRDefault="001D01C3" w:rsidP="001D01C3">
      <w:pPr>
        <w:pStyle w:val="Dividerline"/>
        <w:rPr>
          <w:rFonts w:ascii="Times New Roman" w:hAnsi="Times New Roman" w:cs="Times New Roman"/>
          <w:sz w:val="20"/>
          <w:szCs w:val="20"/>
        </w:rPr>
      </w:pPr>
      <w:r w:rsidRPr="001D01C3">
        <w:rPr>
          <w:rFonts w:ascii="Times New Roman" w:hAnsi="Times New Roman" w:cs="Times New Roman"/>
          <w:sz w:val="20"/>
          <w:szCs w:val="20"/>
        </w:rPr>
        <w:t>Vision Australia Limited</w:t>
      </w:r>
    </w:p>
    <w:p w14:paraId="5EA745C4" w14:textId="77777777" w:rsidR="001D01C3" w:rsidRPr="001D01C3" w:rsidRDefault="001D01C3" w:rsidP="001D01C3">
      <w:pPr>
        <w:pStyle w:val="Body"/>
        <w:rPr>
          <w:sz w:val="20"/>
        </w:rPr>
      </w:pPr>
      <w:r w:rsidRPr="001D01C3">
        <w:rPr>
          <w:sz w:val="20"/>
        </w:rPr>
        <w:t>454 Glenferrie Road</w:t>
      </w:r>
    </w:p>
    <w:p w14:paraId="5EA745C5" w14:textId="77777777" w:rsidR="001D01C3" w:rsidRPr="001D01C3" w:rsidRDefault="001D01C3" w:rsidP="001D01C3">
      <w:pPr>
        <w:pStyle w:val="Body"/>
        <w:rPr>
          <w:sz w:val="20"/>
        </w:rPr>
      </w:pPr>
      <w:r w:rsidRPr="001D01C3">
        <w:rPr>
          <w:sz w:val="20"/>
        </w:rPr>
        <w:t xml:space="preserve">Kooyong VIC 3144 </w:t>
      </w:r>
    </w:p>
    <w:p w14:paraId="5EA745C6" w14:textId="77777777" w:rsidR="001D01C3" w:rsidRPr="001D01C3" w:rsidRDefault="001D01C3" w:rsidP="001D01C3">
      <w:pPr>
        <w:pStyle w:val="Bodycopybullet"/>
        <w:numPr>
          <w:ilvl w:val="0"/>
          <w:numId w:val="0"/>
        </w:numPr>
        <w:spacing w:line="240" w:lineRule="auto"/>
        <w:jc w:val="both"/>
        <w:rPr>
          <w:rFonts w:ascii="Times New Roman" w:hAnsi="Times New Roman" w:cs="Times New Roman"/>
          <w:sz w:val="20"/>
          <w:szCs w:val="20"/>
        </w:rPr>
      </w:pPr>
    </w:p>
    <w:p w14:paraId="5EA745C7" w14:textId="77777777" w:rsidR="001D01C3" w:rsidRPr="001D01C3" w:rsidRDefault="001D01C3" w:rsidP="001D01C3">
      <w:pPr>
        <w:pStyle w:val="Bodycopybullet"/>
        <w:numPr>
          <w:ilvl w:val="0"/>
          <w:numId w:val="0"/>
        </w:numPr>
        <w:spacing w:line="240" w:lineRule="auto"/>
        <w:jc w:val="both"/>
        <w:rPr>
          <w:rFonts w:ascii="Times New Roman" w:hAnsi="Times New Roman" w:cs="Times New Roman"/>
          <w:sz w:val="20"/>
          <w:szCs w:val="20"/>
        </w:rPr>
      </w:pPr>
    </w:p>
    <w:p w14:paraId="5EA745C8" w14:textId="77777777" w:rsidR="001D01C3" w:rsidRPr="001D01C3" w:rsidRDefault="0016002F" w:rsidP="001D01C3">
      <w:pPr>
        <w:pStyle w:val="Bodycopybullet"/>
        <w:numPr>
          <w:ilvl w:val="0"/>
          <w:numId w:val="0"/>
        </w:numPr>
        <w:spacing w:line="240" w:lineRule="auto"/>
        <w:jc w:val="both"/>
        <w:rPr>
          <w:rFonts w:ascii="Times New Roman" w:hAnsi="Times New Roman" w:cs="Times New Roman"/>
          <w:sz w:val="20"/>
          <w:szCs w:val="20"/>
        </w:rPr>
      </w:pPr>
      <w:r>
        <w:rPr>
          <w:rFonts w:ascii="Times New Roman" w:hAnsi="Times New Roman" w:cs="Times New Roman"/>
          <w:sz w:val="20"/>
          <w:szCs w:val="20"/>
        </w:rPr>
        <w:t>19</w:t>
      </w:r>
      <w:r w:rsidR="001D01C3" w:rsidRPr="001D01C3">
        <w:rPr>
          <w:rFonts w:ascii="Times New Roman" w:hAnsi="Times New Roman" w:cs="Times New Roman"/>
          <w:sz w:val="20"/>
          <w:szCs w:val="20"/>
        </w:rPr>
        <w:t xml:space="preserve"> August 201</w:t>
      </w:r>
      <w:r>
        <w:rPr>
          <w:rFonts w:ascii="Times New Roman" w:hAnsi="Times New Roman" w:cs="Times New Roman"/>
          <w:sz w:val="20"/>
          <w:szCs w:val="20"/>
        </w:rPr>
        <w:t>5</w:t>
      </w:r>
    </w:p>
    <w:p w14:paraId="5EA745C9" w14:textId="77777777" w:rsidR="001D01C3" w:rsidRPr="001D01C3" w:rsidRDefault="001D01C3" w:rsidP="001D01C3">
      <w:pPr>
        <w:pStyle w:val="Bodycopybullet"/>
        <w:numPr>
          <w:ilvl w:val="0"/>
          <w:numId w:val="0"/>
        </w:numPr>
        <w:spacing w:line="240" w:lineRule="auto"/>
        <w:jc w:val="both"/>
        <w:rPr>
          <w:rFonts w:ascii="Times New Roman" w:hAnsi="Times New Roman" w:cs="Times New Roman"/>
          <w:sz w:val="20"/>
          <w:szCs w:val="20"/>
        </w:rPr>
      </w:pPr>
    </w:p>
    <w:p w14:paraId="5EA745CA" w14:textId="77777777" w:rsidR="001D01C3" w:rsidRPr="001D01C3" w:rsidRDefault="001D01C3" w:rsidP="001D01C3">
      <w:pPr>
        <w:pStyle w:val="Bodycopybullet"/>
        <w:numPr>
          <w:ilvl w:val="0"/>
          <w:numId w:val="0"/>
        </w:numPr>
        <w:spacing w:line="240" w:lineRule="auto"/>
        <w:jc w:val="both"/>
        <w:rPr>
          <w:rFonts w:ascii="Times New Roman" w:hAnsi="Times New Roman" w:cs="Times New Roman"/>
          <w:sz w:val="20"/>
          <w:szCs w:val="20"/>
        </w:rPr>
      </w:pPr>
    </w:p>
    <w:p w14:paraId="5EA745CB" w14:textId="77777777" w:rsidR="001D01C3" w:rsidRPr="001D01C3" w:rsidRDefault="001D01C3" w:rsidP="001D01C3">
      <w:pPr>
        <w:pStyle w:val="Bodycopybullet"/>
        <w:numPr>
          <w:ilvl w:val="0"/>
          <w:numId w:val="0"/>
        </w:numPr>
        <w:spacing w:line="240" w:lineRule="auto"/>
        <w:jc w:val="both"/>
        <w:rPr>
          <w:rFonts w:ascii="Times New Roman" w:hAnsi="Times New Roman" w:cs="Times New Roman"/>
          <w:sz w:val="20"/>
          <w:szCs w:val="20"/>
        </w:rPr>
      </w:pPr>
      <w:r w:rsidRPr="001D01C3">
        <w:rPr>
          <w:rFonts w:ascii="Times New Roman" w:hAnsi="Times New Roman" w:cs="Times New Roman"/>
          <w:sz w:val="20"/>
          <w:szCs w:val="20"/>
        </w:rPr>
        <w:t>Dear Board Members,</w:t>
      </w:r>
    </w:p>
    <w:p w14:paraId="5EA745CC" w14:textId="77777777" w:rsidR="001D01C3" w:rsidRDefault="001D01C3" w:rsidP="001D01C3">
      <w:pPr>
        <w:pStyle w:val="Bodycopybullet"/>
        <w:numPr>
          <w:ilvl w:val="0"/>
          <w:numId w:val="0"/>
        </w:numPr>
        <w:spacing w:line="240" w:lineRule="auto"/>
        <w:jc w:val="both"/>
        <w:rPr>
          <w:rFonts w:ascii="Times New Roman" w:hAnsi="Times New Roman" w:cs="Times New Roman"/>
          <w:sz w:val="20"/>
          <w:szCs w:val="20"/>
        </w:rPr>
      </w:pPr>
    </w:p>
    <w:p w14:paraId="3C6595ED" w14:textId="77777777" w:rsidR="00353990" w:rsidRPr="00353990" w:rsidRDefault="00353990" w:rsidP="00353990">
      <w:pPr>
        <w:pStyle w:val="Heading1"/>
        <w:jc w:val="center"/>
        <w:rPr>
          <w:sz w:val="20"/>
          <w:szCs w:val="20"/>
        </w:rPr>
      </w:pPr>
      <w:bookmarkStart w:id="382" w:name="_Toc399337063"/>
      <w:bookmarkStart w:id="383" w:name="_Toc399337243"/>
      <w:bookmarkStart w:id="384" w:name="_Toc399337767"/>
      <w:bookmarkStart w:id="385" w:name="_Toc399503722"/>
      <w:bookmarkStart w:id="386" w:name="_Toc399503932"/>
      <w:bookmarkStart w:id="387" w:name="_Toc430613795"/>
      <w:r w:rsidRPr="00353990">
        <w:rPr>
          <w:sz w:val="20"/>
          <w:szCs w:val="20"/>
        </w:rPr>
        <w:t>Auditor's Independence Declaration</w:t>
      </w:r>
      <w:r w:rsidRPr="00353990">
        <w:rPr>
          <w:sz w:val="20"/>
          <w:szCs w:val="20"/>
        </w:rPr>
        <w:br/>
        <w:t>Vision Australia Limited</w:t>
      </w:r>
      <w:bookmarkEnd w:id="382"/>
      <w:bookmarkEnd w:id="383"/>
      <w:bookmarkEnd w:id="384"/>
      <w:bookmarkEnd w:id="385"/>
      <w:bookmarkEnd w:id="386"/>
      <w:bookmarkEnd w:id="387"/>
    </w:p>
    <w:p w14:paraId="281157E4" w14:textId="77777777" w:rsidR="00353990" w:rsidRPr="001D01C3" w:rsidRDefault="00353990" w:rsidP="001D01C3">
      <w:pPr>
        <w:pStyle w:val="Bodycopybullet"/>
        <w:numPr>
          <w:ilvl w:val="0"/>
          <w:numId w:val="0"/>
        </w:numPr>
        <w:spacing w:line="240" w:lineRule="auto"/>
        <w:jc w:val="both"/>
        <w:rPr>
          <w:rFonts w:ascii="Times New Roman" w:hAnsi="Times New Roman" w:cs="Times New Roman"/>
          <w:sz w:val="20"/>
          <w:szCs w:val="20"/>
        </w:rPr>
      </w:pPr>
    </w:p>
    <w:p w14:paraId="5EA745CF" w14:textId="0AEEFE5F" w:rsidR="006D6085" w:rsidRPr="00577BD4" w:rsidRDefault="006D6085" w:rsidP="006D6085">
      <w:pPr>
        <w:pStyle w:val="Bodycopy0"/>
        <w:spacing w:before="0" w:line="240" w:lineRule="auto"/>
        <w:jc w:val="both"/>
        <w:rPr>
          <w:rFonts w:ascii="Times New Roman" w:hAnsi="Times New Roman" w:cs="Times New Roman"/>
          <w:color w:val="auto"/>
        </w:rPr>
      </w:pPr>
      <w:r w:rsidRPr="00577BD4">
        <w:rPr>
          <w:rFonts w:ascii="Times New Roman" w:hAnsi="Times New Roman" w:cs="Times New Roman"/>
          <w:color w:val="auto"/>
        </w:rPr>
        <w:t xml:space="preserve">In accordance with </w:t>
      </w:r>
      <w:bookmarkStart w:id="388" w:name="_Toc360025685"/>
      <w:r w:rsidRPr="00577BD4">
        <w:rPr>
          <w:rStyle w:val="charsubdno"/>
          <w:rFonts w:ascii="Times New Roman" w:hAnsi="Times New Roman" w:cs="Times New Roman"/>
          <w:lang w:val="en-US"/>
        </w:rPr>
        <w:t>Subdivision 60</w:t>
      </w:r>
      <w:r w:rsidRPr="00577BD4">
        <w:rPr>
          <w:rStyle w:val="charsubdno"/>
          <w:rFonts w:ascii="Times New Roman" w:hAnsi="Times New Roman" w:cs="Times New Roman"/>
          <w:lang w:val="en-US"/>
        </w:rPr>
        <w:noBreakHyphen/>
      </w:r>
      <w:bookmarkEnd w:id="388"/>
      <w:r w:rsidRPr="00577BD4">
        <w:rPr>
          <w:rStyle w:val="charsubdno"/>
          <w:rFonts w:ascii="Times New Roman" w:hAnsi="Times New Roman" w:cs="Times New Roman"/>
          <w:lang w:val="en-US"/>
        </w:rPr>
        <w:t>C</w:t>
      </w:r>
      <w:r w:rsidRPr="00577BD4">
        <w:rPr>
          <w:rFonts w:ascii="Times New Roman" w:hAnsi="Times New Roman" w:cs="Times New Roman"/>
          <w:color w:val="auto"/>
          <w:lang w:val="en-US"/>
        </w:rPr>
        <w:t xml:space="preserve"> </w:t>
      </w:r>
      <w:r w:rsidRPr="00577BD4">
        <w:rPr>
          <w:rFonts w:ascii="Times New Roman" w:hAnsi="Times New Roman" w:cs="Times New Roman"/>
          <w:color w:val="auto"/>
        </w:rPr>
        <w:t xml:space="preserve">of the </w:t>
      </w:r>
      <w:r w:rsidRPr="0069608A">
        <w:rPr>
          <w:rFonts w:ascii="Times New Roman" w:hAnsi="Times New Roman" w:cs="Times New Roman"/>
          <w:i/>
          <w:color w:val="auto"/>
        </w:rPr>
        <w:t>Australian Charities and Not-for-profits Commission Act 2012</w:t>
      </w:r>
      <w:r w:rsidRPr="00577BD4">
        <w:rPr>
          <w:rFonts w:ascii="Times New Roman" w:hAnsi="Times New Roman" w:cs="Times New Roman"/>
          <w:color w:val="auto"/>
        </w:rPr>
        <w:t xml:space="preserve">, I am pleased to provide the following declaration of independence to the directors of </w:t>
      </w:r>
      <w:r w:rsidR="000D2B7A" w:rsidRPr="00577BD4">
        <w:rPr>
          <w:rFonts w:ascii="Times New Roman" w:hAnsi="Times New Roman" w:cs="Times New Roman"/>
          <w:color w:val="auto"/>
        </w:rPr>
        <w:t>Vision</w:t>
      </w:r>
      <w:r w:rsidRPr="00577BD4">
        <w:rPr>
          <w:rFonts w:ascii="Times New Roman" w:hAnsi="Times New Roman" w:cs="Times New Roman"/>
          <w:color w:val="auto"/>
        </w:rPr>
        <w:t xml:space="preserve"> Australia</w:t>
      </w:r>
      <w:r>
        <w:rPr>
          <w:rFonts w:ascii="Times New Roman" w:hAnsi="Times New Roman" w:cs="Times New Roman"/>
          <w:color w:val="auto"/>
        </w:rPr>
        <w:t xml:space="preserve"> </w:t>
      </w:r>
      <w:r w:rsidR="00600132">
        <w:rPr>
          <w:rFonts w:ascii="Times New Roman" w:hAnsi="Times New Roman" w:cs="Times New Roman"/>
          <w:color w:val="auto"/>
        </w:rPr>
        <w:t>Limited</w:t>
      </w:r>
      <w:r w:rsidRPr="00577BD4">
        <w:rPr>
          <w:rFonts w:ascii="Times New Roman" w:hAnsi="Times New Roman" w:cs="Times New Roman"/>
          <w:color w:val="auto"/>
        </w:rPr>
        <w:t>.</w:t>
      </w:r>
    </w:p>
    <w:p w14:paraId="5EA745D0" w14:textId="77777777" w:rsidR="006D6085" w:rsidRPr="00577BD4" w:rsidRDefault="006D6085" w:rsidP="006D6085">
      <w:pPr>
        <w:pStyle w:val="Bodycopy0"/>
        <w:spacing w:before="0" w:line="240" w:lineRule="auto"/>
        <w:jc w:val="both"/>
        <w:rPr>
          <w:rFonts w:ascii="Times New Roman" w:hAnsi="Times New Roman" w:cs="Times New Roman"/>
          <w:color w:val="auto"/>
        </w:rPr>
      </w:pPr>
    </w:p>
    <w:p w14:paraId="5EA745D1" w14:textId="7F921AB2" w:rsidR="006D6085" w:rsidRPr="00577BD4" w:rsidRDefault="006D6085" w:rsidP="006D6085">
      <w:pPr>
        <w:pStyle w:val="Bodycopy0"/>
        <w:spacing w:before="0" w:line="240" w:lineRule="auto"/>
        <w:jc w:val="both"/>
        <w:rPr>
          <w:rFonts w:ascii="Times New Roman" w:hAnsi="Times New Roman" w:cs="Times New Roman"/>
          <w:color w:val="auto"/>
        </w:rPr>
      </w:pPr>
      <w:r w:rsidRPr="00577BD4">
        <w:rPr>
          <w:rFonts w:ascii="Times New Roman" w:hAnsi="Times New Roman" w:cs="Times New Roman"/>
          <w:color w:val="auto"/>
        </w:rPr>
        <w:t xml:space="preserve">As the lead audit partner for the audit of the financial statements of Vision Australia </w:t>
      </w:r>
      <w:r w:rsidR="00600132">
        <w:rPr>
          <w:rFonts w:ascii="Times New Roman" w:hAnsi="Times New Roman" w:cs="Times New Roman"/>
          <w:color w:val="auto"/>
        </w:rPr>
        <w:t>Limited</w:t>
      </w:r>
      <w:r w:rsidRPr="00577BD4">
        <w:rPr>
          <w:rFonts w:ascii="Times New Roman" w:hAnsi="Times New Roman" w:cs="Times New Roman"/>
          <w:color w:val="auto"/>
        </w:rPr>
        <w:t xml:space="preserve"> for the financial year ended 30 June 201</w:t>
      </w:r>
      <w:r w:rsidR="0016002F">
        <w:rPr>
          <w:rFonts w:ascii="Times New Roman" w:hAnsi="Times New Roman" w:cs="Times New Roman"/>
          <w:color w:val="auto"/>
        </w:rPr>
        <w:t>5</w:t>
      </w:r>
      <w:r w:rsidRPr="00577BD4">
        <w:rPr>
          <w:rFonts w:ascii="Times New Roman" w:hAnsi="Times New Roman" w:cs="Times New Roman"/>
          <w:color w:val="auto"/>
        </w:rPr>
        <w:t>, I declare to the best of my knowledge and belief, there have been no contraventions of:</w:t>
      </w:r>
    </w:p>
    <w:p w14:paraId="5EA745D2" w14:textId="77777777" w:rsidR="006D6085" w:rsidRPr="00577BD4" w:rsidRDefault="006D6085" w:rsidP="0031284D">
      <w:pPr>
        <w:pStyle w:val="Bodycopy0"/>
        <w:numPr>
          <w:ilvl w:val="0"/>
          <w:numId w:val="23"/>
        </w:numPr>
        <w:spacing w:before="120" w:line="240" w:lineRule="auto"/>
        <w:ind w:left="426" w:hanging="142"/>
        <w:jc w:val="both"/>
        <w:rPr>
          <w:rFonts w:ascii="Times New Roman" w:hAnsi="Times New Roman" w:cs="Times New Roman"/>
          <w:color w:val="auto"/>
        </w:rPr>
      </w:pPr>
      <w:r w:rsidRPr="00577BD4">
        <w:rPr>
          <w:rFonts w:ascii="Times New Roman" w:hAnsi="Times New Roman" w:cs="Times New Roman"/>
          <w:color w:val="auto"/>
        </w:rPr>
        <w:t xml:space="preserve">the auditor independence requirements as set out in the </w:t>
      </w:r>
      <w:r w:rsidRPr="0069608A">
        <w:rPr>
          <w:rFonts w:ascii="Times New Roman" w:hAnsi="Times New Roman" w:cs="Times New Roman"/>
          <w:i/>
          <w:color w:val="auto"/>
        </w:rPr>
        <w:t>Australian Charities and Not-for-profits Commission Act 2012</w:t>
      </w:r>
      <w:r w:rsidRPr="00577BD4">
        <w:rPr>
          <w:rFonts w:ascii="Times New Roman" w:hAnsi="Times New Roman" w:cs="Times New Roman"/>
          <w:color w:val="auto"/>
        </w:rPr>
        <w:t xml:space="preserve"> in relation to the audit; and</w:t>
      </w:r>
    </w:p>
    <w:p w14:paraId="5EA745D3" w14:textId="77777777" w:rsidR="006D6085" w:rsidRPr="00577BD4" w:rsidRDefault="006D6085" w:rsidP="0031284D">
      <w:pPr>
        <w:pStyle w:val="Bodycopy0"/>
        <w:numPr>
          <w:ilvl w:val="0"/>
          <w:numId w:val="23"/>
        </w:numPr>
        <w:spacing w:before="120" w:line="240" w:lineRule="auto"/>
        <w:ind w:left="426" w:hanging="142"/>
        <w:jc w:val="both"/>
        <w:rPr>
          <w:rFonts w:ascii="Times New Roman" w:hAnsi="Times New Roman" w:cs="Times New Roman"/>
          <w:color w:val="auto"/>
        </w:rPr>
      </w:pPr>
      <w:proofErr w:type="gramStart"/>
      <w:r w:rsidRPr="00577BD4">
        <w:rPr>
          <w:rFonts w:ascii="Times New Roman" w:hAnsi="Times New Roman" w:cs="Times New Roman"/>
          <w:color w:val="auto"/>
        </w:rPr>
        <w:t>any</w:t>
      </w:r>
      <w:proofErr w:type="gramEnd"/>
      <w:r w:rsidRPr="00577BD4">
        <w:rPr>
          <w:rFonts w:ascii="Times New Roman" w:hAnsi="Times New Roman" w:cs="Times New Roman"/>
          <w:color w:val="auto"/>
        </w:rPr>
        <w:t xml:space="preserve"> applicable code of professional conduct in relation to the audit.</w:t>
      </w:r>
    </w:p>
    <w:p w14:paraId="5EA745D4" w14:textId="77777777" w:rsidR="001D01C3" w:rsidRPr="001D01C3" w:rsidRDefault="001D01C3" w:rsidP="001D01C3">
      <w:pPr>
        <w:jc w:val="both"/>
        <w:rPr>
          <w:rFonts w:ascii="Times New Roman" w:hAnsi="Times New Roman"/>
          <w:sz w:val="20"/>
          <w:szCs w:val="20"/>
        </w:rPr>
      </w:pPr>
    </w:p>
    <w:p w14:paraId="5EA745D5" w14:textId="77777777" w:rsidR="001D01C3" w:rsidRPr="001D01C3" w:rsidRDefault="001D01C3" w:rsidP="001D01C3">
      <w:pPr>
        <w:jc w:val="both"/>
        <w:rPr>
          <w:rFonts w:ascii="Times New Roman" w:hAnsi="Times New Roman"/>
          <w:sz w:val="20"/>
          <w:szCs w:val="20"/>
        </w:rPr>
      </w:pPr>
    </w:p>
    <w:p w14:paraId="5EA745D6" w14:textId="77777777" w:rsidR="001D01C3" w:rsidRPr="001D01C3" w:rsidRDefault="001D01C3" w:rsidP="001D01C3">
      <w:pPr>
        <w:jc w:val="both"/>
        <w:rPr>
          <w:rFonts w:ascii="Times New Roman" w:hAnsi="Times New Roman"/>
          <w:sz w:val="20"/>
          <w:szCs w:val="20"/>
        </w:rPr>
      </w:pPr>
      <w:r w:rsidRPr="001D01C3">
        <w:rPr>
          <w:rFonts w:ascii="Times New Roman" w:hAnsi="Times New Roman"/>
          <w:sz w:val="20"/>
          <w:szCs w:val="20"/>
        </w:rPr>
        <w:t>Yours sincerely,</w:t>
      </w:r>
    </w:p>
    <w:p w14:paraId="5EA745DA" w14:textId="77777777" w:rsidR="001D01C3" w:rsidRPr="001D01C3" w:rsidRDefault="001D01C3" w:rsidP="001D01C3">
      <w:pPr>
        <w:jc w:val="both"/>
        <w:rPr>
          <w:rFonts w:ascii="Times New Roman" w:hAnsi="Times New Roman"/>
          <w:sz w:val="20"/>
          <w:szCs w:val="20"/>
        </w:rPr>
      </w:pPr>
    </w:p>
    <w:p w14:paraId="5EA745DB" w14:textId="77777777" w:rsidR="001D01C3" w:rsidRPr="001D01C3" w:rsidRDefault="001D01C3" w:rsidP="000A4FDF">
      <w:r w:rsidRPr="001D01C3">
        <w:t>DELOITTE TOUCHE TOHMATSU</w:t>
      </w:r>
    </w:p>
    <w:p w14:paraId="5EA745DC" w14:textId="77777777" w:rsidR="001D01C3" w:rsidRPr="001D01C3" w:rsidRDefault="001D01C3" w:rsidP="001D01C3">
      <w:pPr>
        <w:tabs>
          <w:tab w:val="left" w:pos="4253"/>
        </w:tabs>
        <w:suppressAutoHyphens/>
        <w:jc w:val="both"/>
        <w:rPr>
          <w:rFonts w:ascii="Times New Roman" w:hAnsi="Times New Roman"/>
          <w:sz w:val="20"/>
          <w:szCs w:val="20"/>
        </w:rPr>
      </w:pPr>
    </w:p>
    <w:p w14:paraId="5EA745DF" w14:textId="77777777" w:rsidR="001D01C3" w:rsidRPr="001D01C3" w:rsidRDefault="001D01C3" w:rsidP="001D01C3">
      <w:pPr>
        <w:tabs>
          <w:tab w:val="left" w:pos="4253"/>
        </w:tabs>
        <w:suppressAutoHyphens/>
        <w:jc w:val="both"/>
        <w:rPr>
          <w:rFonts w:ascii="Times New Roman" w:hAnsi="Times New Roman"/>
          <w:sz w:val="20"/>
          <w:szCs w:val="20"/>
        </w:rPr>
      </w:pPr>
    </w:p>
    <w:p w14:paraId="5EA745E0" w14:textId="77777777" w:rsidR="001D01C3" w:rsidRPr="001D01C3" w:rsidRDefault="001D01C3" w:rsidP="001D01C3">
      <w:pPr>
        <w:tabs>
          <w:tab w:val="left" w:pos="4253"/>
        </w:tabs>
        <w:suppressAutoHyphens/>
        <w:jc w:val="both"/>
        <w:rPr>
          <w:rFonts w:ascii="Times New Roman" w:hAnsi="Times New Roman"/>
          <w:sz w:val="20"/>
          <w:szCs w:val="20"/>
        </w:rPr>
      </w:pPr>
      <w:r w:rsidRPr="001D01C3">
        <w:rPr>
          <w:rFonts w:ascii="Times New Roman" w:hAnsi="Times New Roman"/>
          <w:sz w:val="20"/>
          <w:szCs w:val="20"/>
        </w:rPr>
        <w:t xml:space="preserve">Robert D </w:t>
      </w:r>
      <w:proofErr w:type="spellStart"/>
      <w:r w:rsidRPr="001D01C3">
        <w:rPr>
          <w:rFonts w:ascii="Times New Roman" w:hAnsi="Times New Roman"/>
          <w:sz w:val="20"/>
          <w:szCs w:val="20"/>
        </w:rPr>
        <w:t>D</w:t>
      </w:r>
      <w:proofErr w:type="spellEnd"/>
      <w:r w:rsidRPr="001D01C3">
        <w:rPr>
          <w:rFonts w:ascii="Times New Roman" w:hAnsi="Times New Roman"/>
          <w:sz w:val="20"/>
          <w:szCs w:val="20"/>
        </w:rPr>
        <w:t xml:space="preserve"> Collie</w:t>
      </w:r>
    </w:p>
    <w:p w14:paraId="5EA745E1" w14:textId="77777777" w:rsidR="001D01C3" w:rsidRPr="000A4FDF" w:rsidRDefault="001D01C3" w:rsidP="000A4FDF">
      <w:pPr>
        <w:rPr>
          <w:rFonts w:ascii="Times New Roman" w:hAnsi="Times New Roman"/>
        </w:rPr>
      </w:pPr>
      <w:r w:rsidRPr="000A4FDF">
        <w:rPr>
          <w:rFonts w:ascii="Times New Roman" w:hAnsi="Times New Roman"/>
        </w:rPr>
        <w:t>Partner</w:t>
      </w:r>
    </w:p>
    <w:p w14:paraId="5EA745E2" w14:textId="77777777" w:rsidR="001D01C3" w:rsidRPr="001D01C3" w:rsidRDefault="001D01C3" w:rsidP="001D01C3">
      <w:pPr>
        <w:tabs>
          <w:tab w:val="left" w:pos="4253"/>
        </w:tabs>
        <w:suppressAutoHyphens/>
        <w:jc w:val="both"/>
        <w:rPr>
          <w:rFonts w:ascii="Times New Roman" w:hAnsi="Times New Roman"/>
          <w:sz w:val="20"/>
          <w:szCs w:val="20"/>
        </w:rPr>
      </w:pPr>
      <w:r w:rsidRPr="001D01C3">
        <w:rPr>
          <w:rFonts w:ascii="Times New Roman" w:hAnsi="Times New Roman"/>
          <w:sz w:val="20"/>
          <w:szCs w:val="20"/>
        </w:rPr>
        <w:t>Chartered Accountants</w:t>
      </w:r>
    </w:p>
    <w:p w14:paraId="5EA745E3" w14:textId="77777777" w:rsidR="001D01C3" w:rsidRPr="001D01C3" w:rsidRDefault="001D01C3" w:rsidP="001D01C3">
      <w:pPr>
        <w:tabs>
          <w:tab w:val="left" w:pos="568"/>
          <w:tab w:val="left" w:pos="1134"/>
          <w:tab w:val="left" w:pos="1368"/>
          <w:tab w:val="left" w:pos="4253"/>
        </w:tabs>
        <w:suppressAutoHyphens/>
        <w:jc w:val="both"/>
        <w:rPr>
          <w:rFonts w:ascii="Times New Roman" w:hAnsi="Times New Roman"/>
          <w:sz w:val="20"/>
          <w:szCs w:val="20"/>
        </w:rPr>
      </w:pPr>
      <w:r w:rsidRPr="001D01C3">
        <w:rPr>
          <w:rFonts w:ascii="Times New Roman" w:hAnsi="Times New Roman"/>
          <w:sz w:val="20"/>
          <w:szCs w:val="20"/>
        </w:rPr>
        <w:t>Melbourne</w:t>
      </w:r>
    </w:p>
    <w:p w14:paraId="5EA745E4" w14:textId="77777777" w:rsidR="001D01C3" w:rsidRPr="001D01C3" w:rsidRDefault="001D01C3" w:rsidP="001D01C3">
      <w:pPr>
        <w:rPr>
          <w:sz w:val="20"/>
          <w:szCs w:val="20"/>
        </w:rPr>
      </w:pPr>
    </w:p>
    <w:p w14:paraId="5EA745E5" w14:textId="77777777" w:rsidR="001D01C3" w:rsidRPr="001D01C3" w:rsidRDefault="001D01C3" w:rsidP="001D01C3">
      <w:pPr>
        <w:pStyle w:val="TextPara"/>
        <w:autoSpaceDE/>
        <w:autoSpaceDN/>
        <w:adjustRightInd/>
        <w:rPr>
          <w:rFonts w:cs="Arial"/>
          <w:sz w:val="22"/>
          <w:szCs w:val="22"/>
        </w:rPr>
      </w:pPr>
    </w:p>
    <w:p w14:paraId="5EA745E6" w14:textId="77777777" w:rsidR="001D01C3" w:rsidRPr="001D01C3" w:rsidRDefault="001D01C3" w:rsidP="001D01C3">
      <w:pPr>
        <w:pStyle w:val="TextPara"/>
        <w:autoSpaceDE/>
        <w:autoSpaceDN/>
        <w:adjustRightInd/>
        <w:rPr>
          <w:rFonts w:cs="Arial"/>
          <w:sz w:val="22"/>
          <w:szCs w:val="22"/>
        </w:rPr>
      </w:pPr>
    </w:p>
    <w:p w14:paraId="5EA745E7" w14:textId="2710D4FF" w:rsidR="001D01C3" w:rsidRPr="0069608A" w:rsidRDefault="0069608A" w:rsidP="001D01C3">
      <w:pPr>
        <w:pStyle w:val="TextPara"/>
        <w:autoSpaceDE/>
        <w:autoSpaceDN/>
        <w:adjustRightInd/>
        <w:rPr>
          <w:rFonts w:cs="Arial"/>
          <w:sz w:val="16"/>
          <w:szCs w:val="16"/>
        </w:rPr>
      </w:pPr>
      <w:r w:rsidRPr="0069608A">
        <w:rPr>
          <w:rFonts w:cs="Arial"/>
          <w:sz w:val="16"/>
          <w:szCs w:val="16"/>
        </w:rPr>
        <w:t xml:space="preserve">Deloitte refers to one of more of Deloitte </w:t>
      </w:r>
      <w:proofErr w:type="spellStart"/>
      <w:r w:rsidRPr="0069608A">
        <w:rPr>
          <w:rFonts w:cs="Arial"/>
          <w:sz w:val="16"/>
          <w:szCs w:val="16"/>
        </w:rPr>
        <w:t>Tou</w:t>
      </w:r>
      <w:r>
        <w:rPr>
          <w:rFonts w:cs="Arial"/>
          <w:sz w:val="16"/>
          <w:szCs w:val="16"/>
        </w:rPr>
        <w:t>r</w:t>
      </w:r>
      <w:r w:rsidRPr="0069608A">
        <w:rPr>
          <w:rFonts w:cs="Arial"/>
          <w:sz w:val="16"/>
          <w:szCs w:val="16"/>
        </w:rPr>
        <w:t>che</w:t>
      </w:r>
      <w:proofErr w:type="spellEnd"/>
      <w:r w:rsidRPr="0069608A">
        <w:rPr>
          <w:rFonts w:cs="Arial"/>
          <w:sz w:val="16"/>
          <w:szCs w:val="16"/>
        </w:rPr>
        <w:t xml:space="preserve"> </w:t>
      </w:r>
      <w:proofErr w:type="spellStart"/>
      <w:r w:rsidRPr="0069608A">
        <w:rPr>
          <w:rFonts w:cs="Arial"/>
          <w:sz w:val="16"/>
          <w:szCs w:val="16"/>
        </w:rPr>
        <w:t>Tohmastu</w:t>
      </w:r>
      <w:proofErr w:type="spellEnd"/>
      <w:r w:rsidRPr="0069608A">
        <w:rPr>
          <w:rFonts w:cs="Arial"/>
          <w:sz w:val="16"/>
          <w:szCs w:val="16"/>
        </w:rPr>
        <w:t xml:space="preserve"> Limited, a UK private company limited by guarantee, and its network of member firms, each of which is a legally separate and independent entity. Please see </w:t>
      </w:r>
      <w:hyperlink r:id="rId53" w:history="1">
        <w:r w:rsidRPr="0069608A">
          <w:rPr>
            <w:rStyle w:val="Hyperlink"/>
            <w:rFonts w:cs="Arial"/>
            <w:sz w:val="16"/>
            <w:szCs w:val="16"/>
          </w:rPr>
          <w:t>www.deloitte.com/au/abo</w:t>
        </w:r>
        <w:r w:rsidRPr="0069608A">
          <w:rPr>
            <w:rStyle w:val="Hyperlink"/>
            <w:rFonts w:cs="Arial"/>
            <w:sz w:val="16"/>
            <w:szCs w:val="16"/>
          </w:rPr>
          <w:t>u</w:t>
        </w:r>
        <w:r w:rsidRPr="0069608A">
          <w:rPr>
            <w:rStyle w:val="Hyperlink"/>
            <w:rFonts w:cs="Arial"/>
            <w:sz w:val="16"/>
            <w:szCs w:val="16"/>
          </w:rPr>
          <w:t>t</w:t>
        </w:r>
      </w:hyperlink>
      <w:r w:rsidRPr="0069608A">
        <w:rPr>
          <w:rFonts w:cs="Arial"/>
          <w:sz w:val="16"/>
          <w:szCs w:val="16"/>
        </w:rPr>
        <w:t xml:space="preserve"> for a detailed description of the legal structure of Deloitte </w:t>
      </w:r>
      <w:proofErr w:type="spellStart"/>
      <w:r w:rsidRPr="0069608A">
        <w:rPr>
          <w:rFonts w:cs="Arial"/>
          <w:sz w:val="16"/>
          <w:szCs w:val="16"/>
        </w:rPr>
        <w:t>Touche</w:t>
      </w:r>
      <w:proofErr w:type="spellEnd"/>
      <w:r w:rsidRPr="0069608A">
        <w:rPr>
          <w:rFonts w:cs="Arial"/>
          <w:sz w:val="16"/>
          <w:szCs w:val="16"/>
        </w:rPr>
        <w:t xml:space="preserve"> Tohmats</w:t>
      </w:r>
      <w:r>
        <w:rPr>
          <w:rFonts w:cs="Arial"/>
          <w:sz w:val="16"/>
          <w:szCs w:val="16"/>
        </w:rPr>
        <w:t>u</w:t>
      </w:r>
      <w:r w:rsidRPr="0069608A">
        <w:rPr>
          <w:rFonts w:cs="Arial"/>
          <w:sz w:val="16"/>
          <w:szCs w:val="16"/>
        </w:rPr>
        <w:t xml:space="preserve"> Limited and its member firms.</w:t>
      </w:r>
    </w:p>
    <w:p w14:paraId="5EA745E8" w14:textId="77777777" w:rsidR="001D01C3" w:rsidRPr="001D01C3" w:rsidRDefault="001D01C3" w:rsidP="001D01C3">
      <w:pPr>
        <w:pStyle w:val="TextPara"/>
        <w:autoSpaceDE/>
        <w:autoSpaceDN/>
        <w:adjustRightInd/>
        <w:rPr>
          <w:rFonts w:cs="Arial"/>
          <w:sz w:val="22"/>
          <w:szCs w:val="22"/>
        </w:rPr>
      </w:pPr>
    </w:p>
    <w:p w14:paraId="5EA745E9" w14:textId="77777777" w:rsidR="001D01C3" w:rsidRPr="001D01C3" w:rsidRDefault="001D01C3" w:rsidP="001D01C3">
      <w:pPr>
        <w:pStyle w:val="Legalstatement"/>
        <w:spacing w:after="60"/>
        <w:rPr>
          <w:rFonts w:ascii="Arial" w:hAnsi="Arial"/>
        </w:rPr>
      </w:pPr>
      <w:r w:rsidRPr="001D01C3">
        <w:rPr>
          <w:rFonts w:ascii="Arial" w:hAnsi="Arial"/>
        </w:rPr>
        <w:t>Liability limited by a scheme approved under Professional Standards Legislation.</w:t>
      </w:r>
    </w:p>
    <w:p w14:paraId="5EA745EA" w14:textId="77777777" w:rsidR="001D01C3" w:rsidRPr="001D01C3" w:rsidRDefault="001D01C3" w:rsidP="001D01C3">
      <w:pPr>
        <w:pStyle w:val="Legalstatement"/>
        <w:spacing w:after="60"/>
        <w:rPr>
          <w:rFonts w:ascii="Arial" w:hAnsi="Arial"/>
          <w:sz w:val="14"/>
          <w:szCs w:val="14"/>
        </w:rPr>
      </w:pPr>
      <w:r w:rsidRPr="001D01C3">
        <w:rPr>
          <w:rFonts w:ascii="Arial" w:hAnsi="Arial"/>
          <w:sz w:val="14"/>
          <w:szCs w:val="14"/>
        </w:rPr>
        <w:t xml:space="preserve">Member of Deloitte </w:t>
      </w:r>
      <w:proofErr w:type="spellStart"/>
      <w:r w:rsidRPr="001D01C3">
        <w:rPr>
          <w:rFonts w:ascii="Arial" w:hAnsi="Arial"/>
          <w:sz w:val="14"/>
          <w:szCs w:val="14"/>
        </w:rPr>
        <w:t>Touche</w:t>
      </w:r>
      <w:proofErr w:type="spellEnd"/>
      <w:r w:rsidRPr="001D01C3">
        <w:rPr>
          <w:rFonts w:ascii="Arial" w:hAnsi="Arial"/>
          <w:sz w:val="14"/>
          <w:szCs w:val="14"/>
        </w:rPr>
        <w:t xml:space="preserve"> Tohmatsu Limited</w:t>
      </w:r>
      <w:r w:rsidRPr="001D01C3" w:rsidDel="008803F2">
        <w:rPr>
          <w:rFonts w:ascii="Arial" w:hAnsi="Arial"/>
          <w:sz w:val="14"/>
          <w:szCs w:val="14"/>
        </w:rPr>
        <w:t xml:space="preserve"> </w:t>
      </w:r>
    </w:p>
    <w:p w14:paraId="5EA745EB" w14:textId="77777777" w:rsidR="001D01C3" w:rsidRPr="00531454" w:rsidRDefault="001D01C3" w:rsidP="001D01C3">
      <w:pPr>
        <w:pStyle w:val="TextPara"/>
        <w:autoSpaceDE/>
        <w:autoSpaceDN/>
        <w:adjustRightInd/>
        <w:rPr>
          <w:rFonts w:cs="Arial"/>
          <w:sz w:val="22"/>
          <w:szCs w:val="22"/>
          <w:highlight w:val="yellow"/>
        </w:rPr>
        <w:sectPr w:rsidR="001D01C3" w:rsidRPr="00531454" w:rsidSect="00817B70">
          <w:headerReference w:type="first" r:id="rId54"/>
          <w:pgSz w:w="11907" w:h="16840" w:code="9"/>
          <w:pgMar w:top="1418" w:right="1440" w:bottom="1276" w:left="1440" w:header="720" w:footer="720" w:gutter="0"/>
          <w:cols w:space="708"/>
          <w:titlePg/>
          <w:docGrid w:linePitch="360"/>
        </w:sectPr>
      </w:pPr>
    </w:p>
    <w:p w14:paraId="5EA745EC" w14:textId="77777777" w:rsidR="001D01C3" w:rsidRPr="001D01C3" w:rsidRDefault="006B2BD8" w:rsidP="001D01C3">
      <w:pPr>
        <w:spacing w:before="30" w:line="180" w:lineRule="atLeast"/>
        <w:ind w:left="7200" w:right="-284"/>
        <w:rPr>
          <w:rStyle w:val="AddressdetailsChar"/>
        </w:rPr>
      </w:pPr>
      <w:bookmarkStart w:id="389" w:name="Aud18CoDirectorTrustees"/>
      <w:bookmarkEnd w:id="389"/>
      <w:r>
        <w:rPr>
          <w:noProof/>
          <w:lang w:eastAsia="en-AU"/>
        </w:rPr>
        <w:lastRenderedPageBreak/>
        <w:drawing>
          <wp:anchor distT="0" distB="0" distL="114300" distR="114300" simplePos="0" relativeHeight="251658242" behindDoc="1" locked="0" layoutInCell="1" allowOverlap="1" wp14:anchorId="5EA7462C" wp14:editId="5243D679">
            <wp:simplePos x="0" y="0"/>
            <wp:positionH relativeFrom="column">
              <wp:posOffset>-50165</wp:posOffset>
            </wp:positionH>
            <wp:positionV relativeFrom="paragraph">
              <wp:posOffset>-66675</wp:posOffset>
            </wp:positionV>
            <wp:extent cx="1767205" cy="333375"/>
            <wp:effectExtent l="0" t="0" r="4445" b="9525"/>
            <wp:wrapNone/>
            <wp:docPr id="10" name="Picture 25" title="Deloit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67205" cy="333375"/>
                    </a:xfrm>
                    <a:prstGeom prst="rect">
                      <a:avLst/>
                    </a:prstGeom>
                    <a:noFill/>
                  </pic:spPr>
                </pic:pic>
              </a:graphicData>
            </a:graphic>
            <wp14:sizeRelH relativeFrom="page">
              <wp14:pctWidth>0</wp14:pctWidth>
            </wp14:sizeRelH>
            <wp14:sizeRelV relativeFrom="page">
              <wp14:pctHeight>0</wp14:pctHeight>
            </wp14:sizeRelV>
          </wp:anchor>
        </w:drawing>
      </w:r>
      <w:r w:rsidR="001D01C3" w:rsidRPr="001D01C3">
        <w:rPr>
          <w:rStyle w:val="AddressdetailsChar"/>
        </w:rPr>
        <w:t xml:space="preserve">Deloitte </w:t>
      </w:r>
      <w:proofErr w:type="spellStart"/>
      <w:r w:rsidR="001D01C3" w:rsidRPr="001D01C3">
        <w:rPr>
          <w:rStyle w:val="AddressdetailsChar"/>
        </w:rPr>
        <w:t>Touche</w:t>
      </w:r>
      <w:proofErr w:type="spellEnd"/>
      <w:r w:rsidR="001D01C3" w:rsidRPr="001D01C3">
        <w:rPr>
          <w:rStyle w:val="AddressdetailsChar"/>
        </w:rPr>
        <w:t xml:space="preserve"> Tohmatsu</w:t>
      </w:r>
      <w:r w:rsidR="001D01C3" w:rsidRPr="001D01C3">
        <w:rPr>
          <w:rStyle w:val="AddressdetailsChar"/>
        </w:rPr>
        <w:br/>
        <w:t>ABN 74 490 121 060</w:t>
      </w:r>
      <w:r w:rsidR="001D01C3" w:rsidRPr="001D01C3">
        <w:rPr>
          <w:rStyle w:val="AddressdetailsChar"/>
        </w:rPr>
        <w:br/>
      </w:r>
      <w:r w:rsidR="001D01C3" w:rsidRPr="001D01C3">
        <w:rPr>
          <w:rStyle w:val="AddressdetailsChar"/>
        </w:rPr>
        <w:br/>
        <w:t>550 Bourke Street</w:t>
      </w:r>
      <w:r w:rsidR="001D01C3" w:rsidRPr="001D01C3">
        <w:rPr>
          <w:rStyle w:val="AddressdetailsChar"/>
        </w:rPr>
        <w:br/>
        <w:t>Melbourne VIC 3000</w:t>
      </w:r>
      <w:r w:rsidR="001D01C3" w:rsidRPr="001D01C3">
        <w:rPr>
          <w:rStyle w:val="AddressdetailsChar"/>
        </w:rPr>
        <w:br/>
        <w:t>GPO Box 78</w:t>
      </w:r>
      <w:r w:rsidR="001D01C3" w:rsidRPr="001D01C3">
        <w:rPr>
          <w:rStyle w:val="AddressdetailsChar"/>
        </w:rPr>
        <w:br/>
        <w:t>Melbourne VIC 3001 Australia</w:t>
      </w:r>
      <w:r w:rsidR="001D01C3" w:rsidRPr="001D01C3">
        <w:rPr>
          <w:rStyle w:val="AddressdetailsChar"/>
        </w:rPr>
        <w:br/>
      </w:r>
      <w:r w:rsidR="001D01C3" w:rsidRPr="001D01C3">
        <w:rPr>
          <w:rStyle w:val="AddressdetailsChar"/>
        </w:rPr>
        <w:br/>
        <w:t>DX: 111</w:t>
      </w:r>
      <w:r w:rsidR="001D01C3" w:rsidRPr="001D01C3">
        <w:rPr>
          <w:rStyle w:val="AddressdetailsChar"/>
        </w:rPr>
        <w:br/>
        <w:t>Tel:  +61 (0) 3 9671 7000</w:t>
      </w:r>
      <w:r w:rsidR="001D01C3" w:rsidRPr="001D01C3">
        <w:rPr>
          <w:rStyle w:val="AddressdetailsChar"/>
        </w:rPr>
        <w:br/>
        <w:t>Fax:  +61 (0)3 9671 7001</w:t>
      </w:r>
      <w:r w:rsidR="001D01C3" w:rsidRPr="001D01C3">
        <w:rPr>
          <w:rStyle w:val="AddressdetailsChar"/>
        </w:rPr>
        <w:br/>
        <w:t>www.deloitte.com.au</w:t>
      </w:r>
    </w:p>
    <w:p w14:paraId="5EA745ED" w14:textId="77777777" w:rsidR="001D01C3" w:rsidRPr="001D01C3" w:rsidRDefault="001D01C3" w:rsidP="001D01C3">
      <w:pPr>
        <w:rPr>
          <w:rFonts w:ascii="Times New Roman" w:hAnsi="Times New Roman"/>
          <w:sz w:val="22"/>
          <w:szCs w:val="22"/>
        </w:rPr>
      </w:pPr>
    </w:p>
    <w:p w14:paraId="5EA745EE" w14:textId="77777777" w:rsidR="001D01C3" w:rsidRPr="001D01C3" w:rsidRDefault="001D01C3" w:rsidP="001D01C3">
      <w:pPr>
        <w:rPr>
          <w:rFonts w:ascii="Times New Roman" w:hAnsi="Times New Roman"/>
          <w:sz w:val="22"/>
          <w:szCs w:val="22"/>
        </w:rPr>
      </w:pPr>
    </w:p>
    <w:p w14:paraId="5EA745F0" w14:textId="08E04F61" w:rsidR="001D01C3" w:rsidRPr="001D01C3" w:rsidRDefault="001D01C3" w:rsidP="000A4FDF">
      <w:pPr>
        <w:pStyle w:val="Heading1"/>
      </w:pPr>
      <w:bookmarkStart w:id="390" w:name="_Toc430613796"/>
      <w:r w:rsidRPr="001D01C3">
        <w:t>Independent Auditor’s Report</w:t>
      </w:r>
      <w:r w:rsidR="000A4FDF">
        <w:t xml:space="preserve"> </w:t>
      </w:r>
      <w:r w:rsidRPr="001D01C3">
        <w:t>to the Members of</w:t>
      </w:r>
      <w:bookmarkStart w:id="391" w:name="Aud18CompanyName"/>
      <w:bookmarkEnd w:id="391"/>
      <w:r w:rsidRPr="001D01C3">
        <w:t xml:space="preserve"> Vision Australia Limited</w:t>
      </w:r>
      <w:bookmarkEnd w:id="390"/>
    </w:p>
    <w:p w14:paraId="5EA745F1" w14:textId="77777777" w:rsidR="001D01C3" w:rsidRPr="001D01C3" w:rsidRDefault="001D01C3" w:rsidP="001D01C3">
      <w:pPr>
        <w:tabs>
          <w:tab w:val="left" w:pos="568"/>
          <w:tab w:val="left" w:pos="1134"/>
          <w:tab w:val="left" w:pos="1702"/>
          <w:tab w:val="left" w:pos="4253"/>
          <w:tab w:val="left" w:pos="5670"/>
          <w:tab w:val="left" w:pos="6237"/>
        </w:tabs>
        <w:suppressAutoHyphens/>
        <w:rPr>
          <w:rFonts w:ascii="Times New Roman" w:hAnsi="Times New Roman"/>
          <w:sz w:val="22"/>
          <w:szCs w:val="22"/>
        </w:rPr>
      </w:pPr>
    </w:p>
    <w:p w14:paraId="5EA745F2" w14:textId="4EE11B39" w:rsidR="001D01C3" w:rsidRPr="000A4FDF" w:rsidRDefault="001D01C3" w:rsidP="000A4FDF">
      <w:pPr>
        <w:rPr>
          <w:rFonts w:ascii="Times New Roman" w:hAnsi="Times New Roman"/>
          <w:i/>
          <w:sz w:val="20"/>
          <w:szCs w:val="20"/>
        </w:rPr>
      </w:pPr>
      <w:r w:rsidRPr="000A4FDF">
        <w:rPr>
          <w:rFonts w:ascii="Times New Roman" w:hAnsi="Times New Roman"/>
          <w:sz w:val="20"/>
          <w:szCs w:val="20"/>
        </w:rPr>
        <w:t>We have audited the accompanying financial report of Vision Australia Limited, which comprises the consolidated statement of financial position as at 30 June 201</w:t>
      </w:r>
      <w:r w:rsidR="0044691F" w:rsidRPr="000A4FDF">
        <w:rPr>
          <w:rFonts w:ascii="Times New Roman" w:hAnsi="Times New Roman"/>
          <w:sz w:val="20"/>
          <w:szCs w:val="20"/>
        </w:rPr>
        <w:t>5</w:t>
      </w:r>
      <w:r w:rsidRPr="000A4FDF">
        <w:rPr>
          <w:rFonts w:ascii="Times New Roman" w:hAnsi="Times New Roman"/>
          <w:sz w:val="20"/>
          <w:szCs w:val="20"/>
        </w:rPr>
        <w:t>, the consolidated statement of profit or loss and other comprehensive income, the consolidated statement of cash flows and the consolidated statement of changes in equity for the year ended on that date, notes comprising a summary of significant accounting policies and other explanatory information, and the directors’ declaration of the consolidated entity, comprising the company and the entities it controlled at the year’s end or from time to time during the financial year as set out on pages 1</w:t>
      </w:r>
      <w:r w:rsidR="0069608A" w:rsidRPr="000A4FDF">
        <w:rPr>
          <w:rFonts w:ascii="Times New Roman" w:hAnsi="Times New Roman"/>
          <w:sz w:val="20"/>
          <w:szCs w:val="20"/>
        </w:rPr>
        <w:t>7</w:t>
      </w:r>
      <w:r w:rsidR="00C41987" w:rsidRPr="000A4FDF">
        <w:rPr>
          <w:rFonts w:ascii="Times New Roman" w:hAnsi="Times New Roman"/>
          <w:sz w:val="20"/>
          <w:szCs w:val="20"/>
        </w:rPr>
        <w:t xml:space="preserve"> to 53</w:t>
      </w:r>
      <w:r w:rsidRPr="000A4FDF">
        <w:rPr>
          <w:rFonts w:ascii="Times New Roman" w:hAnsi="Times New Roman"/>
          <w:sz w:val="20"/>
          <w:szCs w:val="20"/>
        </w:rPr>
        <w:t>.</w:t>
      </w:r>
      <w:bookmarkStart w:id="392" w:name="Aud18BalDate"/>
      <w:bookmarkStart w:id="393" w:name="Aud18From"/>
      <w:bookmarkEnd w:id="392"/>
      <w:bookmarkEnd w:id="393"/>
      <w:r w:rsidRPr="000A4FDF">
        <w:rPr>
          <w:rFonts w:ascii="Times New Roman" w:hAnsi="Times New Roman"/>
          <w:sz w:val="20"/>
          <w:szCs w:val="20"/>
        </w:rPr>
        <w:t xml:space="preserve"> In addition, we have audited Vision Australia Limited’s compliance with specific requirements of the Charitable Fundraising Act 1991</w:t>
      </w:r>
      <w:r w:rsidR="0069608A" w:rsidRPr="000A4FDF">
        <w:rPr>
          <w:rFonts w:ascii="Times New Roman" w:hAnsi="Times New Roman"/>
          <w:sz w:val="20"/>
          <w:szCs w:val="20"/>
        </w:rPr>
        <w:t xml:space="preserve">, </w:t>
      </w:r>
      <w:r w:rsidR="0069608A" w:rsidRPr="000A4FDF">
        <w:rPr>
          <w:rFonts w:ascii="Times New Roman" w:hAnsi="Times New Roman"/>
          <w:color w:val="000000" w:themeColor="text1"/>
          <w:sz w:val="20"/>
          <w:szCs w:val="20"/>
        </w:rPr>
        <w:t>Charit</w:t>
      </w:r>
      <w:bookmarkStart w:id="394" w:name="_GoBack"/>
      <w:bookmarkEnd w:id="394"/>
      <w:r w:rsidR="0069608A" w:rsidRPr="000A4FDF">
        <w:rPr>
          <w:rFonts w:ascii="Times New Roman" w:hAnsi="Times New Roman"/>
          <w:color w:val="000000" w:themeColor="text1"/>
          <w:sz w:val="20"/>
          <w:szCs w:val="20"/>
        </w:rPr>
        <w:t>able Fundraising Act 1991 (NSW) and Charitable Collections Act (1946) (Section 15) WA (collectively referred to as the “Charitable Fundraising Acts”) for the year ended 30 June 2015</w:t>
      </w:r>
      <w:r w:rsidRPr="000A4FDF">
        <w:rPr>
          <w:rFonts w:ascii="Times New Roman" w:hAnsi="Times New Roman"/>
          <w:sz w:val="20"/>
          <w:szCs w:val="20"/>
        </w:rPr>
        <w:t>.</w:t>
      </w:r>
    </w:p>
    <w:p w14:paraId="5EA745F3"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5F4" w14:textId="61AEC793"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i/>
          <w:sz w:val="20"/>
          <w:szCs w:val="20"/>
        </w:rPr>
      </w:pPr>
      <w:r w:rsidRPr="001D01C3">
        <w:rPr>
          <w:rFonts w:ascii="Times New Roman" w:hAnsi="Times New Roman"/>
          <w:i/>
          <w:sz w:val="20"/>
          <w:szCs w:val="20"/>
        </w:rPr>
        <w:t xml:space="preserve">Directors’ Responsibility for the Financial Report and Compliance with the Charitable Fundraising </w:t>
      </w:r>
      <w:r w:rsidR="0069608A">
        <w:rPr>
          <w:rFonts w:ascii="Times New Roman" w:hAnsi="Times New Roman"/>
          <w:i/>
          <w:sz w:val="20"/>
          <w:szCs w:val="20"/>
        </w:rPr>
        <w:t>Acts</w:t>
      </w:r>
    </w:p>
    <w:p w14:paraId="5EA745F5"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5F6" w14:textId="5E74228C"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r w:rsidRPr="001D01C3">
        <w:rPr>
          <w:rFonts w:ascii="Times New Roman" w:hAnsi="Times New Roman"/>
          <w:sz w:val="20"/>
          <w:szCs w:val="20"/>
        </w:rPr>
        <w:t>The directors of the company</w:t>
      </w:r>
      <w:r w:rsidRPr="001D01C3">
        <w:rPr>
          <w:rFonts w:ascii="Times New Roman" w:hAnsi="Times New Roman"/>
          <w:b/>
          <w:sz w:val="20"/>
          <w:szCs w:val="20"/>
        </w:rPr>
        <w:t xml:space="preserve"> </w:t>
      </w:r>
      <w:r w:rsidRPr="001D01C3">
        <w:rPr>
          <w:rFonts w:ascii="Times New Roman" w:hAnsi="Times New Roman"/>
          <w:sz w:val="20"/>
          <w:szCs w:val="20"/>
        </w:rPr>
        <w:t>are responsible for the preparation of the financial report that gives a true and fair view in accordance with Australian Accounting Standards – Reduced Disclosure Requirements and the</w:t>
      </w:r>
      <w:r w:rsidR="006D6085" w:rsidRPr="006D6085">
        <w:rPr>
          <w:rFonts w:ascii="Times New Roman" w:hAnsi="Times New Roman"/>
        </w:rPr>
        <w:t xml:space="preserve"> </w:t>
      </w:r>
      <w:r w:rsidR="006D6085" w:rsidRPr="00887462">
        <w:rPr>
          <w:rFonts w:ascii="Times New Roman" w:hAnsi="Times New Roman"/>
          <w:i/>
          <w:sz w:val="20"/>
          <w:szCs w:val="20"/>
        </w:rPr>
        <w:t>Australian Charities and Not-for-profits Commission Act 2012</w:t>
      </w:r>
      <w:r w:rsidRPr="001D01C3">
        <w:rPr>
          <w:rFonts w:ascii="Times New Roman" w:hAnsi="Times New Roman"/>
          <w:sz w:val="20"/>
          <w:szCs w:val="20"/>
        </w:rPr>
        <w:t xml:space="preserve"> and for compliance with the </w:t>
      </w:r>
      <w:r w:rsidRPr="001D01C3">
        <w:rPr>
          <w:rFonts w:ascii="Times New Roman" w:hAnsi="Times New Roman"/>
          <w:i/>
          <w:sz w:val="20"/>
          <w:szCs w:val="20"/>
        </w:rPr>
        <w:t xml:space="preserve">Charitable Fundraising </w:t>
      </w:r>
      <w:r w:rsidR="0069608A">
        <w:rPr>
          <w:rFonts w:ascii="Times New Roman" w:hAnsi="Times New Roman"/>
          <w:i/>
          <w:sz w:val="20"/>
          <w:szCs w:val="20"/>
        </w:rPr>
        <w:t>Acts</w:t>
      </w:r>
      <w:r w:rsidRPr="001D01C3">
        <w:rPr>
          <w:rFonts w:ascii="Times New Roman" w:hAnsi="Times New Roman"/>
          <w:i/>
          <w:sz w:val="20"/>
          <w:szCs w:val="20"/>
        </w:rPr>
        <w:t>.</w:t>
      </w:r>
      <w:r w:rsidRPr="001D01C3">
        <w:rPr>
          <w:rFonts w:ascii="Times New Roman" w:hAnsi="Times New Roman"/>
          <w:sz w:val="20"/>
          <w:szCs w:val="20"/>
        </w:rPr>
        <w:t xml:space="preserve"> The directors are also responsible for such internal control as the directors determine is necessary to enable compliance with requirements of the </w:t>
      </w:r>
      <w:r w:rsidRPr="001D01C3">
        <w:rPr>
          <w:rFonts w:ascii="Times New Roman" w:hAnsi="Times New Roman"/>
          <w:i/>
          <w:sz w:val="20"/>
          <w:szCs w:val="20"/>
        </w:rPr>
        <w:t xml:space="preserve">Charitable Fundraising </w:t>
      </w:r>
      <w:r w:rsidR="0069608A">
        <w:rPr>
          <w:rFonts w:ascii="Times New Roman" w:hAnsi="Times New Roman"/>
          <w:i/>
          <w:sz w:val="20"/>
          <w:szCs w:val="20"/>
        </w:rPr>
        <w:t>Acts</w:t>
      </w:r>
      <w:r w:rsidR="0069608A" w:rsidRPr="001D01C3">
        <w:rPr>
          <w:rFonts w:ascii="Times New Roman" w:hAnsi="Times New Roman"/>
          <w:sz w:val="20"/>
          <w:szCs w:val="20"/>
        </w:rPr>
        <w:t xml:space="preserve"> </w:t>
      </w:r>
      <w:r w:rsidRPr="001D01C3">
        <w:rPr>
          <w:rFonts w:ascii="Times New Roman" w:hAnsi="Times New Roman"/>
          <w:sz w:val="20"/>
          <w:szCs w:val="20"/>
        </w:rPr>
        <w:t xml:space="preserve">and the preparation of the financial report that is free from material misstatement, whether due to fraud or error. </w:t>
      </w:r>
    </w:p>
    <w:p w14:paraId="5EA745F7"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5F8" w14:textId="77777777" w:rsidR="001D01C3" w:rsidRPr="001D01C3" w:rsidRDefault="001D01C3" w:rsidP="000A4FDF">
      <w:r w:rsidRPr="001D01C3">
        <w:t>Auditor’s Responsibility</w:t>
      </w:r>
    </w:p>
    <w:p w14:paraId="5EA745F9"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5FA" w14:textId="175646C9"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r w:rsidRPr="001D01C3">
        <w:rPr>
          <w:rFonts w:ascii="Times New Roman" w:hAnsi="Times New Roman"/>
          <w:sz w:val="20"/>
          <w:szCs w:val="20"/>
        </w:rPr>
        <w:t xml:space="preserve">Our responsibility is to express an opinion on the company’s compliance with specific requirements of the </w:t>
      </w:r>
      <w:r w:rsidRPr="001D01C3">
        <w:rPr>
          <w:rFonts w:ascii="Times New Roman" w:hAnsi="Times New Roman"/>
          <w:i/>
          <w:sz w:val="20"/>
          <w:szCs w:val="20"/>
        </w:rPr>
        <w:t xml:space="preserve">Charitable Fundraising </w:t>
      </w:r>
      <w:r w:rsidR="0069608A">
        <w:rPr>
          <w:rFonts w:ascii="Times New Roman" w:hAnsi="Times New Roman"/>
          <w:i/>
          <w:sz w:val="20"/>
          <w:szCs w:val="20"/>
        </w:rPr>
        <w:t>Acts</w:t>
      </w:r>
      <w:r w:rsidR="0069608A" w:rsidRPr="001D01C3">
        <w:rPr>
          <w:rFonts w:ascii="Times New Roman" w:hAnsi="Times New Roman"/>
          <w:sz w:val="20"/>
          <w:szCs w:val="20"/>
        </w:rPr>
        <w:t xml:space="preserve"> </w:t>
      </w:r>
      <w:r w:rsidRPr="001D01C3">
        <w:rPr>
          <w:rFonts w:ascii="Times New Roman" w:hAnsi="Times New Roman"/>
          <w:sz w:val="20"/>
          <w:szCs w:val="20"/>
        </w:rPr>
        <w:t xml:space="preserve">and the financial report based on our audit. </w:t>
      </w:r>
      <w:bookmarkStart w:id="395" w:name="Aud18CoUndertaking"/>
      <w:bookmarkEnd w:id="395"/>
      <w:r w:rsidRPr="001D01C3">
        <w:rPr>
          <w:rFonts w:ascii="Times New Roman" w:hAnsi="Times New Roman"/>
          <w:sz w:val="20"/>
          <w:szCs w:val="20"/>
        </w:rPr>
        <w:t xml:space="preserve">We conducted our audit in accordance with Australian Auditing Standards. Those standards require that we comply with relevant ethical requirements relating to audit engagements and plan and perform the audit to obtain reasonable assurance whether the entity has complied with specific requirements of the </w:t>
      </w:r>
      <w:r w:rsidRPr="001D01C3">
        <w:rPr>
          <w:rFonts w:ascii="Times New Roman" w:hAnsi="Times New Roman"/>
          <w:i/>
          <w:sz w:val="20"/>
          <w:szCs w:val="20"/>
        </w:rPr>
        <w:t xml:space="preserve">Charitable Fundraising </w:t>
      </w:r>
      <w:r w:rsidR="0069608A">
        <w:rPr>
          <w:rFonts w:ascii="Times New Roman" w:hAnsi="Times New Roman"/>
          <w:i/>
          <w:sz w:val="20"/>
          <w:szCs w:val="20"/>
        </w:rPr>
        <w:t>Acts</w:t>
      </w:r>
      <w:r w:rsidR="0069608A" w:rsidRPr="001D01C3">
        <w:rPr>
          <w:rFonts w:ascii="Times New Roman" w:hAnsi="Times New Roman"/>
          <w:sz w:val="20"/>
          <w:szCs w:val="20"/>
        </w:rPr>
        <w:t xml:space="preserve"> </w:t>
      </w:r>
      <w:r w:rsidRPr="001D01C3">
        <w:rPr>
          <w:rFonts w:ascii="Times New Roman" w:hAnsi="Times New Roman"/>
          <w:sz w:val="20"/>
          <w:szCs w:val="20"/>
        </w:rPr>
        <w:t xml:space="preserve">and the financial report is free from material misstatement.  </w:t>
      </w:r>
      <w:bookmarkStart w:id="396" w:name="Aud18CoUndertaking2"/>
      <w:bookmarkEnd w:id="396"/>
    </w:p>
    <w:p w14:paraId="5EA745FB"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5FC" w14:textId="03935053"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r w:rsidRPr="001D01C3">
        <w:rPr>
          <w:rFonts w:ascii="Times New Roman" w:hAnsi="Times New Roman"/>
          <w:sz w:val="20"/>
          <w:szCs w:val="20"/>
        </w:rPr>
        <w:t xml:space="preserve">An audit involves performing procedures to obtain audit evidence about the company’s compliance with specific requirements of the </w:t>
      </w:r>
      <w:r w:rsidRPr="001D01C3">
        <w:rPr>
          <w:rFonts w:ascii="Times New Roman" w:hAnsi="Times New Roman"/>
          <w:i/>
          <w:sz w:val="20"/>
          <w:szCs w:val="20"/>
        </w:rPr>
        <w:t xml:space="preserve">Charitable Fundraising </w:t>
      </w:r>
      <w:r w:rsidR="0069608A">
        <w:rPr>
          <w:rFonts w:ascii="Times New Roman" w:hAnsi="Times New Roman"/>
          <w:i/>
          <w:sz w:val="20"/>
          <w:szCs w:val="20"/>
        </w:rPr>
        <w:t>Acts</w:t>
      </w:r>
      <w:r w:rsidR="0069608A" w:rsidRPr="001D01C3">
        <w:rPr>
          <w:rFonts w:ascii="Times New Roman" w:hAnsi="Times New Roman"/>
          <w:sz w:val="20"/>
          <w:szCs w:val="20"/>
        </w:rPr>
        <w:t xml:space="preserve"> </w:t>
      </w:r>
      <w:r w:rsidRPr="001D01C3">
        <w:rPr>
          <w:rFonts w:ascii="Times New Roman" w:hAnsi="Times New Roman"/>
          <w:sz w:val="20"/>
          <w:szCs w:val="20"/>
        </w:rPr>
        <w:t xml:space="preserve">and amounts and disclosures in the financial report. The procedures selected depend on the auditor’s judgement, including the assessment of the risks of non-compliance with specific requirements of the </w:t>
      </w:r>
      <w:r w:rsidRPr="001D01C3">
        <w:rPr>
          <w:rFonts w:ascii="Times New Roman" w:hAnsi="Times New Roman"/>
          <w:i/>
          <w:sz w:val="20"/>
          <w:szCs w:val="20"/>
        </w:rPr>
        <w:t xml:space="preserve">Charitable Fundraising </w:t>
      </w:r>
      <w:r w:rsidR="0069608A">
        <w:rPr>
          <w:rFonts w:ascii="Times New Roman" w:hAnsi="Times New Roman"/>
          <w:i/>
          <w:sz w:val="20"/>
          <w:szCs w:val="20"/>
        </w:rPr>
        <w:t>Acts</w:t>
      </w:r>
      <w:r w:rsidR="0069608A" w:rsidRPr="001D01C3">
        <w:rPr>
          <w:rFonts w:ascii="Times New Roman" w:hAnsi="Times New Roman"/>
          <w:sz w:val="20"/>
          <w:szCs w:val="20"/>
        </w:rPr>
        <w:t xml:space="preserve"> </w:t>
      </w:r>
      <w:r w:rsidRPr="001D01C3">
        <w:rPr>
          <w:rFonts w:ascii="Times New Roman" w:hAnsi="Times New Roman"/>
          <w:sz w:val="20"/>
          <w:szCs w:val="20"/>
        </w:rPr>
        <w:t xml:space="preserve">and risks of material misstatement of the financial report, whether due to fraud or error. In making those risk assessments, the auditor considers internal control, relevant to the company’s compliance with the </w:t>
      </w:r>
      <w:r w:rsidRPr="001D01C3">
        <w:rPr>
          <w:rFonts w:ascii="Times New Roman" w:hAnsi="Times New Roman"/>
          <w:i/>
          <w:sz w:val="20"/>
          <w:szCs w:val="20"/>
        </w:rPr>
        <w:t xml:space="preserve">Charitable Fundraising </w:t>
      </w:r>
      <w:r w:rsidR="0069608A">
        <w:rPr>
          <w:rFonts w:ascii="Times New Roman" w:hAnsi="Times New Roman"/>
          <w:i/>
          <w:sz w:val="20"/>
          <w:szCs w:val="20"/>
        </w:rPr>
        <w:t>Acts</w:t>
      </w:r>
      <w:r w:rsidR="0069608A" w:rsidRPr="001D01C3">
        <w:rPr>
          <w:rFonts w:ascii="Times New Roman" w:hAnsi="Times New Roman"/>
          <w:sz w:val="20"/>
          <w:szCs w:val="20"/>
        </w:rPr>
        <w:t xml:space="preserve"> </w:t>
      </w:r>
      <w:r w:rsidRPr="001D01C3">
        <w:rPr>
          <w:rFonts w:ascii="Times New Roman" w:hAnsi="Times New Roman"/>
          <w:sz w:val="20"/>
          <w:szCs w:val="20"/>
        </w:rPr>
        <w:t>and preparation of the financial report that gives a true and fair view, in order to design audit procedures that are appropriate in the circumstances, but not for the purpose of expressing an opinion on the effectiveness of the company’s internal control. An audit also includes evaluating the appropriateness of accounting policies used and the reasonableness of accounting estimates made by the directors, as well as evaluating the overall presentation of the financial report.</w:t>
      </w:r>
    </w:p>
    <w:p w14:paraId="5EA745FD"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5FE" w14:textId="77777777" w:rsidR="001D01C3" w:rsidRPr="001D01C3" w:rsidRDefault="001D01C3" w:rsidP="001D01C3">
      <w:pPr>
        <w:jc w:val="center"/>
        <w:rPr>
          <w:rFonts w:ascii="Times New Roman" w:hAnsi="Times New Roman"/>
          <w:sz w:val="20"/>
          <w:szCs w:val="20"/>
        </w:rPr>
      </w:pPr>
    </w:p>
    <w:p w14:paraId="5EA74600"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1"/>
          <w:szCs w:val="21"/>
        </w:rPr>
      </w:pPr>
    </w:p>
    <w:p w14:paraId="5EA74601" w14:textId="77777777" w:rsidR="001D01C3" w:rsidRPr="001D01C3" w:rsidRDefault="001D01C3" w:rsidP="001D01C3">
      <w:pPr>
        <w:pStyle w:val="Legalstatement"/>
        <w:spacing w:after="60"/>
        <w:rPr>
          <w:rFonts w:ascii="Arial" w:hAnsi="Arial"/>
        </w:rPr>
      </w:pPr>
      <w:r w:rsidRPr="001D01C3">
        <w:rPr>
          <w:rFonts w:ascii="Arial" w:hAnsi="Arial"/>
        </w:rPr>
        <w:t>Liability limited by a scheme approved under Professional Standards Legislation.</w:t>
      </w:r>
    </w:p>
    <w:p w14:paraId="5EA74603" w14:textId="7FD82E48" w:rsidR="001D01C3" w:rsidRPr="001D01C3" w:rsidRDefault="001D01C3" w:rsidP="000A4FDF">
      <w:pPr>
        <w:pStyle w:val="Legalstatement"/>
        <w:spacing w:after="60"/>
        <w:rPr>
          <w:rFonts w:ascii="Arial" w:hAnsi="Arial"/>
          <w:sz w:val="14"/>
          <w:szCs w:val="14"/>
        </w:rPr>
      </w:pPr>
      <w:r w:rsidRPr="001D01C3">
        <w:rPr>
          <w:rFonts w:ascii="Arial" w:hAnsi="Arial"/>
          <w:sz w:val="14"/>
          <w:szCs w:val="14"/>
        </w:rPr>
        <w:t xml:space="preserve">Member of Deloitte </w:t>
      </w:r>
      <w:proofErr w:type="spellStart"/>
      <w:r w:rsidRPr="001D01C3">
        <w:rPr>
          <w:rFonts w:ascii="Arial" w:hAnsi="Arial"/>
          <w:sz w:val="14"/>
          <w:szCs w:val="14"/>
        </w:rPr>
        <w:t>Touche</w:t>
      </w:r>
      <w:proofErr w:type="spellEnd"/>
      <w:r w:rsidRPr="001D01C3">
        <w:rPr>
          <w:rFonts w:ascii="Arial" w:hAnsi="Arial"/>
          <w:sz w:val="14"/>
          <w:szCs w:val="14"/>
        </w:rPr>
        <w:t xml:space="preserve"> Tohmatsu Limited</w:t>
      </w:r>
      <w:r w:rsidRPr="001D01C3" w:rsidDel="008803F2">
        <w:rPr>
          <w:rFonts w:ascii="Arial" w:hAnsi="Arial"/>
          <w:sz w:val="14"/>
          <w:szCs w:val="14"/>
        </w:rPr>
        <w:t xml:space="preserve"> </w:t>
      </w:r>
      <w:r w:rsidRPr="001D01C3">
        <w:rPr>
          <w:rFonts w:ascii="Arial" w:hAnsi="Arial"/>
          <w:sz w:val="14"/>
          <w:szCs w:val="14"/>
        </w:rPr>
        <w:tab/>
      </w:r>
    </w:p>
    <w:p w14:paraId="5EA74604" w14:textId="77777777" w:rsidR="001D01C3" w:rsidRPr="001D01C3" w:rsidRDefault="006B2BD8" w:rsidP="001D01C3">
      <w:pPr>
        <w:tabs>
          <w:tab w:val="left" w:pos="568"/>
          <w:tab w:val="left" w:pos="1134"/>
          <w:tab w:val="left" w:pos="1702"/>
          <w:tab w:val="left" w:pos="4253"/>
          <w:tab w:val="left" w:pos="5670"/>
          <w:tab w:val="left" w:pos="6237"/>
        </w:tabs>
        <w:suppressAutoHyphens/>
        <w:jc w:val="both"/>
        <w:rPr>
          <w:rFonts w:ascii="Times New Roman" w:hAnsi="Times New Roman"/>
          <w:sz w:val="21"/>
          <w:szCs w:val="21"/>
        </w:rPr>
      </w:pPr>
      <w:r>
        <w:rPr>
          <w:noProof/>
          <w:lang w:eastAsia="en-AU"/>
        </w:rPr>
        <w:drawing>
          <wp:anchor distT="0" distB="0" distL="114300" distR="114300" simplePos="0" relativeHeight="251658243" behindDoc="0" locked="0" layoutInCell="1" allowOverlap="1" wp14:anchorId="5EA7462E" wp14:editId="5EA7462F">
            <wp:simplePos x="0" y="0"/>
            <wp:positionH relativeFrom="page">
              <wp:posOffset>900430</wp:posOffset>
            </wp:positionH>
            <wp:positionV relativeFrom="page">
              <wp:posOffset>540385</wp:posOffset>
            </wp:positionV>
            <wp:extent cx="1152525" cy="219075"/>
            <wp:effectExtent l="0" t="0" r="9525" b="9525"/>
            <wp:wrapNone/>
            <wp:docPr id="11" name="HDR_LOGO_p2" descr="Description: DEL_PRI_GREY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_LOGO_p2" descr="Description: DEL_PRI_GREY_M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5252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74605" w14:textId="77777777" w:rsidR="001D01C3" w:rsidRPr="001D01C3" w:rsidRDefault="001D01C3" w:rsidP="001D01C3">
      <w:pPr>
        <w:tabs>
          <w:tab w:val="left" w:pos="568"/>
          <w:tab w:val="left" w:pos="1134"/>
          <w:tab w:val="left" w:pos="1702"/>
          <w:tab w:val="left" w:pos="4253"/>
          <w:tab w:val="left" w:pos="5670"/>
          <w:tab w:val="left" w:pos="6237"/>
        </w:tabs>
        <w:suppressAutoHyphens/>
        <w:rPr>
          <w:rFonts w:ascii="Times New Roman" w:hAnsi="Times New Roman"/>
          <w:i/>
          <w:sz w:val="20"/>
          <w:szCs w:val="20"/>
        </w:rPr>
      </w:pPr>
      <w:r w:rsidRPr="001D01C3">
        <w:rPr>
          <w:rFonts w:ascii="Times New Roman" w:hAnsi="Times New Roman"/>
          <w:i/>
          <w:sz w:val="20"/>
          <w:szCs w:val="20"/>
        </w:rPr>
        <w:t>Inherent Limitations</w:t>
      </w:r>
    </w:p>
    <w:p w14:paraId="5EA74606"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607" w14:textId="4ED440A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r w:rsidRPr="001D01C3">
        <w:rPr>
          <w:rFonts w:ascii="Times New Roman" w:hAnsi="Times New Roman"/>
          <w:sz w:val="20"/>
          <w:szCs w:val="20"/>
        </w:rPr>
        <w:t xml:space="preserve">Because of the inherent limitations of any compliance procedure, it is possible that fraud, error, or non-compliance with the </w:t>
      </w:r>
      <w:r w:rsidRPr="001D01C3">
        <w:rPr>
          <w:rFonts w:ascii="Times New Roman" w:hAnsi="Times New Roman"/>
          <w:i/>
          <w:sz w:val="20"/>
          <w:szCs w:val="20"/>
        </w:rPr>
        <w:t xml:space="preserve">Charitable Fundraising </w:t>
      </w:r>
      <w:r w:rsidR="0069608A">
        <w:rPr>
          <w:rFonts w:ascii="Times New Roman" w:hAnsi="Times New Roman"/>
          <w:i/>
          <w:sz w:val="20"/>
          <w:szCs w:val="20"/>
        </w:rPr>
        <w:t>Acts</w:t>
      </w:r>
      <w:r w:rsidR="0069608A" w:rsidRPr="001D01C3">
        <w:rPr>
          <w:rFonts w:ascii="Times New Roman" w:hAnsi="Times New Roman"/>
          <w:sz w:val="20"/>
          <w:szCs w:val="20"/>
        </w:rPr>
        <w:t xml:space="preserve"> </w:t>
      </w:r>
      <w:r w:rsidRPr="001D01C3">
        <w:rPr>
          <w:rFonts w:ascii="Times New Roman" w:hAnsi="Times New Roman"/>
          <w:sz w:val="20"/>
          <w:szCs w:val="20"/>
        </w:rPr>
        <w:t xml:space="preserve">may occur and not be detected.  An audit is not designed to detect all weaknesses in Vision Australia Limited’s compliance with the </w:t>
      </w:r>
      <w:r w:rsidRPr="001D01C3">
        <w:rPr>
          <w:rFonts w:ascii="Times New Roman" w:hAnsi="Times New Roman"/>
          <w:i/>
          <w:sz w:val="20"/>
          <w:szCs w:val="20"/>
        </w:rPr>
        <w:t xml:space="preserve">Charitable Fundraising </w:t>
      </w:r>
      <w:r w:rsidR="0069608A">
        <w:rPr>
          <w:rFonts w:ascii="Times New Roman" w:hAnsi="Times New Roman"/>
          <w:i/>
          <w:sz w:val="20"/>
          <w:szCs w:val="20"/>
        </w:rPr>
        <w:t>Acts</w:t>
      </w:r>
      <w:r w:rsidR="0069608A" w:rsidRPr="001D01C3">
        <w:rPr>
          <w:rFonts w:ascii="Times New Roman" w:hAnsi="Times New Roman"/>
          <w:sz w:val="20"/>
          <w:szCs w:val="20"/>
        </w:rPr>
        <w:t xml:space="preserve"> </w:t>
      </w:r>
      <w:r w:rsidRPr="001D01C3">
        <w:rPr>
          <w:rFonts w:ascii="Times New Roman" w:hAnsi="Times New Roman"/>
          <w:sz w:val="20"/>
          <w:szCs w:val="20"/>
        </w:rPr>
        <w:t>as an audit is not performed continuously throughout the period and the tests are performed on a sample basis.</w:t>
      </w:r>
    </w:p>
    <w:p w14:paraId="5EA74608"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609" w14:textId="5F08C25E"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r w:rsidRPr="001D01C3">
        <w:rPr>
          <w:rFonts w:ascii="Times New Roman" w:hAnsi="Times New Roman"/>
          <w:sz w:val="20"/>
          <w:szCs w:val="20"/>
        </w:rPr>
        <w:t xml:space="preserve">Any projection of the evaluation of compliance with the </w:t>
      </w:r>
      <w:r w:rsidRPr="001D01C3">
        <w:rPr>
          <w:rFonts w:ascii="Times New Roman" w:hAnsi="Times New Roman"/>
          <w:i/>
          <w:sz w:val="20"/>
          <w:szCs w:val="20"/>
        </w:rPr>
        <w:t>Charitable Fundraising Act</w:t>
      </w:r>
      <w:r w:rsidR="0069608A">
        <w:rPr>
          <w:rFonts w:ascii="Times New Roman" w:hAnsi="Times New Roman"/>
          <w:i/>
          <w:sz w:val="20"/>
          <w:szCs w:val="20"/>
        </w:rPr>
        <w:t>s</w:t>
      </w:r>
      <w:r w:rsidRPr="001D01C3">
        <w:rPr>
          <w:rFonts w:ascii="Times New Roman" w:hAnsi="Times New Roman"/>
          <w:sz w:val="20"/>
          <w:szCs w:val="20"/>
        </w:rPr>
        <w:t xml:space="preserve"> to future periods is subject to the risk that the procedures may become inadequate because of changes in conditions, or that the degree of compliance with them may deteriorate.</w:t>
      </w:r>
    </w:p>
    <w:p w14:paraId="5EA7460A"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60B"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r w:rsidRPr="001D01C3">
        <w:rPr>
          <w:rFonts w:ascii="Times New Roman" w:hAnsi="Times New Roman"/>
          <w:sz w:val="20"/>
          <w:szCs w:val="20"/>
        </w:rPr>
        <w:t>We believe that the audit evidence we have obtained is sufficient and appropriate to provide a basis for our audit opinion.</w:t>
      </w:r>
    </w:p>
    <w:p w14:paraId="5EA7460C" w14:textId="77777777" w:rsidR="001D01C3" w:rsidRPr="001D01C3" w:rsidRDefault="001D01C3" w:rsidP="001D01C3">
      <w:pPr>
        <w:jc w:val="both"/>
        <w:rPr>
          <w:rFonts w:ascii="Times New Roman" w:hAnsi="Times New Roman"/>
          <w:i/>
          <w:color w:val="000000"/>
          <w:sz w:val="20"/>
          <w:szCs w:val="20"/>
        </w:rPr>
      </w:pPr>
    </w:p>
    <w:p w14:paraId="5EA74611" w14:textId="77777777" w:rsidR="001D01C3" w:rsidRPr="001D01C3" w:rsidRDefault="001D01C3" w:rsidP="001D01C3">
      <w:pPr>
        <w:rPr>
          <w:rFonts w:ascii="Times New Roman" w:hAnsi="Times New Roman"/>
          <w:i/>
          <w:sz w:val="20"/>
          <w:szCs w:val="20"/>
        </w:rPr>
      </w:pPr>
      <w:r w:rsidRPr="001D01C3">
        <w:rPr>
          <w:rFonts w:ascii="Times New Roman" w:hAnsi="Times New Roman"/>
          <w:i/>
          <w:sz w:val="20"/>
          <w:szCs w:val="20"/>
        </w:rPr>
        <w:t>Opinion</w:t>
      </w:r>
    </w:p>
    <w:p w14:paraId="5EA74612"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613" w14:textId="77777777" w:rsid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r w:rsidRPr="001D01C3">
        <w:rPr>
          <w:rFonts w:ascii="Times New Roman" w:hAnsi="Times New Roman"/>
          <w:sz w:val="20"/>
          <w:szCs w:val="20"/>
        </w:rPr>
        <w:t>In our opinion:</w:t>
      </w:r>
    </w:p>
    <w:p w14:paraId="617B1682" w14:textId="77777777" w:rsidR="00BA6B37" w:rsidRPr="001D01C3" w:rsidRDefault="00BA6B37"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614" w14:textId="6E157034" w:rsid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r w:rsidRPr="001D01C3">
        <w:rPr>
          <w:rFonts w:ascii="Times New Roman" w:hAnsi="Times New Roman"/>
          <w:sz w:val="20"/>
          <w:szCs w:val="20"/>
        </w:rPr>
        <w:t xml:space="preserve">(a) the financial report of Vision Australia Limited is in accordance with </w:t>
      </w:r>
      <w:r w:rsidR="0069608A">
        <w:rPr>
          <w:rFonts w:ascii="Times New Roman" w:hAnsi="Times New Roman"/>
          <w:sz w:val="20"/>
          <w:szCs w:val="20"/>
        </w:rPr>
        <w:t xml:space="preserve">Division 60 of </w:t>
      </w:r>
      <w:r w:rsidRPr="001D01C3">
        <w:rPr>
          <w:rFonts w:ascii="Times New Roman" w:hAnsi="Times New Roman"/>
          <w:sz w:val="20"/>
          <w:szCs w:val="20"/>
        </w:rPr>
        <w:t xml:space="preserve">the </w:t>
      </w:r>
      <w:r w:rsidR="006D6085" w:rsidRPr="00887462">
        <w:rPr>
          <w:rFonts w:ascii="Times New Roman" w:hAnsi="Times New Roman"/>
          <w:i/>
          <w:sz w:val="20"/>
          <w:szCs w:val="20"/>
        </w:rPr>
        <w:t>Australian Charities and Not-for-profits Commission Act 2012</w:t>
      </w:r>
      <w:r w:rsidRPr="001D01C3">
        <w:rPr>
          <w:rFonts w:ascii="Times New Roman" w:hAnsi="Times New Roman"/>
          <w:sz w:val="20"/>
          <w:szCs w:val="20"/>
        </w:rPr>
        <w:t>, including:</w:t>
      </w:r>
    </w:p>
    <w:p w14:paraId="477E75D9" w14:textId="77777777" w:rsidR="0069608A" w:rsidRPr="001D01C3" w:rsidRDefault="0069608A"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615" w14:textId="77777777" w:rsidR="001D01C3" w:rsidRPr="001D01C3" w:rsidRDefault="001D01C3" w:rsidP="001D01C3">
      <w:pPr>
        <w:tabs>
          <w:tab w:val="left" w:pos="568"/>
          <w:tab w:val="left" w:pos="1134"/>
          <w:tab w:val="left" w:pos="1702"/>
          <w:tab w:val="left" w:pos="4253"/>
          <w:tab w:val="left" w:pos="5670"/>
          <w:tab w:val="left" w:pos="6237"/>
        </w:tabs>
        <w:suppressAutoHyphens/>
        <w:ind w:left="568"/>
        <w:jc w:val="both"/>
        <w:rPr>
          <w:rFonts w:ascii="Times New Roman" w:hAnsi="Times New Roman"/>
          <w:sz w:val="20"/>
          <w:szCs w:val="20"/>
        </w:rPr>
      </w:pPr>
      <w:r w:rsidRPr="001D01C3">
        <w:rPr>
          <w:rFonts w:ascii="Times New Roman" w:hAnsi="Times New Roman"/>
          <w:sz w:val="20"/>
          <w:szCs w:val="20"/>
        </w:rPr>
        <w:t>(</w:t>
      </w:r>
      <w:proofErr w:type="spellStart"/>
      <w:r w:rsidRPr="001D01C3">
        <w:rPr>
          <w:rFonts w:ascii="Times New Roman" w:hAnsi="Times New Roman"/>
          <w:sz w:val="20"/>
          <w:szCs w:val="20"/>
        </w:rPr>
        <w:t>i</w:t>
      </w:r>
      <w:proofErr w:type="spellEnd"/>
      <w:r w:rsidRPr="001D01C3">
        <w:rPr>
          <w:rFonts w:ascii="Times New Roman" w:hAnsi="Times New Roman"/>
          <w:sz w:val="20"/>
          <w:szCs w:val="20"/>
        </w:rPr>
        <w:t>) giving a true and fair view of the consolidated entity’s financial position as at 30 June 201</w:t>
      </w:r>
      <w:r w:rsidR="0016002F">
        <w:rPr>
          <w:rFonts w:ascii="Times New Roman" w:hAnsi="Times New Roman"/>
          <w:sz w:val="20"/>
          <w:szCs w:val="20"/>
        </w:rPr>
        <w:t>5</w:t>
      </w:r>
      <w:r w:rsidRPr="001D01C3">
        <w:rPr>
          <w:rFonts w:ascii="Times New Roman" w:hAnsi="Times New Roman"/>
          <w:b/>
          <w:sz w:val="20"/>
          <w:szCs w:val="20"/>
        </w:rPr>
        <w:t xml:space="preserve"> </w:t>
      </w:r>
      <w:r w:rsidRPr="001D01C3">
        <w:rPr>
          <w:rFonts w:ascii="Times New Roman" w:hAnsi="Times New Roman"/>
          <w:sz w:val="20"/>
          <w:szCs w:val="20"/>
        </w:rPr>
        <w:t>and of its performance for the year ended on that date; and</w:t>
      </w:r>
    </w:p>
    <w:p w14:paraId="5EA74616"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617" w14:textId="440E2492" w:rsidR="001D01C3" w:rsidRPr="001D01C3" w:rsidRDefault="001D01C3" w:rsidP="001D01C3">
      <w:pPr>
        <w:tabs>
          <w:tab w:val="left" w:pos="568"/>
          <w:tab w:val="left" w:pos="1134"/>
          <w:tab w:val="left" w:pos="1702"/>
          <w:tab w:val="left" w:pos="4253"/>
          <w:tab w:val="left" w:pos="5670"/>
          <w:tab w:val="left" w:pos="6237"/>
        </w:tabs>
        <w:suppressAutoHyphens/>
        <w:ind w:left="568"/>
        <w:jc w:val="both"/>
        <w:rPr>
          <w:rFonts w:ascii="Times New Roman" w:hAnsi="Times New Roman"/>
          <w:sz w:val="20"/>
          <w:szCs w:val="20"/>
        </w:rPr>
      </w:pPr>
      <w:r w:rsidRPr="001D01C3">
        <w:rPr>
          <w:rFonts w:ascii="Times New Roman" w:hAnsi="Times New Roman"/>
          <w:sz w:val="20"/>
          <w:szCs w:val="20"/>
        </w:rPr>
        <w:t xml:space="preserve">(ii) </w:t>
      </w:r>
      <w:proofErr w:type="gramStart"/>
      <w:r w:rsidRPr="001D01C3">
        <w:rPr>
          <w:rFonts w:ascii="Times New Roman" w:hAnsi="Times New Roman"/>
          <w:sz w:val="20"/>
          <w:szCs w:val="20"/>
        </w:rPr>
        <w:t>complying</w:t>
      </w:r>
      <w:proofErr w:type="gramEnd"/>
      <w:r w:rsidRPr="001D01C3">
        <w:rPr>
          <w:rFonts w:ascii="Times New Roman" w:hAnsi="Times New Roman"/>
          <w:sz w:val="20"/>
          <w:szCs w:val="20"/>
        </w:rPr>
        <w:t xml:space="preserve"> with Australian Accounting Standards – Reduced Disclosure Requirements</w:t>
      </w:r>
      <w:r w:rsidR="00BA6B37">
        <w:rPr>
          <w:rFonts w:ascii="Times New Roman" w:hAnsi="Times New Roman"/>
          <w:sz w:val="20"/>
          <w:szCs w:val="20"/>
        </w:rPr>
        <w:t xml:space="preserve"> and Division 60 of </w:t>
      </w:r>
      <w:r w:rsidR="00BA6B37" w:rsidRPr="001D01C3">
        <w:rPr>
          <w:rFonts w:ascii="Times New Roman" w:hAnsi="Times New Roman"/>
          <w:sz w:val="20"/>
          <w:szCs w:val="20"/>
        </w:rPr>
        <w:t xml:space="preserve">the </w:t>
      </w:r>
      <w:r w:rsidR="00BA6B37" w:rsidRPr="00887462">
        <w:rPr>
          <w:rFonts w:ascii="Times New Roman" w:hAnsi="Times New Roman"/>
          <w:i/>
          <w:sz w:val="20"/>
          <w:szCs w:val="20"/>
        </w:rPr>
        <w:t xml:space="preserve">Australian Charities and Not-for-profits Commission </w:t>
      </w:r>
      <w:r w:rsidR="00BA6B37">
        <w:rPr>
          <w:rFonts w:ascii="Times New Roman" w:hAnsi="Times New Roman"/>
          <w:i/>
          <w:sz w:val="20"/>
          <w:szCs w:val="20"/>
        </w:rPr>
        <w:t>Regulations 2013</w:t>
      </w:r>
      <w:r w:rsidR="006D6085">
        <w:rPr>
          <w:rFonts w:ascii="Times New Roman" w:hAnsi="Times New Roman"/>
          <w:sz w:val="20"/>
          <w:szCs w:val="20"/>
        </w:rPr>
        <w:t>;</w:t>
      </w:r>
      <w:r w:rsidRPr="001D01C3">
        <w:rPr>
          <w:rFonts w:ascii="Times New Roman" w:hAnsi="Times New Roman"/>
          <w:sz w:val="20"/>
          <w:szCs w:val="20"/>
        </w:rPr>
        <w:t xml:space="preserve"> </w:t>
      </w:r>
    </w:p>
    <w:p w14:paraId="5EA74618" w14:textId="77777777" w:rsidR="001D01C3" w:rsidRPr="001D01C3"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sz w:val="20"/>
          <w:szCs w:val="20"/>
        </w:rPr>
      </w:pPr>
    </w:p>
    <w:p w14:paraId="5EA74619" w14:textId="48D26664" w:rsidR="001D01C3" w:rsidRPr="001D01C3" w:rsidRDefault="001D01C3" w:rsidP="001D01C3">
      <w:pPr>
        <w:tabs>
          <w:tab w:val="left" w:pos="1702"/>
          <w:tab w:val="left" w:pos="3005"/>
          <w:tab w:val="left" w:pos="4253"/>
          <w:tab w:val="left" w:pos="5670"/>
          <w:tab w:val="left" w:pos="6237"/>
        </w:tabs>
        <w:suppressAutoHyphens/>
        <w:spacing w:line="260" w:lineRule="exact"/>
        <w:jc w:val="both"/>
        <w:rPr>
          <w:rFonts w:ascii="Times New Roman" w:hAnsi="Times New Roman"/>
          <w:spacing w:val="-2"/>
          <w:sz w:val="20"/>
          <w:szCs w:val="20"/>
        </w:rPr>
      </w:pPr>
      <w:r w:rsidRPr="001D01C3">
        <w:rPr>
          <w:rFonts w:ascii="Times New Roman" w:hAnsi="Times New Roman"/>
          <w:spacing w:val="-2"/>
          <w:sz w:val="20"/>
          <w:szCs w:val="20"/>
        </w:rPr>
        <w:t>(b) the financial report agrees to the underlying financial records of</w:t>
      </w:r>
      <w:r w:rsidRPr="001D01C3">
        <w:rPr>
          <w:rFonts w:ascii="Times New Roman" w:hAnsi="Times New Roman"/>
          <w:sz w:val="20"/>
          <w:szCs w:val="20"/>
        </w:rPr>
        <w:t xml:space="preserve"> Vision Australia Limited</w:t>
      </w:r>
      <w:r w:rsidRPr="001D01C3">
        <w:rPr>
          <w:rFonts w:ascii="Times New Roman" w:hAnsi="Times New Roman"/>
          <w:spacing w:val="-2"/>
          <w:sz w:val="20"/>
          <w:szCs w:val="20"/>
        </w:rPr>
        <w:t xml:space="preserve">, that have been maintained, in all material respects, in accordance with the </w:t>
      </w:r>
      <w:r w:rsidRPr="001D01C3">
        <w:rPr>
          <w:rFonts w:ascii="Times New Roman" w:hAnsi="Times New Roman"/>
          <w:i/>
          <w:spacing w:val="-2"/>
          <w:sz w:val="20"/>
          <w:szCs w:val="20"/>
        </w:rPr>
        <w:t>Charitable Fundraising Act</w:t>
      </w:r>
      <w:r w:rsidR="00BA6B37">
        <w:rPr>
          <w:rFonts w:ascii="Times New Roman" w:hAnsi="Times New Roman"/>
          <w:i/>
          <w:spacing w:val="-2"/>
          <w:sz w:val="20"/>
          <w:szCs w:val="20"/>
        </w:rPr>
        <w:t>s</w:t>
      </w:r>
      <w:r w:rsidRPr="001D01C3">
        <w:rPr>
          <w:rFonts w:ascii="Times New Roman" w:hAnsi="Times New Roman"/>
          <w:spacing w:val="-2"/>
          <w:sz w:val="20"/>
          <w:szCs w:val="20"/>
        </w:rPr>
        <w:t xml:space="preserve"> and its regulations for the year ended 30 June 201</w:t>
      </w:r>
      <w:r w:rsidR="0016002F">
        <w:rPr>
          <w:rFonts w:ascii="Times New Roman" w:hAnsi="Times New Roman"/>
          <w:spacing w:val="-2"/>
          <w:sz w:val="20"/>
          <w:szCs w:val="20"/>
        </w:rPr>
        <w:t>5</w:t>
      </w:r>
      <w:r w:rsidRPr="001D01C3">
        <w:rPr>
          <w:rFonts w:ascii="Times New Roman" w:hAnsi="Times New Roman"/>
          <w:spacing w:val="-2"/>
          <w:sz w:val="20"/>
          <w:szCs w:val="20"/>
        </w:rPr>
        <w:t>; and</w:t>
      </w:r>
    </w:p>
    <w:p w14:paraId="5EA7461A" w14:textId="77777777" w:rsidR="001D01C3" w:rsidRPr="000A4FDF" w:rsidRDefault="001D01C3" w:rsidP="001D01C3">
      <w:pPr>
        <w:tabs>
          <w:tab w:val="left" w:pos="1702"/>
          <w:tab w:val="left" w:pos="3005"/>
          <w:tab w:val="left" w:pos="4253"/>
          <w:tab w:val="left" w:pos="5670"/>
          <w:tab w:val="left" w:pos="6237"/>
        </w:tabs>
        <w:suppressAutoHyphens/>
        <w:spacing w:line="260" w:lineRule="exact"/>
        <w:ind w:left="360"/>
        <w:jc w:val="both"/>
        <w:rPr>
          <w:rFonts w:ascii="Times New Roman" w:hAnsi="Times New Roman"/>
          <w:spacing w:val="-2"/>
          <w:sz w:val="20"/>
          <w:szCs w:val="20"/>
        </w:rPr>
      </w:pPr>
    </w:p>
    <w:p w14:paraId="5EA7461B" w14:textId="2E989039" w:rsidR="001D01C3" w:rsidRPr="000A4FDF" w:rsidRDefault="001D01C3" w:rsidP="001D01C3">
      <w:pPr>
        <w:tabs>
          <w:tab w:val="left" w:pos="1702"/>
          <w:tab w:val="left" w:pos="3005"/>
          <w:tab w:val="left" w:pos="4253"/>
          <w:tab w:val="left" w:pos="5670"/>
          <w:tab w:val="left" w:pos="6237"/>
        </w:tabs>
        <w:suppressAutoHyphens/>
        <w:spacing w:line="260" w:lineRule="exact"/>
        <w:jc w:val="both"/>
        <w:rPr>
          <w:rFonts w:ascii="Times New Roman" w:hAnsi="Times New Roman"/>
          <w:spacing w:val="-2"/>
          <w:sz w:val="20"/>
          <w:szCs w:val="20"/>
        </w:rPr>
      </w:pPr>
      <w:r w:rsidRPr="000A4FDF">
        <w:rPr>
          <w:rFonts w:ascii="Times New Roman" w:hAnsi="Times New Roman"/>
          <w:spacing w:val="-2"/>
          <w:sz w:val="20"/>
          <w:szCs w:val="20"/>
        </w:rPr>
        <w:t xml:space="preserve">(c) </w:t>
      </w:r>
      <w:proofErr w:type="gramStart"/>
      <w:r w:rsidRPr="000A4FDF">
        <w:rPr>
          <w:rFonts w:ascii="Times New Roman" w:hAnsi="Times New Roman"/>
          <w:spacing w:val="-2"/>
          <w:sz w:val="20"/>
          <w:szCs w:val="20"/>
        </w:rPr>
        <w:t>monies</w:t>
      </w:r>
      <w:proofErr w:type="gramEnd"/>
      <w:r w:rsidRPr="000A4FDF">
        <w:rPr>
          <w:rFonts w:ascii="Times New Roman" w:hAnsi="Times New Roman"/>
          <w:spacing w:val="-2"/>
          <w:sz w:val="20"/>
          <w:szCs w:val="20"/>
        </w:rPr>
        <w:t xml:space="preserve"> received by</w:t>
      </w:r>
      <w:r w:rsidRPr="000A4FDF">
        <w:rPr>
          <w:rFonts w:ascii="Times New Roman" w:hAnsi="Times New Roman"/>
          <w:sz w:val="20"/>
          <w:szCs w:val="20"/>
        </w:rPr>
        <w:t xml:space="preserve"> Vision Australia Limited</w:t>
      </w:r>
      <w:r w:rsidRPr="000A4FDF">
        <w:rPr>
          <w:rFonts w:ascii="Times New Roman" w:hAnsi="Times New Roman"/>
          <w:spacing w:val="-2"/>
          <w:sz w:val="20"/>
          <w:szCs w:val="20"/>
        </w:rPr>
        <w:t>, as a result of fundraising appeals conducted during the year ended 30 June 201</w:t>
      </w:r>
      <w:r w:rsidR="0044691F" w:rsidRPr="000A4FDF">
        <w:rPr>
          <w:rFonts w:ascii="Times New Roman" w:hAnsi="Times New Roman"/>
          <w:spacing w:val="-2"/>
          <w:sz w:val="20"/>
          <w:szCs w:val="20"/>
        </w:rPr>
        <w:t>5</w:t>
      </w:r>
      <w:r w:rsidRPr="000A4FDF">
        <w:rPr>
          <w:rFonts w:ascii="Times New Roman" w:hAnsi="Times New Roman"/>
          <w:spacing w:val="-2"/>
          <w:sz w:val="20"/>
          <w:szCs w:val="20"/>
        </w:rPr>
        <w:t xml:space="preserve">, have been accounted for and applied, in all material respects, in accordance with the </w:t>
      </w:r>
      <w:r w:rsidRPr="000A4FDF">
        <w:rPr>
          <w:rFonts w:ascii="Times New Roman" w:hAnsi="Times New Roman"/>
          <w:i/>
          <w:spacing w:val="-2"/>
          <w:sz w:val="20"/>
          <w:szCs w:val="20"/>
        </w:rPr>
        <w:t>Charitable Fundraising Act</w:t>
      </w:r>
      <w:r w:rsidR="00BA6B37" w:rsidRPr="000A4FDF">
        <w:rPr>
          <w:rFonts w:ascii="Times New Roman" w:hAnsi="Times New Roman"/>
          <w:i/>
          <w:spacing w:val="-2"/>
          <w:sz w:val="20"/>
          <w:szCs w:val="20"/>
        </w:rPr>
        <w:t>s</w:t>
      </w:r>
      <w:r w:rsidRPr="000A4FDF">
        <w:rPr>
          <w:rFonts w:ascii="Times New Roman" w:hAnsi="Times New Roman"/>
          <w:spacing w:val="-2"/>
          <w:sz w:val="20"/>
          <w:szCs w:val="20"/>
        </w:rPr>
        <w:t xml:space="preserve"> and its regulations.</w:t>
      </w:r>
    </w:p>
    <w:p w14:paraId="5EA7461C" w14:textId="77777777" w:rsidR="006D6085" w:rsidRPr="000A4FDF" w:rsidRDefault="006D6085" w:rsidP="001D01C3">
      <w:pPr>
        <w:tabs>
          <w:tab w:val="left" w:pos="1702"/>
          <w:tab w:val="left" w:pos="3005"/>
          <w:tab w:val="left" w:pos="4253"/>
          <w:tab w:val="left" w:pos="5670"/>
          <w:tab w:val="left" w:pos="6237"/>
        </w:tabs>
        <w:suppressAutoHyphens/>
        <w:spacing w:line="260" w:lineRule="exact"/>
        <w:jc w:val="both"/>
        <w:rPr>
          <w:rFonts w:ascii="Times New Roman" w:hAnsi="Times New Roman"/>
          <w:spacing w:val="-2"/>
          <w:sz w:val="20"/>
          <w:szCs w:val="20"/>
        </w:rPr>
      </w:pPr>
    </w:p>
    <w:p w14:paraId="5EA7461D" w14:textId="77777777" w:rsidR="001D01C3" w:rsidRPr="000A4FDF" w:rsidRDefault="001D01C3" w:rsidP="001D01C3">
      <w:pPr>
        <w:tabs>
          <w:tab w:val="left" w:pos="568"/>
          <w:tab w:val="left" w:pos="1134"/>
          <w:tab w:val="left" w:pos="1702"/>
          <w:tab w:val="left" w:pos="4253"/>
          <w:tab w:val="left" w:pos="5670"/>
          <w:tab w:val="left" w:pos="6237"/>
        </w:tabs>
        <w:suppressAutoHyphens/>
        <w:jc w:val="both"/>
        <w:rPr>
          <w:rFonts w:ascii="Times New Roman" w:hAnsi="Times New Roman"/>
          <w:b/>
          <w:sz w:val="20"/>
          <w:szCs w:val="20"/>
        </w:rPr>
      </w:pPr>
    </w:p>
    <w:p w14:paraId="5EA7461E" w14:textId="77777777" w:rsidR="001D01C3" w:rsidRPr="000A4FDF" w:rsidRDefault="001D01C3" w:rsidP="000A4FDF">
      <w:pPr>
        <w:rPr>
          <w:rFonts w:ascii="Times New Roman" w:hAnsi="Times New Roman"/>
          <w:sz w:val="20"/>
          <w:szCs w:val="20"/>
          <w:lang w:val="en-US"/>
        </w:rPr>
      </w:pPr>
      <w:r w:rsidRPr="000A4FDF">
        <w:rPr>
          <w:rFonts w:ascii="Times New Roman" w:hAnsi="Times New Roman"/>
          <w:sz w:val="20"/>
          <w:szCs w:val="20"/>
          <w:lang w:val="en-US"/>
        </w:rPr>
        <w:t>DELOITTE TOUCHE TOHMATSU</w:t>
      </w:r>
    </w:p>
    <w:p w14:paraId="5EA7461F" w14:textId="77777777" w:rsidR="001D01C3" w:rsidRPr="000A4FDF" w:rsidRDefault="001D01C3" w:rsidP="001D01C3">
      <w:pPr>
        <w:tabs>
          <w:tab w:val="left" w:pos="4253"/>
        </w:tabs>
        <w:suppressAutoHyphens/>
        <w:jc w:val="both"/>
        <w:rPr>
          <w:rFonts w:ascii="Times New Roman" w:hAnsi="Times New Roman"/>
          <w:sz w:val="20"/>
          <w:szCs w:val="20"/>
        </w:rPr>
      </w:pPr>
    </w:p>
    <w:p w14:paraId="5EA74620" w14:textId="77777777" w:rsidR="001D01C3" w:rsidRPr="000A4FDF" w:rsidRDefault="001D01C3" w:rsidP="001D01C3">
      <w:pPr>
        <w:tabs>
          <w:tab w:val="left" w:pos="4253"/>
        </w:tabs>
        <w:suppressAutoHyphens/>
        <w:jc w:val="both"/>
        <w:rPr>
          <w:rFonts w:ascii="Times New Roman" w:hAnsi="Times New Roman"/>
          <w:sz w:val="20"/>
          <w:szCs w:val="20"/>
        </w:rPr>
      </w:pPr>
    </w:p>
    <w:p w14:paraId="5EA74623" w14:textId="77777777" w:rsidR="001D01C3" w:rsidRPr="000A4FDF" w:rsidRDefault="001D01C3" w:rsidP="001D01C3">
      <w:pPr>
        <w:tabs>
          <w:tab w:val="left" w:pos="4253"/>
        </w:tabs>
        <w:suppressAutoHyphens/>
        <w:jc w:val="both"/>
        <w:rPr>
          <w:rFonts w:ascii="Times New Roman" w:hAnsi="Times New Roman"/>
          <w:sz w:val="20"/>
          <w:szCs w:val="20"/>
        </w:rPr>
      </w:pPr>
      <w:r w:rsidRPr="000A4FDF">
        <w:rPr>
          <w:rFonts w:ascii="Times New Roman" w:hAnsi="Times New Roman"/>
          <w:sz w:val="20"/>
          <w:szCs w:val="20"/>
        </w:rPr>
        <w:t xml:space="preserve">Robert D </w:t>
      </w:r>
      <w:proofErr w:type="spellStart"/>
      <w:r w:rsidRPr="000A4FDF">
        <w:rPr>
          <w:rFonts w:ascii="Times New Roman" w:hAnsi="Times New Roman"/>
          <w:sz w:val="20"/>
          <w:szCs w:val="20"/>
        </w:rPr>
        <w:t>D</w:t>
      </w:r>
      <w:proofErr w:type="spellEnd"/>
      <w:r w:rsidRPr="000A4FDF">
        <w:rPr>
          <w:rFonts w:ascii="Times New Roman" w:hAnsi="Times New Roman"/>
          <w:sz w:val="20"/>
          <w:szCs w:val="20"/>
        </w:rPr>
        <w:t xml:space="preserve"> Collie</w:t>
      </w:r>
    </w:p>
    <w:p w14:paraId="5EA74624" w14:textId="77777777" w:rsidR="001D01C3" w:rsidRPr="000A4FDF" w:rsidRDefault="001D01C3" w:rsidP="000A4FDF">
      <w:pPr>
        <w:rPr>
          <w:rFonts w:ascii="Times New Roman" w:hAnsi="Times New Roman"/>
          <w:sz w:val="20"/>
          <w:szCs w:val="20"/>
        </w:rPr>
      </w:pPr>
      <w:r w:rsidRPr="000A4FDF">
        <w:rPr>
          <w:rFonts w:ascii="Times New Roman" w:hAnsi="Times New Roman"/>
          <w:sz w:val="20"/>
          <w:szCs w:val="20"/>
        </w:rPr>
        <w:t>Partner</w:t>
      </w:r>
    </w:p>
    <w:p w14:paraId="5EA74625" w14:textId="77777777" w:rsidR="001D01C3" w:rsidRPr="000A4FDF" w:rsidRDefault="001D01C3" w:rsidP="001D01C3">
      <w:pPr>
        <w:tabs>
          <w:tab w:val="left" w:pos="4253"/>
        </w:tabs>
        <w:suppressAutoHyphens/>
        <w:jc w:val="both"/>
        <w:rPr>
          <w:rFonts w:ascii="Times New Roman" w:hAnsi="Times New Roman"/>
          <w:sz w:val="20"/>
          <w:szCs w:val="20"/>
        </w:rPr>
      </w:pPr>
      <w:r w:rsidRPr="000A4FDF">
        <w:rPr>
          <w:rFonts w:ascii="Times New Roman" w:hAnsi="Times New Roman"/>
          <w:sz w:val="20"/>
          <w:szCs w:val="20"/>
        </w:rPr>
        <w:t>Chartered Accountants</w:t>
      </w:r>
    </w:p>
    <w:p w14:paraId="5EA74626" w14:textId="77777777" w:rsidR="001D01C3" w:rsidRPr="000A4FDF" w:rsidRDefault="001D01C3" w:rsidP="001D01C3">
      <w:pPr>
        <w:tabs>
          <w:tab w:val="left" w:pos="568"/>
          <w:tab w:val="left" w:pos="1134"/>
          <w:tab w:val="left" w:pos="1368"/>
          <w:tab w:val="left" w:pos="4253"/>
        </w:tabs>
        <w:suppressAutoHyphens/>
        <w:jc w:val="both"/>
        <w:rPr>
          <w:rFonts w:ascii="Times New Roman" w:hAnsi="Times New Roman"/>
          <w:sz w:val="20"/>
          <w:szCs w:val="20"/>
        </w:rPr>
      </w:pPr>
      <w:r w:rsidRPr="000A4FDF">
        <w:rPr>
          <w:rFonts w:ascii="Times New Roman" w:hAnsi="Times New Roman"/>
          <w:sz w:val="20"/>
          <w:szCs w:val="20"/>
        </w:rPr>
        <w:t xml:space="preserve">Melbourne, </w:t>
      </w:r>
      <w:r w:rsidR="0016002F" w:rsidRPr="000A4FDF">
        <w:rPr>
          <w:rFonts w:ascii="Times New Roman" w:hAnsi="Times New Roman"/>
          <w:sz w:val="20"/>
          <w:szCs w:val="20"/>
        </w:rPr>
        <w:t>19</w:t>
      </w:r>
      <w:r w:rsidRPr="000A4FDF">
        <w:rPr>
          <w:rFonts w:ascii="Times New Roman" w:hAnsi="Times New Roman"/>
          <w:sz w:val="20"/>
          <w:szCs w:val="20"/>
        </w:rPr>
        <w:t xml:space="preserve"> August 20</w:t>
      </w:r>
      <w:r w:rsidR="00C835AD" w:rsidRPr="000A4FDF">
        <w:rPr>
          <w:rFonts w:ascii="Times New Roman" w:hAnsi="Times New Roman"/>
          <w:sz w:val="20"/>
          <w:szCs w:val="20"/>
        </w:rPr>
        <w:t>1</w:t>
      </w:r>
      <w:r w:rsidR="0016002F" w:rsidRPr="000A4FDF">
        <w:rPr>
          <w:rFonts w:ascii="Times New Roman" w:hAnsi="Times New Roman"/>
          <w:sz w:val="20"/>
          <w:szCs w:val="20"/>
        </w:rPr>
        <w:t>5</w:t>
      </w:r>
    </w:p>
    <w:p w14:paraId="5EA74627" w14:textId="77777777" w:rsidR="007B5E21" w:rsidRPr="004F3482" w:rsidRDefault="007B5E21" w:rsidP="001D01C3">
      <w:pPr>
        <w:pStyle w:val="Dividerline"/>
        <w:rPr>
          <w:rFonts w:ascii="Times New Roman" w:hAnsi="Times New Roman"/>
          <w:sz w:val="20"/>
          <w:szCs w:val="20"/>
        </w:rPr>
      </w:pPr>
    </w:p>
    <w:sectPr w:rsidR="007B5E21" w:rsidRPr="004F3482" w:rsidSect="00817B70">
      <w:headerReference w:type="first" r:id="rId56"/>
      <w:pgSz w:w="11907" w:h="16840" w:code="9"/>
      <w:pgMar w:top="1418" w:right="1440" w:bottom="1276"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AE8DA" w14:textId="77777777" w:rsidR="00012110" w:rsidRDefault="00012110">
      <w:r>
        <w:separator/>
      </w:r>
    </w:p>
  </w:endnote>
  <w:endnote w:type="continuationSeparator" w:id="0">
    <w:p w14:paraId="77F2CC58" w14:textId="77777777" w:rsidR="00012110" w:rsidRDefault="00012110">
      <w:r>
        <w:continuationSeparator/>
      </w:r>
    </w:p>
  </w:endnote>
  <w:endnote w:type="continuationNotice" w:id="1">
    <w:p w14:paraId="78C9E798" w14:textId="77777777" w:rsidR="00012110" w:rsidRDefault="00012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4D"/>
    <w:family w:val="auto"/>
    <w:notTrueType/>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3D" w14:textId="77777777" w:rsidR="00083D2F" w:rsidRPr="00AF57C5" w:rsidRDefault="00083D2F">
    <w:pPr>
      <w:pStyle w:val="Footer"/>
    </w:pPr>
    <w:r>
      <w:tab/>
    </w:r>
    <w:r>
      <w:rPr>
        <w:rStyle w:val="PageNumber"/>
      </w:rPr>
      <w:fldChar w:fldCharType="begin"/>
    </w:r>
    <w:r>
      <w:rPr>
        <w:rStyle w:val="PageNumber"/>
      </w:rPr>
      <w:instrText xml:space="preserve"> PAGE </w:instrText>
    </w:r>
    <w:r>
      <w:rPr>
        <w:rStyle w:val="PageNumber"/>
      </w:rPr>
      <w:fldChar w:fldCharType="separate"/>
    </w:r>
    <w:r w:rsidR="00983D32">
      <w:rPr>
        <w:rStyle w:val="PageNumber"/>
        <w:noProof/>
      </w:rPr>
      <w:t>57</w:t>
    </w:r>
    <w:r>
      <w:rPr>
        <w:rStyle w:val="PageNumber"/>
      </w:rPr>
      <w:fldChar w:fldCharType="end"/>
    </w:r>
    <w:r w:rsidRPr="00AF57C5">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41" w14:textId="77777777" w:rsidR="00083D2F" w:rsidRPr="000560EC" w:rsidRDefault="00083D2F" w:rsidP="000560EC">
    <w:pPr>
      <w:pStyle w:val="Footer"/>
      <w:jc w:val="center"/>
      <w:rPr>
        <w:rStyle w:val="PageNumber"/>
        <w:noProof/>
      </w:rPr>
    </w:pPr>
    <w:r w:rsidRPr="000560EC">
      <w:rPr>
        <w:rStyle w:val="PageNumber"/>
        <w:noProof/>
      </w:rPr>
      <w:fldChar w:fldCharType="begin"/>
    </w:r>
    <w:r w:rsidRPr="000560EC">
      <w:rPr>
        <w:rStyle w:val="PageNumber"/>
        <w:noProof/>
      </w:rPr>
      <w:instrText xml:space="preserve"> PAGE </w:instrText>
    </w:r>
    <w:r w:rsidRPr="000560EC">
      <w:rPr>
        <w:rStyle w:val="PageNumber"/>
        <w:noProof/>
      </w:rPr>
      <w:fldChar w:fldCharType="separate"/>
    </w:r>
    <w:r w:rsidR="00983D32">
      <w:rPr>
        <w:rStyle w:val="PageNumber"/>
        <w:noProof/>
      </w:rPr>
      <w:t>59</w:t>
    </w:r>
    <w:r w:rsidRPr="000560EC">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7BFF7" w14:textId="77777777" w:rsidR="00012110" w:rsidRDefault="00012110">
      <w:r>
        <w:separator/>
      </w:r>
    </w:p>
  </w:footnote>
  <w:footnote w:type="continuationSeparator" w:id="0">
    <w:p w14:paraId="3EFD7E9C" w14:textId="77777777" w:rsidR="00012110" w:rsidRDefault="00012110">
      <w:r>
        <w:continuationSeparator/>
      </w:r>
    </w:p>
  </w:footnote>
  <w:footnote w:type="continuationNotice" w:id="1">
    <w:p w14:paraId="7435BBCB" w14:textId="77777777" w:rsidR="00012110" w:rsidRDefault="000121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39" w14:textId="77777777" w:rsidR="00083D2F" w:rsidRDefault="00083D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A7463A" w14:textId="77777777" w:rsidR="00083D2F" w:rsidRDefault="00083D2F">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5A" w14:textId="77777777" w:rsidR="00083D2F" w:rsidRDefault="00083D2F" w:rsidP="00303954">
    <w:pPr>
      <w:pStyle w:val="Header"/>
      <w:jc w:val="right"/>
      <w:rPr>
        <w:b/>
      </w:rPr>
    </w:pPr>
  </w:p>
  <w:p w14:paraId="5EA7465B" w14:textId="77777777" w:rsidR="00083D2F" w:rsidRDefault="00083D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3B" w14:textId="77777777" w:rsidR="00083D2F" w:rsidRDefault="00083D2F" w:rsidP="000560EC">
    <w:pPr>
      <w:pStyle w:val="Header"/>
      <w:rPr>
        <w:b/>
      </w:rPr>
    </w:pPr>
    <w:r w:rsidRPr="00B4561C">
      <w:rPr>
        <w:b/>
      </w:rPr>
      <w:t>Vision Australia Limited</w:t>
    </w:r>
  </w:p>
  <w:p w14:paraId="5EA7463C" w14:textId="77777777" w:rsidR="00083D2F" w:rsidRDefault="00083D2F" w:rsidP="00961B1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3E" w14:textId="77777777" w:rsidR="00083D2F" w:rsidRDefault="00083D2F" w:rsidP="000560EC">
    <w:pPr>
      <w:pStyle w:val="Header"/>
      <w:rPr>
        <w:b/>
      </w:rPr>
    </w:pPr>
    <w:r w:rsidRPr="00B4561C">
      <w:rPr>
        <w:b/>
      </w:rPr>
      <w:t>Vision Australia Limited</w:t>
    </w:r>
  </w:p>
  <w:p w14:paraId="5EA7463F" w14:textId="77777777" w:rsidR="00083D2F" w:rsidRDefault="00083D2F" w:rsidP="000560EC">
    <w:pPr>
      <w:pStyle w:val="Header"/>
      <w:rPr>
        <w:b/>
      </w:rPr>
    </w:pPr>
    <w:r>
      <w:rPr>
        <w:b/>
      </w:rPr>
      <w:t>Directors’ Report</w:t>
    </w:r>
  </w:p>
  <w:p w14:paraId="5EA74640" w14:textId="77777777" w:rsidR="00083D2F" w:rsidRDefault="00083D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49" w14:textId="77777777" w:rsidR="00083D2F" w:rsidRDefault="00083D2F" w:rsidP="000560EC">
    <w:pPr>
      <w:pStyle w:val="Header"/>
      <w:tabs>
        <w:tab w:val="clear" w:pos="4320"/>
        <w:tab w:val="clear" w:pos="8640"/>
        <w:tab w:val="left" w:pos="3740"/>
      </w:tabs>
      <w:rPr>
        <w:b/>
      </w:rPr>
    </w:pPr>
    <w:r w:rsidRPr="00B4561C">
      <w:rPr>
        <w:b/>
      </w:rPr>
      <w:t>Vision Australia Limited</w:t>
    </w:r>
    <w:r>
      <w:rPr>
        <w:b/>
      </w:rPr>
      <w:tab/>
    </w:r>
  </w:p>
  <w:p w14:paraId="5EA7464A" w14:textId="77777777" w:rsidR="00083D2F" w:rsidRDefault="00083D2F" w:rsidP="000560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4B" w14:textId="77777777" w:rsidR="00083D2F" w:rsidRDefault="00083D2F" w:rsidP="000560EC">
    <w:pPr>
      <w:pStyle w:val="Header"/>
      <w:rPr>
        <w:b/>
      </w:rPr>
    </w:pPr>
    <w:r w:rsidRPr="00B4561C">
      <w:rPr>
        <w:b/>
      </w:rPr>
      <w:t>Vision Australia Limited</w:t>
    </w:r>
  </w:p>
  <w:p w14:paraId="5EA7464C" w14:textId="77777777" w:rsidR="00083D2F" w:rsidRPr="00393F0A" w:rsidRDefault="00083D2F" w:rsidP="006E093E">
    <w:pPr>
      <w:pStyle w:val="Header"/>
    </w:pPr>
    <w:r w:rsidRPr="00393F0A">
      <w:t>Notes to the Financial Statements</w:t>
    </w:r>
  </w:p>
  <w:p w14:paraId="5EA7464D" w14:textId="77777777" w:rsidR="00083D2F" w:rsidRDefault="00083D2F" w:rsidP="006E093E">
    <w:pPr>
      <w:pStyle w:val="Header"/>
    </w:pPr>
    <w:proofErr w:type="gramStart"/>
    <w:r w:rsidRPr="00393F0A">
      <w:t>for</w:t>
    </w:r>
    <w:proofErr w:type="gramEnd"/>
    <w:r w:rsidRPr="00393F0A">
      <w:t xml:space="preserve"> the financial year ended </w:t>
    </w:r>
    <w:r>
      <w:t>30 June 2015</w:t>
    </w:r>
  </w:p>
  <w:p w14:paraId="5EA7464E" w14:textId="77777777" w:rsidR="00083D2F" w:rsidRPr="00203DA0" w:rsidRDefault="00083D2F" w:rsidP="000560EC">
    <w:pPr>
      <w:pStyle w:val="Header"/>
      <w:rPr>
        <w:sz w:val="2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4F" w14:textId="77777777" w:rsidR="00083D2F" w:rsidRDefault="00083D2F" w:rsidP="000560EC">
    <w:pPr>
      <w:pStyle w:val="Header"/>
      <w:rPr>
        <w:b/>
      </w:rPr>
    </w:pPr>
    <w:r w:rsidRPr="00B4561C">
      <w:rPr>
        <w:b/>
      </w:rPr>
      <w:t>Vision Australia Limited</w:t>
    </w:r>
  </w:p>
  <w:p w14:paraId="5EA74650" w14:textId="77777777" w:rsidR="00083D2F" w:rsidRPr="00393F0A" w:rsidRDefault="00083D2F" w:rsidP="00410F2A">
    <w:pPr>
      <w:pStyle w:val="Header"/>
    </w:pPr>
    <w:r w:rsidRPr="00393F0A">
      <w:t>Notes to the Financial Statements</w:t>
    </w:r>
  </w:p>
  <w:p w14:paraId="5EA74651" w14:textId="77777777" w:rsidR="00083D2F" w:rsidRDefault="00083D2F" w:rsidP="00410F2A">
    <w:pPr>
      <w:pStyle w:val="Header"/>
    </w:pPr>
    <w:proofErr w:type="gramStart"/>
    <w:r w:rsidRPr="00393F0A">
      <w:t>for</w:t>
    </w:r>
    <w:proofErr w:type="gramEnd"/>
    <w:r w:rsidRPr="00393F0A">
      <w:t xml:space="preserve"> the financial year ended </w:t>
    </w:r>
    <w:r>
      <w:t>30 June 2015</w:t>
    </w:r>
  </w:p>
  <w:p w14:paraId="5EA74652" w14:textId="77777777" w:rsidR="00083D2F" w:rsidRDefault="00083D2F" w:rsidP="000560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53" w14:textId="77777777" w:rsidR="00083D2F" w:rsidRDefault="00083D2F" w:rsidP="00966A51">
    <w:pPr>
      <w:pStyle w:val="Header"/>
      <w:rPr>
        <w:b/>
      </w:rPr>
    </w:pPr>
    <w:r w:rsidRPr="00B4561C">
      <w:rPr>
        <w:b/>
      </w:rPr>
      <w:t>Vision Australia Limited</w:t>
    </w:r>
  </w:p>
  <w:p w14:paraId="5EA74654" w14:textId="77777777" w:rsidR="00083D2F" w:rsidRPr="00393F0A" w:rsidRDefault="00083D2F" w:rsidP="001655D0">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55" w14:textId="77777777" w:rsidR="00083D2F" w:rsidRDefault="00083D2F" w:rsidP="00966A51">
    <w:pPr>
      <w:pStyle w:val="Header"/>
      <w:rPr>
        <w:b/>
      </w:rPr>
    </w:pPr>
    <w:r w:rsidRPr="00B4561C">
      <w:rPr>
        <w:b/>
      </w:rPr>
      <w:t>Vision Australia Limited</w:t>
    </w:r>
  </w:p>
  <w:p w14:paraId="5EA74656" w14:textId="77777777" w:rsidR="00083D2F" w:rsidRDefault="00083D2F" w:rsidP="00303954">
    <w:pPr>
      <w:pStyle w:val="Header"/>
      <w:jc w:val="right"/>
      <w:rPr>
        <w:b/>
      </w:rPr>
    </w:pPr>
  </w:p>
  <w:p w14:paraId="5EA74657" w14:textId="77777777" w:rsidR="00083D2F" w:rsidRDefault="00083D2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58" w14:textId="77777777" w:rsidR="00083D2F" w:rsidRDefault="00083D2F" w:rsidP="00303954">
    <w:pPr>
      <w:pStyle w:val="Header"/>
      <w:jc w:val="right"/>
      <w:rPr>
        <w:b/>
      </w:rPr>
    </w:pPr>
  </w:p>
  <w:p w14:paraId="5EA74659" w14:textId="77777777" w:rsidR="00083D2F" w:rsidRDefault="00083D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3B5"/>
    <w:multiLevelType w:val="hybridMultilevel"/>
    <w:tmpl w:val="5D4ECE90"/>
    <w:lvl w:ilvl="0" w:tplc="1098F280">
      <w:start w:val="1"/>
      <w:numFmt w:val="low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10003F"/>
    <w:multiLevelType w:val="hybridMultilevel"/>
    <w:tmpl w:val="27149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133140"/>
    <w:multiLevelType w:val="singleLevel"/>
    <w:tmpl w:val="DA9A040C"/>
    <w:lvl w:ilvl="0">
      <w:start w:val="1"/>
      <w:numFmt w:val="bullet"/>
      <w:pStyle w:val="RedBullet1"/>
      <w:lvlText w:val=""/>
      <w:lvlJc w:val="left"/>
      <w:pPr>
        <w:tabs>
          <w:tab w:val="num" w:pos="360"/>
        </w:tabs>
        <w:ind w:left="284" w:hanging="284"/>
      </w:pPr>
      <w:rPr>
        <w:rFonts w:ascii="Symbol" w:hAnsi="Symbol" w:hint="default"/>
        <w:color w:val="808000"/>
      </w:rPr>
    </w:lvl>
  </w:abstractNum>
  <w:abstractNum w:abstractNumId="3">
    <w:nsid w:val="15EB2024"/>
    <w:multiLevelType w:val="hybridMultilevel"/>
    <w:tmpl w:val="75781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6DD6429"/>
    <w:multiLevelType w:val="hybridMultilevel"/>
    <w:tmpl w:val="4126C52C"/>
    <w:lvl w:ilvl="0" w:tplc="D234A5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585B25"/>
    <w:multiLevelType w:val="hybridMultilevel"/>
    <w:tmpl w:val="9040606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nsid w:val="22887606"/>
    <w:multiLevelType w:val="hybridMultilevel"/>
    <w:tmpl w:val="4D7E2DCE"/>
    <w:lvl w:ilvl="0" w:tplc="EF30BBB0">
      <w:start w:val="1"/>
      <w:numFmt w:val="bullet"/>
      <w:pStyle w:val="RedBullet"/>
      <w:lvlText w:val=""/>
      <w:lvlJc w:val="left"/>
      <w:pPr>
        <w:tabs>
          <w:tab w:val="num" w:pos="510"/>
        </w:tabs>
        <w:ind w:left="510" w:hanging="51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BA61DE"/>
    <w:multiLevelType w:val="hybridMultilevel"/>
    <w:tmpl w:val="ADB6BC98"/>
    <w:lvl w:ilvl="0" w:tplc="CBCE3F66">
      <w:start w:val="1"/>
      <w:numFmt w:val="lowerRoman"/>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2420077A"/>
    <w:multiLevelType w:val="hybridMultilevel"/>
    <w:tmpl w:val="80162DC6"/>
    <w:lvl w:ilvl="0" w:tplc="0C09000F">
      <w:start w:val="1"/>
      <w:numFmt w:val="decimal"/>
      <w:lvlText w:val="%1."/>
      <w:lvlJc w:val="left"/>
      <w:pPr>
        <w:tabs>
          <w:tab w:val="num" w:pos="1680"/>
        </w:tabs>
        <w:ind w:left="1680" w:hanging="360"/>
      </w:pPr>
      <w:rPr>
        <w:rFonts w:hint="default"/>
      </w:rPr>
    </w:lvl>
    <w:lvl w:ilvl="1" w:tplc="FFFFFFFF">
      <w:start w:val="1"/>
      <w:numFmt w:val="lowerLetter"/>
      <w:lvlText w:val="%2."/>
      <w:lvlJc w:val="left"/>
      <w:pPr>
        <w:tabs>
          <w:tab w:val="num" w:pos="2400"/>
        </w:tabs>
        <w:ind w:left="2400" w:hanging="360"/>
      </w:pPr>
    </w:lvl>
    <w:lvl w:ilvl="2" w:tplc="FFFFFFFF" w:tentative="1">
      <w:start w:val="1"/>
      <w:numFmt w:val="lowerRoman"/>
      <w:lvlText w:val="%3."/>
      <w:lvlJc w:val="right"/>
      <w:pPr>
        <w:tabs>
          <w:tab w:val="num" w:pos="3120"/>
        </w:tabs>
        <w:ind w:left="3120" w:hanging="180"/>
      </w:pPr>
    </w:lvl>
    <w:lvl w:ilvl="3" w:tplc="FFFFFFFF" w:tentative="1">
      <w:start w:val="1"/>
      <w:numFmt w:val="decimal"/>
      <w:lvlText w:val="%4."/>
      <w:lvlJc w:val="left"/>
      <w:pPr>
        <w:tabs>
          <w:tab w:val="num" w:pos="3840"/>
        </w:tabs>
        <w:ind w:left="3840" w:hanging="360"/>
      </w:pPr>
    </w:lvl>
    <w:lvl w:ilvl="4" w:tplc="FFFFFFFF" w:tentative="1">
      <w:start w:val="1"/>
      <w:numFmt w:val="lowerLetter"/>
      <w:lvlText w:val="%5."/>
      <w:lvlJc w:val="left"/>
      <w:pPr>
        <w:tabs>
          <w:tab w:val="num" w:pos="4560"/>
        </w:tabs>
        <w:ind w:left="4560" w:hanging="360"/>
      </w:pPr>
    </w:lvl>
    <w:lvl w:ilvl="5" w:tplc="FFFFFFFF" w:tentative="1">
      <w:start w:val="1"/>
      <w:numFmt w:val="lowerRoman"/>
      <w:lvlText w:val="%6."/>
      <w:lvlJc w:val="right"/>
      <w:pPr>
        <w:tabs>
          <w:tab w:val="num" w:pos="5280"/>
        </w:tabs>
        <w:ind w:left="5280" w:hanging="180"/>
      </w:pPr>
    </w:lvl>
    <w:lvl w:ilvl="6" w:tplc="FFFFFFFF" w:tentative="1">
      <w:start w:val="1"/>
      <w:numFmt w:val="decimal"/>
      <w:lvlText w:val="%7."/>
      <w:lvlJc w:val="left"/>
      <w:pPr>
        <w:tabs>
          <w:tab w:val="num" w:pos="6000"/>
        </w:tabs>
        <w:ind w:left="6000" w:hanging="360"/>
      </w:pPr>
    </w:lvl>
    <w:lvl w:ilvl="7" w:tplc="FFFFFFFF" w:tentative="1">
      <w:start w:val="1"/>
      <w:numFmt w:val="lowerLetter"/>
      <w:lvlText w:val="%8."/>
      <w:lvlJc w:val="left"/>
      <w:pPr>
        <w:tabs>
          <w:tab w:val="num" w:pos="6720"/>
        </w:tabs>
        <w:ind w:left="6720" w:hanging="360"/>
      </w:pPr>
    </w:lvl>
    <w:lvl w:ilvl="8" w:tplc="FFFFFFFF" w:tentative="1">
      <w:start w:val="1"/>
      <w:numFmt w:val="lowerRoman"/>
      <w:lvlText w:val="%9."/>
      <w:lvlJc w:val="right"/>
      <w:pPr>
        <w:tabs>
          <w:tab w:val="num" w:pos="7440"/>
        </w:tabs>
        <w:ind w:left="7440" w:hanging="180"/>
      </w:pPr>
    </w:lvl>
  </w:abstractNum>
  <w:abstractNum w:abstractNumId="9">
    <w:nsid w:val="30015670"/>
    <w:multiLevelType w:val="singleLevel"/>
    <w:tmpl w:val="CDF01604"/>
    <w:lvl w:ilvl="0">
      <w:start w:val="1"/>
      <w:numFmt w:val="bullet"/>
      <w:pStyle w:val="BulletBody"/>
      <w:lvlText w:val=""/>
      <w:lvlJc w:val="left"/>
      <w:pPr>
        <w:tabs>
          <w:tab w:val="num" w:pos="360"/>
        </w:tabs>
        <w:ind w:left="284" w:hanging="284"/>
      </w:pPr>
      <w:rPr>
        <w:rFonts w:ascii="Symbol" w:hAnsi="Symbol" w:hint="default"/>
      </w:rPr>
    </w:lvl>
  </w:abstractNum>
  <w:abstractNum w:abstractNumId="10">
    <w:nsid w:val="333E1D2A"/>
    <w:multiLevelType w:val="hybridMultilevel"/>
    <w:tmpl w:val="FC0CF1C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6B90B9B"/>
    <w:multiLevelType w:val="hybridMultilevel"/>
    <w:tmpl w:val="C50256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A050B70"/>
    <w:multiLevelType w:val="hybridMultilevel"/>
    <w:tmpl w:val="C736DEBE"/>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3BC357D9"/>
    <w:multiLevelType w:val="singleLevel"/>
    <w:tmpl w:val="79565D06"/>
    <w:lvl w:ilvl="0">
      <w:start w:val="1"/>
      <w:numFmt w:val="bullet"/>
      <w:pStyle w:val="BulletBody1"/>
      <w:lvlText w:val=""/>
      <w:lvlJc w:val="left"/>
      <w:pPr>
        <w:tabs>
          <w:tab w:val="num" w:pos="360"/>
        </w:tabs>
        <w:ind w:left="284" w:hanging="284"/>
      </w:pPr>
      <w:rPr>
        <w:rFonts w:ascii="Symbol" w:hAnsi="Symbol" w:hint="default"/>
      </w:rPr>
    </w:lvl>
  </w:abstractNum>
  <w:abstractNum w:abstractNumId="14">
    <w:nsid w:val="3BD754AB"/>
    <w:multiLevelType w:val="hybridMultilevel"/>
    <w:tmpl w:val="160AEEB6"/>
    <w:lvl w:ilvl="0" w:tplc="D5BE75D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F880255"/>
    <w:multiLevelType w:val="multilevel"/>
    <w:tmpl w:val="C526FC24"/>
    <w:lvl w:ilvl="0">
      <w:start w:val="1"/>
      <w:numFmt w:val="decimal"/>
      <w:lvlText w:val="%1."/>
      <w:lvlJc w:val="left"/>
      <w:pPr>
        <w:ind w:left="360" w:hanging="360"/>
      </w:p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nsid w:val="3F9920BA"/>
    <w:multiLevelType w:val="hybridMultilevel"/>
    <w:tmpl w:val="7DDAB3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F9D2628"/>
    <w:multiLevelType w:val="hybridMultilevel"/>
    <w:tmpl w:val="1CB4A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B00B7E"/>
    <w:multiLevelType w:val="hybridMultilevel"/>
    <w:tmpl w:val="89AAC00A"/>
    <w:lvl w:ilvl="0" w:tplc="E80A54D2">
      <w:start w:val="30"/>
      <w:numFmt w:val="bullet"/>
      <w:lvlText w:val="-"/>
      <w:lvlJc w:val="left"/>
      <w:pPr>
        <w:ind w:left="720" w:hanging="360"/>
      </w:pPr>
      <w:rPr>
        <w:rFonts w:ascii="Arial" w:eastAsia="PMingLiU"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BD7634"/>
    <w:multiLevelType w:val="hybridMultilevel"/>
    <w:tmpl w:val="A184D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FD340B9"/>
    <w:multiLevelType w:val="singleLevel"/>
    <w:tmpl w:val="3A9A9AEC"/>
    <w:lvl w:ilvl="0">
      <w:start w:val="1"/>
      <w:numFmt w:val="bullet"/>
      <w:pStyle w:val="BulletBody2"/>
      <w:lvlText w:val=""/>
      <w:lvlJc w:val="left"/>
      <w:pPr>
        <w:tabs>
          <w:tab w:val="num" w:pos="360"/>
        </w:tabs>
        <w:ind w:left="284" w:hanging="284"/>
      </w:pPr>
      <w:rPr>
        <w:rFonts w:ascii="Symbol" w:hAnsi="Symbol" w:hint="default"/>
      </w:rPr>
    </w:lvl>
  </w:abstractNum>
  <w:abstractNum w:abstractNumId="21">
    <w:nsid w:val="481627F2"/>
    <w:multiLevelType w:val="hybridMultilevel"/>
    <w:tmpl w:val="042A0B20"/>
    <w:lvl w:ilvl="0" w:tplc="06AA0108">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EE565D7"/>
    <w:multiLevelType w:val="hybridMultilevel"/>
    <w:tmpl w:val="65DAF3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EE74C1B"/>
    <w:multiLevelType w:val="hybridMultilevel"/>
    <w:tmpl w:val="F976F00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529F599A"/>
    <w:multiLevelType w:val="hybridMultilevel"/>
    <w:tmpl w:val="B498B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F3744F"/>
    <w:multiLevelType w:val="hybridMultilevel"/>
    <w:tmpl w:val="C472DDFA"/>
    <w:lvl w:ilvl="0" w:tplc="8D28CD8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7D66FB7"/>
    <w:multiLevelType w:val="hybridMultilevel"/>
    <w:tmpl w:val="346A28CA"/>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nsid w:val="58073F9B"/>
    <w:multiLevelType w:val="hybridMultilevel"/>
    <w:tmpl w:val="DD383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8241A9C"/>
    <w:multiLevelType w:val="multilevel"/>
    <w:tmpl w:val="26B42864"/>
    <w:lvl w:ilvl="0">
      <w:start w:val="1"/>
      <w:numFmt w:val="bullet"/>
      <w:pStyle w:val="List21"/>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nsid w:val="61EA07EA"/>
    <w:multiLevelType w:val="hybridMultilevel"/>
    <w:tmpl w:val="BCBC2F08"/>
    <w:lvl w:ilvl="0" w:tplc="10D64B4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2896A72"/>
    <w:multiLevelType w:val="hybridMultilevel"/>
    <w:tmpl w:val="DDEE9D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nsid w:val="64D8120F"/>
    <w:multiLevelType w:val="singleLevel"/>
    <w:tmpl w:val="EDAA5628"/>
    <w:lvl w:ilvl="0">
      <w:start w:val="1"/>
      <w:numFmt w:val="bullet"/>
      <w:pStyle w:val="bullettextindent"/>
      <w:lvlText w:val=""/>
      <w:lvlJc w:val="left"/>
      <w:pPr>
        <w:tabs>
          <w:tab w:val="num" w:pos="360"/>
        </w:tabs>
        <w:ind w:left="360" w:hanging="360"/>
      </w:pPr>
      <w:rPr>
        <w:rFonts w:ascii="Symbol" w:hAnsi="Symbol" w:hint="default"/>
      </w:rPr>
    </w:lvl>
  </w:abstractNum>
  <w:abstractNum w:abstractNumId="32">
    <w:nsid w:val="694558FD"/>
    <w:multiLevelType w:val="hybridMultilevel"/>
    <w:tmpl w:val="A45AAEAA"/>
    <w:lvl w:ilvl="0" w:tplc="A448E1E2">
      <w:start w:val="1"/>
      <w:numFmt w:val="lowerLetter"/>
      <w:lvlText w:val="%1."/>
      <w:lvlJc w:val="left"/>
      <w:pPr>
        <w:tabs>
          <w:tab w:val="num" w:pos="1080"/>
        </w:tabs>
        <w:ind w:left="1080" w:hanging="360"/>
      </w:pPr>
      <w:rPr>
        <w:b w:val="0"/>
      </w:rPr>
    </w:lvl>
    <w:lvl w:ilvl="1" w:tplc="78F4B076">
      <w:start w:val="1"/>
      <w:numFmt w:val="decimal"/>
      <w:lvlText w:val="%2."/>
      <w:lvlJc w:val="left"/>
      <w:pPr>
        <w:tabs>
          <w:tab w:val="num" w:pos="1800"/>
        </w:tabs>
        <w:ind w:left="1800" w:hanging="360"/>
      </w:pPr>
      <w:rPr>
        <w:rFonts w:hint="default"/>
        <w:b w:val="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nsid w:val="6ABC7474"/>
    <w:multiLevelType w:val="hybridMultilevel"/>
    <w:tmpl w:val="ACA8401E"/>
    <w:lvl w:ilvl="0" w:tplc="FAFC60EE">
      <w:start w:val="1"/>
      <w:numFmt w:val="bullet"/>
      <w:pStyle w:val="Bodycopybullet"/>
      <w:lvlText w:val=""/>
      <w:lvlJc w:val="left"/>
      <w:pPr>
        <w:tabs>
          <w:tab w:val="num" w:pos="510"/>
        </w:tabs>
        <w:ind w:left="510" w:hanging="51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AE40B80"/>
    <w:multiLevelType w:val="hybridMultilevel"/>
    <w:tmpl w:val="C1CC3292"/>
    <w:lvl w:ilvl="0" w:tplc="FFFFFFFF">
      <w:start w:val="1"/>
      <w:numFmt w:val="bullet"/>
      <w:pStyle w:val="redbody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nsid w:val="6D3C53B6"/>
    <w:multiLevelType w:val="hybridMultilevel"/>
    <w:tmpl w:val="5DCA8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3861BAE"/>
    <w:multiLevelType w:val="hybridMultilevel"/>
    <w:tmpl w:val="41AE422C"/>
    <w:lvl w:ilvl="0" w:tplc="50BA4358">
      <w:start w:val="1"/>
      <w:numFmt w:val="lowerRoman"/>
      <w:lvlText w:val="(%1)"/>
      <w:lvlJc w:val="left"/>
      <w:pPr>
        <w:ind w:left="42" w:hanging="360"/>
      </w:pPr>
      <w:rPr>
        <w:rFonts w:hint="default"/>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37">
    <w:nsid w:val="748C6C1A"/>
    <w:multiLevelType w:val="hybridMultilevel"/>
    <w:tmpl w:val="563E2418"/>
    <w:lvl w:ilvl="0" w:tplc="8028E5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A090DD9"/>
    <w:multiLevelType w:val="hybridMultilevel"/>
    <w:tmpl w:val="95A8B21A"/>
    <w:lvl w:ilvl="0" w:tplc="FFFFFFFF">
      <w:start w:val="2"/>
      <w:numFmt w:val="upperLetter"/>
      <w:pStyle w:val="Heading9"/>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7CDB2B14"/>
    <w:multiLevelType w:val="hybridMultilevel"/>
    <w:tmpl w:val="D2221D36"/>
    <w:lvl w:ilvl="0" w:tplc="7ED41F8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3"/>
  </w:num>
  <w:num w:numId="2">
    <w:abstractNumId w:val="20"/>
  </w:num>
  <w:num w:numId="3">
    <w:abstractNumId w:val="31"/>
  </w:num>
  <w:num w:numId="4">
    <w:abstractNumId w:val="2"/>
  </w:num>
  <w:num w:numId="5">
    <w:abstractNumId w:val="34"/>
  </w:num>
  <w:num w:numId="6">
    <w:abstractNumId w:val="9"/>
  </w:num>
  <w:num w:numId="7">
    <w:abstractNumId w:val="6"/>
  </w:num>
  <w:num w:numId="8">
    <w:abstractNumId w:val="38"/>
  </w:num>
  <w:num w:numId="9">
    <w:abstractNumId w:val="30"/>
  </w:num>
  <w:num w:numId="10">
    <w:abstractNumId w:val="23"/>
  </w:num>
  <w:num w:numId="11">
    <w:abstractNumId w:val="16"/>
  </w:num>
  <w:num w:numId="12">
    <w:abstractNumId w:val="12"/>
  </w:num>
  <w:num w:numId="13">
    <w:abstractNumId w:val="7"/>
  </w:num>
  <w:num w:numId="14">
    <w:abstractNumId w:val="39"/>
  </w:num>
  <w:num w:numId="15">
    <w:abstractNumId w:val="33"/>
  </w:num>
  <w:num w:numId="16">
    <w:abstractNumId w:val="21"/>
  </w:num>
  <w:num w:numId="17">
    <w:abstractNumId w:val="14"/>
  </w:num>
  <w:num w:numId="18">
    <w:abstractNumId w:val="28"/>
  </w:num>
  <w:num w:numId="19">
    <w:abstractNumId w:val="3"/>
  </w:num>
  <w:num w:numId="20">
    <w:abstractNumId w:val="35"/>
  </w:num>
  <w:num w:numId="21">
    <w:abstractNumId w:val="36"/>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8"/>
  </w:num>
  <w:num w:numId="26">
    <w:abstractNumId w:val="25"/>
  </w:num>
  <w:num w:numId="27">
    <w:abstractNumId w:val="8"/>
  </w:num>
  <w:num w:numId="28">
    <w:abstractNumId w:val="26"/>
  </w:num>
  <w:num w:numId="29">
    <w:abstractNumId w:val="32"/>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7"/>
  </w:num>
  <w:num w:numId="33">
    <w:abstractNumId w:val="11"/>
  </w:num>
  <w:num w:numId="34">
    <w:abstractNumId w:val="27"/>
  </w:num>
  <w:num w:numId="35">
    <w:abstractNumId w:val="1"/>
  </w:num>
  <w:num w:numId="36">
    <w:abstractNumId w:val="19"/>
  </w:num>
  <w:num w:numId="37">
    <w:abstractNumId w:val="10"/>
  </w:num>
  <w:num w:numId="38">
    <w:abstractNumId w:val="29"/>
  </w:num>
  <w:num w:numId="39">
    <w:abstractNumId w:val="22"/>
  </w:num>
  <w:num w:numId="4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E6"/>
    <w:rsid w:val="000004B6"/>
    <w:rsid w:val="00000907"/>
    <w:rsid w:val="00000FA8"/>
    <w:rsid w:val="00001DB8"/>
    <w:rsid w:val="000032C8"/>
    <w:rsid w:val="00003556"/>
    <w:rsid w:val="000035D1"/>
    <w:rsid w:val="00003612"/>
    <w:rsid w:val="00003643"/>
    <w:rsid w:val="00003BCC"/>
    <w:rsid w:val="00004C25"/>
    <w:rsid w:val="000052BA"/>
    <w:rsid w:val="0000539F"/>
    <w:rsid w:val="00005A0A"/>
    <w:rsid w:val="00005A49"/>
    <w:rsid w:val="00006359"/>
    <w:rsid w:val="00006954"/>
    <w:rsid w:val="000072A2"/>
    <w:rsid w:val="000073B8"/>
    <w:rsid w:val="00007C6E"/>
    <w:rsid w:val="000101BC"/>
    <w:rsid w:val="00011323"/>
    <w:rsid w:val="00011B4D"/>
    <w:rsid w:val="00011D56"/>
    <w:rsid w:val="00012110"/>
    <w:rsid w:val="00012FE3"/>
    <w:rsid w:val="00013050"/>
    <w:rsid w:val="0001376F"/>
    <w:rsid w:val="0001417D"/>
    <w:rsid w:val="000152AB"/>
    <w:rsid w:val="000154BD"/>
    <w:rsid w:val="00016937"/>
    <w:rsid w:val="00016F28"/>
    <w:rsid w:val="000170EB"/>
    <w:rsid w:val="00017ED7"/>
    <w:rsid w:val="00020357"/>
    <w:rsid w:val="00021393"/>
    <w:rsid w:val="000214B3"/>
    <w:rsid w:val="00022269"/>
    <w:rsid w:val="000226C2"/>
    <w:rsid w:val="00022973"/>
    <w:rsid w:val="00022E78"/>
    <w:rsid w:val="00023052"/>
    <w:rsid w:val="0002344F"/>
    <w:rsid w:val="00023831"/>
    <w:rsid w:val="00024288"/>
    <w:rsid w:val="00024652"/>
    <w:rsid w:val="00025066"/>
    <w:rsid w:val="000256D0"/>
    <w:rsid w:val="0002660C"/>
    <w:rsid w:val="00026ABB"/>
    <w:rsid w:val="00026C02"/>
    <w:rsid w:val="00026F59"/>
    <w:rsid w:val="000272A1"/>
    <w:rsid w:val="00027975"/>
    <w:rsid w:val="00030683"/>
    <w:rsid w:val="00030E17"/>
    <w:rsid w:val="00030E84"/>
    <w:rsid w:val="000315AF"/>
    <w:rsid w:val="000316BB"/>
    <w:rsid w:val="00031B97"/>
    <w:rsid w:val="00031BC1"/>
    <w:rsid w:val="0003264B"/>
    <w:rsid w:val="00032C19"/>
    <w:rsid w:val="00032C89"/>
    <w:rsid w:val="00032DD8"/>
    <w:rsid w:val="00033277"/>
    <w:rsid w:val="0003365E"/>
    <w:rsid w:val="00034380"/>
    <w:rsid w:val="000350C2"/>
    <w:rsid w:val="000353BB"/>
    <w:rsid w:val="00036269"/>
    <w:rsid w:val="0003635D"/>
    <w:rsid w:val="0003671E"/>
    <w:rsid w:val="00036FBC"/>
    <w:rsid w:val="00037412"/>
    <w:rsid w:val="00040063"/>
    <w:rsid w:val="00040089"/>
    <w:rsid w:val="00040DF0"/>
    <w:rsid w:val="00040EBB"/>
    <w:rsid w:val="0004153F"/>
    <w:rsid w:val="00041AA2"/>
    <w:rsid w:val="00041BDB"/>
    <w:rsid w:val="00041C35"/>
    <w:rsid w:val="00042216"/>
    <w:rsid w:val="0004221C"/>
    <w:rsid w:val="0004288F"/>
    <w:rsid w:val="00043057"/>
    <w:rsid w:val="000431F8"/>
    <w:rsid w:val="00043AFA"/>
    <w:rsid w:val="00043C48"/>
    <w:rsid w:val="00044468"/>
    <w:rsid w:val="00045F1D"/>
    <w:rsid w:val="00046B91"/>
    <w:rsid w:val="00046C83"/>
    <w:rsid w:val="0004771F"/>
    <w:rsid w:val="0005064E"/>
    <w:rsid w:val="0005100B"/>
    <w:rsid w:val="00051091"/>
    <w:rsid w:val="00051B06"/>
    <w:rsid w:val="000522EC"/>
    <w:rsid w:val="000523A2"/>
    <w:rsid w:val="00053CF0"/>
    <w:rsid w:val="00053E5B"/>
    <w:rsid w:val="00054023"/>
    <w:rsid w:val="00054B7D"/>
    <w:rsid w:val="00054D47"/>
    <w:rsid w:val="00054E1C"/>
    <w:rsid w:val="000551A9"/>
    <w:rsid w:val="000553F7"/>
    <w:rsid w:val="000560EC"/>
    <w:rsid w:val="0005616B"/>
    <w:rsid w:val="00057D03"/>
    <w:rsid w:val="00057DB6"/>
    <w:rsid w:val="0006021F"/>
    <w:rsid w:val="00060240"/>
    <w:rsid w:val="000604B5"/>
    <w:rsid w:val="000606B9"/>
    <w:rsid w:val="00061ABB"/>
    <w:rsid w:val="00062235"/>
    <w:rsid w:val="0006392F"/>
    <w:rsid w:val="0006491D"/>
    <w:rsid w:val="00065631"/>
    <w:rsid w:val="00066944"/>
    <w:rsid w:val="00066E74"/>
    <w:rsid w:val="00067B28"/>
    <w:rsid w:val="00067B49"/>
    <w:rsid w:val="00070C0E"/>
    <w:rsid w:val="00070C74"/>
    <w:rsid w:val="00071447"/>
    <w:rsid w:val="0007160E"/>
    <w:rsid w:val="00072252"/>
    <w:rsid w:val="000723C0"/>
    <w:rsid w:val="000729F4"/>
    <w:rsid w:val="00072E59"/>
    <w:rsid w:val="000732DB"/>
    <w:rsid w:val="00073358"/>
    <w:rsid w:val="00073C4E"/>
    <w:rsid w:val="00073E5C"/>
    <w:rsid w:val="000751B6"/>
    <w:rsid w:val="00075858"/>
    <w:rsid w:val="00075B49"/>
    <w:rsid w:val="00075FAE"/>
    <w:rsid w:val="000763BC"/>
    <w:rsid w:val="00076BD6"/>
    <w:rsid w:val="00076E17"/>
    <w:rsid w:val="000779F6"/>
    <w:rsid w:val="00080092"/>
    <w:rsid w:val="000801EA"/>
    <w:rsid w:val="00080808"/>
    <w:rsid w:val="00080CB2"/>
    <w:rsid w:val="00080CBA"/>
    <w:rsid w:val="0008138F"/>
    <w:rsid w:val="00081E2A"/>
    <w:rsid w:val="000824B7"/>
    <w:rsid w:val="0008282F"/>
    <w:rsid w:val="00083B75"/>
    <w:rsid w:val="00083BCE"/>
    <w:rsid w:val="00083D2F"/>
    <w:rsid w:val="0008404E"/>
    <w:rsid w:val="00084132"/>
    <w:rsid w:val="00084C51"/>
    <w:rsid w:val="00085BFE"/>
    <w:rsid w:val="00086200"/>
    <w:rsid w:val="00086A21"/>
    <w:rsid w:val="00086DF2"/>
    <w:rsid w:val="00087205"/>
    <w:rsid w:val="00087837"/>
    <w:rsid w:val="00087870"/>
    <w:rsid w:val="000901D5"/>
    <w:rsid w:val="000903F4"/>
    <w:rsid w:val="000904F1"/>
    <w:rsid w:val="000922D9"/>
    <w:rsid w:val="00092E86"/>
    <w:rsid w:val="000934C3"/>
    <w:rsid w:val="00094C0C"/>
    <w:rsid w:val="00095283"/>
    <w:rsid w:val="00095367"/>
    <w:rsid w:val="00095FF1"/>
    <w:rsid w:val="000960D6"/>
    <w:rsid w:val="00096921"/>
    <w:rsid w:val="000969E5"/>
    <w:rsid w:val="00096A49"/>
    <w:rsid w:val="000973BB"/>
    <w:rsid w:val="000A06C1"/>
    <w:rsid w:val="000A06EB"/>
    <w:rsid w:val="000A0DE8"/>
    <w:rsid w:val="000A15D8"/>
    <w:rsid w:val="000A1740"/>
    <w:rsid w:val="000A22C0"/>
    <w:rsid w:val="000A267D"/>
    <w:rsid w:val="000A2935"/>
    <w:rsid w:val="000A3240"/>
    <w:rsid w:val="000A3935"/>
    <w:rsid w:val="000A3FCA"/>
    <w:rsid w:val="000A4279"/>
    <w:rsid w:val="000A4EAD"/>
    <w:rsid w:val="000A4FDF"/>
    <w:rsid w:val="000A53C4"/>
    <w:rsid w:val="000A5F91"/>
    <w:rsid w:val="000A62F4"/>
    <w:rsid w:val="000A6786"/>
    <w:rsid w:val="000A6DA3"/>
    <w:rsid w:val="000A7D69"/>
    <w:rsid w:val="000B008F"/>
    <w:rsid w:val="000B0161"/>
    <w:rsid w:val="000B08F0"/>
    <w:rsid w:val="000B0F28"/>
    <w:rsid w:val="000B1158"/>
    <w:rsid w:val="000B128F"/>
    <w:rsid w:val="000B1FD1"/>
    <w:rsid w:val="000B2374"/>
    <w:rsid w:val="000B2384"/>
    <w:rsid w:val="000B24C1"/>
    <w:rsid w:val="000B2736"/>
    <w:rsid w:val="000B325D"/>
    <w:rsid w:val="000B3ECA"/>
    <w:rsid w:val="000B42EE"/>
    <w:rsid w:val="000B4F54"/>
    <w:rsid w:val="000B5107"/>
    <w:rsid w:val="000B6600"/>
    <w:rsid w:val="000B6688"/>
    <w:rsid w:val="000B7573"/>
    <w:rsid w:val="000B76D1"/>
    <w:rsid w:val="000B7F94"/>
    <w:rsid w:val="000C00AD"/>
    <w:rsid w:val="000C079B"/>
    <w:rsid w:val="000C1A2D"/>
    <w:rsid w:val="000C1E7C"/>
    <w:rsid w:val="000C2D12"/>
    <w:rsid w:val="000C2F40"/>
    <w:rsid w:val="000C4284"/>
    <w:rsid w:val="000C4E42"/>
    <w:rsid w:val="000C4FE9"/>
    <w:rsid w:val="000C5996"/>
    <w:rsid w:val="000C6CB0"/>
    <w:rsid w:val="000C7766"/>
    <w:rsid w:val="000D0769"/>
    <w:rsid w:val="000D0EBE"/>
    <w:rsid w:val="000D154F"/>
    <w:rsid w:val="000D205C"/>
    <w:rsid w:val="000D21F4"/>
    <w:rsid w:val="000D267E"/>
    <w:rsid w:val="000D2B7A"/>
    <w:rsid w:val="000D2E97"/>
    <w:rsid w:val="000D2EDE"/>
    <w:rsid w:val="000D3777"/>
    <w:rsid w:val="000D4110"/>
    <w:rsid w:val="000D41B7"/>
    <w:rsid w:val="000D42AF"/>
    <w:rsid w:val="000D5D95"/>
    <w:rsid w:val="000D726E"/>
    <w:rsid w:val="000D744C"/>
    <w:rsid w:val="000D77C0"/>
    <w:rsid w:val="000E0733"/>
    <w:rsid w:val="000E07E0"/>
    <w:rsid w:val="000E0F56"/>
    <w:rsid w:val="000E1347"/>
    <w:rsid w:val="000E1FCB"/>
    <w:rsid w:val="000E2665"/>
    <w:rsid w:val="000E2F74"/>
    <w:rsid w:val="000E313F"/>
    <w:rsid w:val="000E33E4"/>
    <w:rsid w:val="000E62A0"/>
    <w:rsid w:val="000E6B26"/>
    <w:rsid w:val="000E7C0F"/>
    <w:rsid w:val="000E7D7E"/>
    <w:rsid w:val="000F0FDE"/>
    <w:rsid w:val="000F1134"/>
    <w:rsid w:val="000F150D"/>
    <w:rsid w:val="000F166A"/>
    <w:rsid w:val="000F290F"/>
    <w:rsid w:val="000F3548"/>
    <w:rsid w:val="000F38D4"/>
    <w:rsid w:val="000F3BE2"/>
    <w:rsid w:val="000F3D61"/>
    <w:rsid w:val="000F4AA0"/>
    <w:rsid w:val="000F4CF3"/>
    <w:rsid w:val="000F5DB1"/>
    <w:rsid w:val="000F71E2"/>
    <w:rsid w:val="00100123"/>
    <w:rsid w:val="0010110B"/>
    <w:rsid w:val="00101226"/>
    <w:rsid w:val="0010191B"/>
    <w:rsid w:val="001027F4"/>
    <w:rsid w:val="00102BDF"/>
    <w:rsid w:val="00103351"/>
    <w:rsid w:val="00103AED"/>
    <w:rsid w:val="00104610"/>
    <w:rsid w:val="00104988"/>
    <w:rsid w:val="00104D29"/>
    <w:rsid w:val="0010514D"/>
    <w:rsid w:val="001052AB"/>
    <w:rsid w:val="00105C3C"/>
    <w:rsid w:val="001070EB"/>
    <w:rsid w:val="00110222"/>
    <w:rsid w:val="001108BC"/>
    <w:rsid w:val="00111135"/>
    <w:rsid w:val="00111198"/>
    <w:rsid w:val="0011177A"/>
    <w:rsid w:val="001118AD"/>
    <w:rsid w:val="00111C03"/>
    <w:rsid w:val="00111C87"/>
    <w:rsid w:val="0011219E"/>
    <w:rsid w:val="001141C0"/>
    <w:rsid w:val="00114304"/>
    <w:rsid w:val="001149DF"/>
    <w:rsid w:val="00114E86"/>
    <w:rsid w:val="0011522E"/>
    <w:rsid w:val="00115493"/>
    <w:rsid w:val="001154A2"/>
    <w:rsid w:val="001178D0"/>
    <w:rsid w:val="00120B59"/>
    <w:rsid w:val="00120D8A"/>
    <w:rsid w:val="001214F3"/>
    <w:rsid w:val="00121878"/>
    <w:rsid w:val="00121EF6"/>
    <w:rsid w:val="0012225C"/>
    <w:rsid w:val="00122915"/>
    <w:rsid w:val="00122B13"/>
    <w:rsid w:val="001233A3"/>
    <w:rsid w:val="00123A8A"/>
    <w:rsid w:val="00123ECC"/>
    <w:rsid w:val="00123FDF"/>
    <w:rsid w:val="001244D8"/>
    <w:rsid w:val="0012509C"/>
    <w:rsid w:val="001253C0"/>
    <w:rsid w:val="001255AE"/>
    <w:rsid w:val="001259CA"/>
    <w:rsid w:val="00125D16"/>
    <w:rsid w:val="001263A1"/>
    <w:rsid w:val="00127715"/>
    <w:rsid w:val="0012780F"/>
    <w:rsid w:val="0012788A"/>
    <w:rsid w:val="00130963"/>
    <w:rsid w:val="001309B4"/>
    <w:rsid w:val="00131107"/>
    <w:rsid w:val="001318F6"/>
    <w:rsid w:val="00131F40"/>
    <w:rsid w:val="00132763"/>
    <w:rsid w:val="00133648"/>
    <w:rsid w:val="00133B32"/>
    <w:rsid w:val="00133BE9"/>
    <w:rsid w:val="001341CF"/>
    <w:rsid w:val="00135AE1"/>
    <w:rsid w:val="001361A7"/>
    <w:rsid w:val="001361E2"/>
    <w:rsid w:val="00141446"/>
    <w:rsid w:val="0014349D"/>
    <w:rsid w:val="00145492"/>
    <w:rsid w:val="00145A3F"/>
    <w:rsid w:val="00146F80"/>
    <w:rsid w:val="001474B0"/>
    <w:rsid w:val="00147FF3"/>
    <w:rsid w:val="0015132D"/>
    <w:rsid w:val="00151FD6"/>
    <w:rsid w:val="001524C5"/>
    <w:rsid w:val="0015281E"/>
    <w:rsid w:val="00152998"/>
    <w:rsid w:val="00152A90"/>
    <w:rsid w:val="00152C60"/>
    <w:rsid w:val="00153299"/>
    <w:rsid w:val="00154A5E"/>
    <w:rsid w:val="001553B3"/>
    <w:rsid w:val="00155C63"/>
    <w:rsid w:val="00155D9C"/>
    <w:rsid w:val="00156092"/>
    <w:rsid w:val="0015638D"/>
    <w:rsid w:val="00156683"/>
    <w:rsid w:val="00156CF4"/>
    <w:rsid w:val="001571B1"/>
    <w:rsid w:val="001574D1"/>
    <w:rsid w:val="001578F6"/>
    <w:rsid w:val="00157908"/>
    <w:rsid w:val="00157F11"/>
    <w:rsid w:val="0016002F"/>
    <w:rsid w:val="001603A0"/>
    <w:rsid w:val="001612F7"/>
    <w:rsid w:val="00162AB9"/>
    <w:rsid w:val="001631A1"/>
    <w:rsid w:val="00163519"/>
    <w:rsid w:val="001639DE"/>
    <w:rsid w:val="001644EB"/>
    <w:rsid w:val="001646DA"/>
    <w:rsid w:val="001655D0"/>
    <w:rsid w:val="0016661B"/>
    <w:rsid w:val="00171EE1"/>
    <w:rsid w:val="00172223"/>
    <w:rsid w:val="00172D4C"/>
    <w:rsid w:val="00172EEB"/>
    <w:rsid w:val="001733B6"/>
    <w:rsid w:val="00173F81"/>
    <w:rsid w:val="001749C7"/>
    <w:rsid w:val="001764AC"/>
    <w:rsid w:val="00176C04"/>
    <w:rsid w:val="00176F82"/>
    <w:rsid w:val="00177D8C"/>
    <w:rsid w:val="00177FC8"/>
    <w:rsid w:val="00180848"/>
    <w:rsid w:val="00180B92"/>
    <w:rsid w:val="00181708"/>
    <w:rsid w:val="00181D1D"/>
    <w:rsid w:val="00181E85"/>
    <w:rsid w:val="0018235C"/>
    <w:rsid w:val="00182679"/>
    <w:rsid w:val="00182CC9"/>
    <w:rsid w:val="00183296"/>
    <w:rsid w:val="0018331A"/>
    <w:rsid w:val="00183563"/>
    <w:rsid w:val="00183CAD"/>
    <w:rsid w:val="00183F88"/>
    <w:rsid w:val="001840A4"/>
    <w:rsid w:val="00184835"/>
    <w:rsid w:val="00184E23"/>
    <w:rsid w:val="00185614"/>
    <w:rsid w:val="0018625F"/>
    <w:rsid w:val="0018628B"/>
    <w:rsid w:val="00186BB4"/>
    <w:rsid w:val="00187447"/>
    <w:rsid w:val="0018759D"/>
    <w:rsid w:val="00187E7D"/>
    <w:rsid w:val="00190B3A"/>
    <w:rsid w:val="0019276A"/>
    <w:rsid w:val="00192F99"/>
    <w:rsid w:val="001930D6"/>
    <w:rsid w:val="00195588"/>
    <w:rsid w:val="00195BDA"/>
    <w:rsid w:val="00195C7D"/>
    <w:rsid w:val="00196B05"/>
    <w:rsid w:val="0019787F"/>
    <w:rsid w:val="001A14BF"/>
    <w:rsid w:val="001A1931"/>
    <w:rsid w:val="001A26FA"/>
    <w:rsid w:val="001A30C6"/>
    <w:rsid w:val="001A4597"/>
    <w:rsid w:val="001A5489"/>
    <w:rsid w:val="001A5EA0"/>
    <w:rsid w:val="001A6126"/>
    <w:rsid w:val="001A616C"/>
    <w:rsid w:val="001A661E"/>
    <w:rsid w:val="001A6917"/>
    <w:rsid w:val="001B00C3"/>
    <w:rsid w:val="001B06CA"/>
    <w:rsid w:val="001B2798"/>
    <w:rsid w:val="001B3D36"/>
    <w:rsid w:val="001B5E6D"/>
    <w:rsid w:val="001B6343"/>
    <w:rsid w:val="001B6918"/>
    <w:rsid w:val="001C044C"/>
    <w:rsid w:val="001C0FA5"/>
    <w:rsid w:val="001C1097"/>
    <w:rsid w:val="001C18D1"/>
    <w:rsid w:val="001C1AE4"/>
    <w:rsid w:val="001C2035"/>
    <w:rsid w:val="001C35EA"/>
    <w:rsid w:val="001C3921"/>
    <w:rsid w:val="001C3EF3"/>
    <w:rsid w:val="001C43B7"/>
    <w:rsid w:val="001C464C"/>
    <w:rsid w:val="001C48B2"/>
    <w:rsid w:val="001C5029"/>
    <w:rsid w:val="001C627F"/>
    <w:rsid w:val="001C6497"/>
    <w:rsid w:val="001C7627"/>
    <w:rsid w:val="001C7813"/>
    <w:rsid w:val="001C7838"/>
    <w:rsid w:val="001C7D48"/>
    <w:rsid w:val="001D01C3"/>
    <w:rsid w:val="001D1C74"/>
    <w:rsid w:val="001D293E"/>
    <w:rsid w:val="001D2C19"/>
    <w:rsid w:val="001D3304"/>
    <w:rsid w:val="001D37CE"/>
    <w:rsid w:val="001D38E5"/>
    <w:rsid w:val="001D3C0F"/>
    <w:rsid w:val="001D64C5"/>
    <w:rsid w:val="001D65A0"/>
    <w:rsid w:val="001D6916"/>
    <w:rsid w:val="001D6C09"/>
    <w:rsid w:val="001D7400"/>
    <w:rsid w:val="001D775E"/>
    <w:rsid w:val="001D7BE3"/>
    <w:rsid w:val="001D7D37"/>
    <w:rsid w:val="001D7DD2"/>
    <w:rsid w:val="001D7E1C"/>
    <w:rsid w:val="001D7FF2"/>
    <w:rsid w:val="001E0894"/>
    <w:rsid w:val="001E1AF3"/>
    <w:rsid w:val="001E1C2C"/>
    <w:rsid w:val="001E1D04"/>
    <w:rsid w:val="001E2C14"/>
    <w:rsid w:val="001E30A4"/>
    <w:rsid w:val="001E3AFE"/>
    <w:rsid w:val="001E3B0C"/>
    <w:rsid w:val="001E4223"/>
    <w:rsid w:val="001E4925"/>
    <w:rsid w:val="001E4D64"/>
    <w:rsid w:val="001E4E40"/>
    <w:rsid w:val="001E5290"/>
    <w:rsid w:val="001E5495"/>
    <w:rsid w:val="001E5964"/>
    <w:rsid w:val="001E649C"/>
    <w:rsid w:val="001E6631"/>
    <w:rsid w:val="001E6AB0"/>
    <w:rsid w:val="001E6F28"/>
    <w:rsid w:val="001E6F9C"/>
    <w:rsid w:val="001E7B75"/>
    <w:rsid w:val="001E7E62"/>
    <w:rsid w:val="001F09F6"/>
    <w:rsid w:val="001F0A1B"/>
    <w:rsid w:val="001F1566"/>
    <w:rsid w:val="001F25FF"/>
    <w:rsid w:val="001F2606"/>
    <w:rsid w:val="001F275E"/>
    <w:rsid w:val="001F2AB5"/>
    <w:rsid w:val="001F2F3F"/>
    <w:rsid w:val="001F314D"/>
    <w:rsid w:val="001F35D1"/>
    <w:rsid w:val="001F3CB0"/>
    <w:rsid w:val="001F3CD4"/>
    <w:rsid w:val="001F4ABF"/>
    <w:rsid w:val="001F54F0"/>
    <w:rsid w:val="001F55CF"/>
    <w:rsid w:val="001F57F5"/>
    <w:rsid w:val="001F5BFC"/>
    <w:rsid w:val="001F6724"/>
    <w:rsid w:val="001F68B9"/>
    <w:rsid w:val="001F776D"/>
    <w:rsid w:val="001F7B47"/>
    <w:rsid w:val="00201032"/>
    <w:rsid w:val="002014E9"/>
    <w:rsid w:val="002019CE"/>
    <w:rsid w:val="00202014"/>
    <w:rsid w:val="002022C5"/>
    <w:rsid w:val="0020328A"/>
    <w:rsid w:val="00203290"/>
    <w:rsid w:val="00203DA0"/>
    <w:rsid w:val="002041A9"/>
    <w:rsid w:val="00204464"/>
    <w:rsid w:val="00204D54"/>
    <w:rsid w:val="00205780"/>
    <w:rsid w:val="00205D40"/>
    <w:rsid w:val="002063F9"/>
    <w:rsid w:val="002066EF"/>
    <w:rsid w:val="00206B8B"/>
    <w:rsid w:val="002071EA"/>
    <w:rsid w:val="002075CA"/>
    <w:rsid w:val="00207604"/>
    <w:rsid w:val="0020795A"/>
    <w:rsid w:val="002105C2"/>
    <w:rsid w:val="00210760"/>
    <w:rsid w:val="00210C12"/>
    <w:rsid w:val="00210F00"/>
    <w:rsid w:val="0021147A"/>
    <w:rsid w:val="00211BD9"/>
    <w:rsid w:val="002123D3"/>
    <w:rsid w:val="00212A3E"/>
    <w:rsid w:val="00212FB4"/>
    <w:rsid w:val="00213010"/>
    <w:rsid w:val="00213206"/>
    <w:rsid w:val="002134BB"/>
    <w:rsid w:val="00213C56"/>
    <w:rsid w:val="00213D39"/>
    <w:rsid w:val="00214431"/>
    <w:rsid w:val="00214507"/>
    <w:rsid w:val="00215012"/>
    <w:rsid w:val="0021527A"/>
    <w:rsid w:val="002159FD"/>
    <w:rsid w:val="00216266"/>
    <w:rsid w:val="002165CE"/>
    <w:rsid w:val="00217280"/>
    <w:rsid w:val="002174BD"/>
    <w:rsid w:val="00217717"/>
    <w:rsid w:val="002206F9"/>
    <w:rsid w:val="00220FBC"/>
    <w:rsid w:val="002213BC"/>
    <w:rsid w:val="0022169C"/>
    <w:rsid w:val="002218F8"/>
    <w:rsid w:val="0022224A"/>
    <w:rsid w:val="00222C5A"/>
    <w:rsid w:val="0022333C"/>
    <w:rsid w:val="00223846"/>
    <w:rsid w:val="0022390F"/>
    <w:rsid w:val="00223CDB"/>
    <w:rsid w:val="00224D0B"/>
    <w:rsid w:val="00224EBF"/>
    <w:rsid w:val="002254FD"/>
    <w:rsid w:val="002256A1"/>
    <w:rsid w:val="0022641B"/>
    <w:rsid w:val="00226C4B"/>
    <w:rsid w:val="00230074"/>
    <w:rsid w:val="00230183"/>
    <w:rsid w:val="00230978"/>
    <w:rsid w:val="002311A4"/>
    <w:rsid w:val="002312AB"/>
    <w:rsid w:val="002321DB"/>
    <w:rsid w:val="00232B92"/>
    <w:rsid w:val="002333FF"/>
    <w:rsid w:val="00233BC6"/>
    <w:rsid w:val="00233FA8"/>
    <w:rsid w:val="002342D3"/>
    <w:rsid w:val="00234C67"/>
    <w:rsid w:val="00234E8C"/>
    <w:rsid w:val="00234F0E"/>
    <w:rsid w:val="00235176"/>
    <w:rsid w:val="002355D6"/>
    <w:rsid w:val="0023627A"/>
    <w:rsid w:val="00236F2F"/>
    <w:rsid w:val="0023741B"/>
    <w:rsid w:val="00237CA2"/>
    <w:rsid w:val="0024065E"/>
    <w:rsid w:val="002406CA"/>
    <w:rsid w:val="0024077A"/>
    <w:rsid w:val="00240E30"/>
    <w:rsid w:val="00241001"/>
    <w:rsid w:val="0024290D"/>
    <w:rsid w:val="00242928"/>
    <w:rsid w:val="0024311A"/>
    <w:rsid w:val="00243D75"/>
    <w:rsid w:val="00243DA4"/>
    <w:rsid w:val="0024474D"/>
    <w:rsid w:val="00244A9B"/>
    <w:rsid w:val="00245B0F"/>
    <w:rsid w:val="00245BD8"/>
    <w:rsid w:val="002467CD"/>
    <w:rsid w:val="0024694A"/>
    <w:rsid w:val="00247048"/>
    <w:rsid w:val="00247C73"/>
    <w:rsid w:val="00247C92"/>
    <w:rsid w:val="00247D87"/>
    <w:rsid w:val="002501DA"/>
    <w:rsid w:val="002504F1"/>
    <w:rsid w:val="00250930"/>
    <w:rsid w:val="00250E08"/>
    <w:rsid w:val="00250FDB"/>
    <w:rsid w:val="00251055"/>
    <w:rsid w:val="0025148C"/>
    <w:rsid w:val="002517CC"/>
    <w:rsid w:val="002518F6"/>
    <w:rsid w:val="00252099"/>
    <w:rsid w:val="00252883"/>
    <w:rsid w:val="00252D28"/>
    <w:rsid w:val="00253B4C"/>
    <w:rsid w:val="00254D0C"/>
    <w:rsid w:val="00255643"/>
    <w:rsid w:val="00255838"/>
    <w:rsid w:val="0025583A"/>
    <w:rsid w:val="00256B43"/>
    <w:rsid w:val="0025794E"/>
    <w:rsid w:val="002579F2"/>
    <w:rsid w:val="00257AB5"/>
    <w:rsid w:val="00260A37"/>
    <w:rsid w:val="00260EF9"/>
    <w:rsid w:val="00261EC5"/>
    <w:rsid w:val="00261F60"/>
    <w:rsid w:val="002649E3"/>
    <w:rsid w:val="00264B51"/>
    <w:rsid w:val="00264F78"/>
    <w:rsid w:val="0026510C"/>
    <w:rsid w:val="002655F1"/>
    <w:rsid w:val="0026572B"/>
    <w:rsid w:val="00265748"/>
    <w:rsid w:val="00265A94"/>
    <w:rsid w:val="00265B25"/>
    <w:rsid w:val="00265CE7"/>
    <w:rsid w:val="00265E4A"/>
    <w:rsid w:val="00266077"/>
    <w:rsid w:val="002660C7"/>
    <w:rsid w:val="00266403"/>
    <w:rsid w:val="002669CE"/>
    <w:rsid w:val="002700A2"/>
    <w:rsid w:val="002701EF"/>
    <w:rsid w:val="00271D86"/>
    <w:rsid w:val="00272183"/>
    <w:rsid w:val="00274598"/>
    <w:rsid w:val="00274898"/>
    <w:rsid w:val="00275D6B"/>
    <w:rsid w:val="002763BD"/>
    <w:rsid w:val="00276CD5"/>
    <w:rsid w:val="00277256"/>
    <w:rsid w:val="002778A3"/>
    <w:rsid w:val="00280B85"/>
    <w:rsid w:val="002812DE"/>
    <w:rsid w:val="00281972"/>
    <w:rsid w:val="002821E0"/>
    <w:rsid w:val="00282391"/>
    <w:rsid w:val="002825ED"/>
    <w:rsid w:val="00282682"/>
    <w:rsid w:val="002831E1"/>
    <w:rsid w:val="002837F9"/>
    <w:rsid w:val="00284102"/>
    <w:rsid w:val="002843D5"/>
    <w:rsid w:val="00284D2C"/>
    <w:rsid w:val="0028561D"/>
    <w:rsid w:val="00286B1E"/>
    <w:rsid w:val="00286C21"/>
    <w:rsid w:val="00286F37"/>
    <w:rsid w:val="0028762B"/>
    <w:rsid w:val="0028766F"/>
    <w:rsid w:val="00287DF7"/>
    <w:rsid w:val="002901E1"/>
    <w:rsid w:val="0029085C"/>
    <w:rsid w:val="00291DFF"/>
    <w:rsid w:val="002934E4"/>
    <w:rsid w:val="00293693"/>
    <w:rsid w:val="0029378B"/>
    <w:rsid w:val="00293B25"/>
    <w:rsid w:val="00293D8F"/>
    <w:rsid w:val="00293E48"/>
    <w:rsid w:val="0029435B"/>
    <w:rsid w:val="00294D72"/>
    <w:rsid w:val="00294E52"/>
    <w:rsid w:val="00294F78"/>
    <w:rsid w:val="0029503B"/>
    <w:rsid w:val="002955F7"/>
    <w:rsid w:val="0029594C"/>
    <w:rsid w:val="00295A43"/>
    <w:rsid w:val="00295C23"/>
    <w:rsid w:val="00296990"/>
    <w:rsid w:val="00297747"/>
    <w:rsid w:val="00297803"/>
    <w:rsid w:val="002A106C"/>
    <w:rsid w:val="002A19A1"/>
    <w:rsid w:val="002A2615"/>
    <w:rsid w:val="002A2779"/>
    <w:rsid w:val="002A28DC"/>
    <w:rsid w:val="002A2EE5"/>
    <w:rsid w:val="002A3FBA"/>
    <w:rsid w:val="002A4330"/>
    <w:rsid w:val="002A494B"/>
    <w:rsid w:val="002A49A1"/>
    <w:rsid w:val="002A4C46"/>
    <w:rsid w:val="002A4DBB"/>
    <w:rsid w:val="002A4FD4"/>
    <w:rsid w:val="002A512C"/>
    <w:rsid w:val="002A650F"/>
    <w:rsid w:val="002A7352"/>
    <w:rsid w:val="002A77C2"/>
    <w:rsid w:val="002A7C30"/>
    <w:rsid w:val="002B0E16"/>
    <w:rsid w:val="002B294B"/>
    <w:rsid w:val="002B2B63"/>
    <w:rsid w:val="002B2FBF"/>
    <w:rsid w:val="002B365B"/>
    <w:rsid w:val="002B4B99"/>
    <w:rsid w:val="002B4BFB"/>
    <w:rsid w:val="002B4C4B"/>
    <w:rsid w:val="002B4E45"/>
    <w:rsid w:val="002B5D32"/>
    <w:rsid w:val="002B5DC2"/>
    <w:rsid w:val="002B5EE5"/>
    <w:rsid w:val="002B6078"/>
    <w:rsid w:val="002B6BA8"/>
    <w:rsid w:val="002B6CBB"/>
    <w:rsid w:val="002B758F"/>
    <w:rsid w:val="002B7CFF"/>
    <w:rsid w:val="002C052E"/>
    <w:rsid w:val="002C1117"/>
    <w:rsid w:val="002C1179"/>
    <w:rsid w:val="002C1397"/>
    <w:rsid w:val="002C13CC"/>
    <w:rsid w:val="002C209D"/>
    <w:rsid w:val="002C23B2"/>
    <w:rsid w:val="002C27D1"/>
    <w:rsid w:val="002C28D4"/>
    <w:rsid w:val="002C2EEA"/>
    <w:rsid w:val="002C2F67"/>
    <w:rsid w:val="002C3369"/>
    <w:rsid w:val="002C355A"/>
    <w:rsid w:val="002C3AA2"/>
    <w:rsid w:val="002C42BA"/>
    <w:rsid w:val="002C4330"/>
    <w:rsid w:val="002C438E"/>
    <w:rsid w:val="002C44AC"/>
    <w:rsid w:val="002C4BE2"/>
    <w:rsid w:val="002C5358"/>
    <w:rsid w:val="002C7185"/>
    <w:rsid w:val="002C7545"/>
    <w:rsid w:val="002C7F9E"/>
    <w:rsid w:val="002D0C5D"/>
    <w:rsid w:val="002D277D"/>
    <w:rsid w:val="002D2B56"/>
    <w:rsid w:val="002D32D8"/>
    <w:rsid w:val="002D3790"/>
    <w:rsid w:val="002D3794"/>
    <w:rsid w:val="002D38B3"/>
    <w:rsid w:val="002D48C6"/>
    <w:rsid w:val="002D59BB"/>
    <w:rsid w:val="002D5DF8"/>
    <w:rsid w:val="002D619D"/>
    <w:rsid w:val="002D653B"/>
    <w:rsid w:val="002D6637"/>
    <w:rsid w:val="002D67EB"/>
    <w:rsid w:val="002D68AD"/>
    <w:rsid w:val="002D6ABA"/>
    <w:rsid w:val="002D6DEB"/>
    <w:rsid w:val="002D76B1"/>
    <w:rsid w:val="002D770E"/>
    <w:rsid w:val="002D7C86"/>
    <w:rsid w:val="002E0DF8"/>
    <w:rsid w:val="002E0E0D"/>
    <w:rsid w:val="002E2171"/>
    <w:rsid w:val="002E30D7"/>
    <w:rsid w:val="002E3122"/>
    <w:rsid w:val="002E36BB"/>
    <w:rsid w:val="002E3D55"/>
    <w:rsid w:val="002E3DA2"/>
    <w:rsid w:val="002E3EA8"/>
    <w:rsid w:val="002E3EFF"/>
    <w:rsid w:val="002E3F9B"/>
    <w:rsid w:val="002E45D4"/>
    <w:rsid w:val="002E5754"/>
    <w:rsid w:val="002E5918"/>
    <w:rsid w:val="002E5A57"/>
    <w:rsid w:val="002E5E7E"/>
    <w:rsid w:val="002E63AA"/>
    <w:rsid w:val="002E6750"/>
    <w:rsid w:val="002E68BA"/>
    <w:rsid w:val="002E6E40"/>
    <w:rsid w:val="002E714C"/>
    <w:rsid w:val="002E73C6"/>
    <w:rsid w:val="002F0100"/>
    <w:rsid w:val="002F069F"/>
    <w:rsid w:val="002F23D5"/>
    <w:rsid w:val="002F340E"/>
    <w:rsid w:val="002F37C7"/>
    <w:rsid w:val="002F390C"/>
    <w:rsid w:val="002F39BA"/>
    <w:rsid w:val="002F4682"/>
    <w:rsid w:val="002F4F0B"/>
    <w:rsid w:val="002F5297"/>
    <w:rsid w:val="002F58D1"/>
    <w:rsid w:val="002F5B41"/>
    <w:rsid w:val="002F5C9B"/>
    <w:rsid w:val="002F6EAA"/>
    <w:rsid w:val="002F6FC7"/>
    <w:rsid w:val="002F714B"/>
    <w:rsid w:val="002F72A7"/>
    <w:rsid w:val="002F754F"/>
    <w:rsid w:val="002F7BEA"/>
    <w:rsid w:val="002F7F85"/>
    <w:rsid w:val="00300CCE"/>
    <w:rsid w:val="00300E3E"/>
    <w:rsid w:val="00300F8D"/>
    <w:rsid w:val="00302B2A"/>
    <w:rsid w:val="00303297"/>
    <w:rsid w:val="00303954"/>
    <w:rsid w:val="00303BB8"/>
    <w:rsid w:val="00303F0A"/>
    <w:rsid w:val="00304188"/>
    <w:rsid w:val="00304454"/>
    <w:rsid w:val="00304ACE"/>
    <w:rsid w:val="0030516C"/>
    <w:rsid w:val="00305564"/>
    <w:rsid w:val="00306250"/>
    <w:rsid w:val="0030673B"/>
    <w:rsid w:val="00306D91"/>
    <w:rsid w:val="0030720B"/>
    <w:rsid w:val="003073D6"/>
    <w:rsid w:val="00307B11"/>
    <w:rsid w:val="00310217"/>
    <w:rsid w:val="00311AB3"/>
    <w:rsid w:val="00311C02"/>
    <w:rsid w:val="00311E6A"/>
    <w:rsid w:val="003120E5"/>
    <w:rsid w:val="0031284D"/>
    <w:rsid w:val="003129BC"/>
    <w:rsid w:val="003130A9"/>
    <w:rsid w:val="003135B1"/>
    <w:rsid w:val="00313965"/>
    <w:rsid w:val="00314872"/>
    <w:rsid w:val="00314A54"/>
    <w:rsid w:val="00314C8B"/>
    <w:rsid w:val="003155DC"/>
    <w:rsid w:val="003157C2"/>
    <w:rsid w:val="0031604D"/>
    <w:rsid w:val="0032022B"/>
    <w:rsid w:val="0032075A"/>
    <w:rsid w:val="00320F69"/>
    <w:rsid w:val="00320FFA"/>
    <w:rsid w:val="00321D5F"/>
    <w:rsid w:val="003224DB"/>
    <w:rsid w:val="00322DA9"/>
    <w:rsid w:val="00322E7B"/>
    <w:rsid w:val="00322F58"/>
    <w:rsid w:val="00323481"/>
    <w:rsid w:val="00323507"/>
    <w:rsid w:val="00323810"/>
    <w:rsid w:val="00323FA0"/>
    <w:rsid w:val="0032433F"/>
    <w:rsid w:val="00324850"/>
    <w:rsid w:val="00324966"/>
    <w:rsid w:val="0032519E"/>
    <w:rsid w:val="00326436"/>
    <w:rsid w:val="003267C8"/>
    <w:rsid w:val="00327145"/>
    <w:rsid w:val="003306C0"/>
    <w:rsid w:val="00330E46"/>
    <w:rsid w:val="003312D1"/>
    <w:rsid w:val="00331572"/>
    <w:rsid w:val="00331D69"/>
    <w:rsid w:val="00332122"/>
    <w:rsid w:val="00332614"/>
    <w:rsid w:val="003326A9"/>
    <w:rsid w:val="00333747"/>
    <w:rsid w:val="00333C19"/>
    <w:rsid w:val="00334639"/>
    <w:rsid w:val="00335D01"/>
    <w:rsid w:val="00335E4F"/>
    <w:rsid w:val="0033785A"/>
    <w:rsid w:val="0033793B"/>
    <w:rsid w:val="00337940"/>
    <w:rsid w:val="00337C07"/>
    <w:rsid w:val="00340D7E"/>
    <w:rsid w:val="00341081"/>
    <w:rsid w:val="003429AA"/>
    <w:rsid w:val="00342B48"/>
    <w:rsid w:val="00343755"/>
    <w:rsid w:val="00343F79"/>
    <w:rsid w:val="00343F84"/>
    <w:rsid w:val="0034440E"/>
    <w:rsid w:val="003445E6"/>
    <w:rsid w:val="00344733"/>
    <w:rsid w:val="00345ED3"/>
    <w:rsid w:val="00345F7B"/>
    <w:rsid w:val="00346158"/>
    <w:rsid w:val="00346DBC"/>
    <w:rsid w:val="0034725D"/>
    <w:rsid w:val="00347DA0"/>
    <w:rsid w:val="00350473"/>
    <w:rsid w:val="003505DD"/>
    <w:rsid w:val="00350ED2"/>
    <w:rsid w:val="00351168"/>
    <w:rsid w:val="00351B14"/>
    <w:rsid w:val="00351C07"/>
    <w:rsid w:val="0035209A"/>
    <w:rsid w:val="00352B3B"/>
    <w:rsid w:val="00352B71"/>
    <w:rsid w:val="00353462"/>
    <w:rsid w:val="00353990"/>
    <w:rsid w:val="00353F49"/>
    <w:rsid w:val="00354358"/>
    <w:rsid w:val="003543CD"/>
    <w:rsid w:val="00354F40"/>
    <w:rsid w:val="00355457"/>
    <w:rsid w:val="00355782"/>
    <w:rsid w:val="00356516"/>
    <w:rsid w:val="00356CF9"/>
    <w:rsid w:val="003577C6"/>
    <w:rsid w:val="00360371"/>
    <w:rsid w:val="0036049C"/>
    <w:rsid w:val="003611C2"/>
    <w:rsid w:val="0036122E"/>
    <w:rsid w:val="00361A1F"/>
    <w:rsid w:val="003622DC"/>
    <w:rsid w:val="00363D21"/>
    <w:rsid w:val="0036417A"/>
    <w:rsid w:val="00364181"/>
    <w:rsid w:val="003644C4"/>
    <w:rsid w:val="00364580"/>
    <w:rsid w:val="00364ADF"/>
    <w:rsid w:val="00364F27"/>
    <w:rsid w:val="00365AD7"/>
    <w:rsid w:val="00365D0D"/>
    <w:rsid w:val="003667E5"/>
    <w:rsid w:val="003709F3"/>
    <w:rsid w:val="00370CD3"/>
    <w:rsid w:val="00371371"/>
    <w:rsid w:val="00371601"/>
    <w:rsid w:val="00371AC3"/>
    <w:rsid w:val="00371BBB"/>
    <w:rsid w:val="0037207C"/>
    <w:rsid w:val="00372760"/>
    <w:rsid w:val="00372D47"/>
    <w:rsid w:val="00372FEE"/>
    <w:rsid w:val="00373692"/>
    <w:rsid w:val="00373B87"/>
    <w:rsid w:val="00374394"/>
    <w:rsid w:val="00374C7E"/>
    <w:rsid w:val="0037558D"/>
    <w:rsid w:val="00375C11"/>
    <w:rsid w:val="00376760"/>
    <w:rsid w:val="00376980"/>
    <w:rsid w:val="00376B67"/>
    <w:rsid w:val="00377028"/>
    <w:rsid w:val="00377070"/>
    <w:rsid w:val="003773FC"/>
    <w:rsid w:val="00377A75"/>
    <w:rsid w:val="003814FF"/>
    <w:rsid w:val="0038177F"/>
    <w:rsid w:val="00381A6E"/>
    <w:rsid w:val="00382414"/>
    <w:rsid w:val="003824DA"/>
    <w:rsid w:val="00382817"/>
    <w:rsid w:val="00382E40"/>
    <w:rsid w:val="00383797"/>
    <w:rsid w:val="00383AE3"/>
    <w:rsid w:val="003849DD"/>
    <w:rsid w:val="00385016"/>
    <w:rsid w:val="003853BF"/>
    <w:rsid w:val="00386289"/>
    <w:rsid w:val="003863E2"/>
    <w:rsid w:val="0038680C"/>
    <w:rsid w:val="00386AE9"/>
    <w:rsid w:val="00387BA3"/>
    <w:rsid w:val="00390739"/>
    <w:rsid w:val="00390D9B"/>
    <w:rsid w:val="00390DEC"/>
    <w:rsid w:val="003911C7"/>
    <w:rsid w:val="00391D3A"/>
    <w:rsid w:val="00392FF7"/>
    <w:rsid w:val="00393606"/>
    <w:rsid w:val="00393A14"/>
    <w:rsid w:val="00393F0A"/>
    <w:rsid w:val="0039456B"/>
    <w:rsid w:val="003954D4"/>
    <w:rsid w:val="00395CDD"/>
    <w:rsid w:val="00395D1C"/>
    <w:rsid w:val="0039608F"/>
    <w:rsid w:val="00396226"/>
    <w:rsid w:val="00396387"/>
    <w:rsid w:val="003968F3"/>
    <w:rsid w:val="003977C8"/>
    <w:rsid w:val="00397B07"/>
    <w:rsid w:val="00397ECA"/>
    <w:rsid w:val="003A0A68"/>
    <w:rsid w:val="003A174D"/>
    <w:rsid w:val="003A1921"/>
    <w:rsid w:val="003A1B01"/>
    <w:rsid w:val="003A1C02"/>
    <w:rsid w:val="003A2717"/>
    <w:rsid w:val="003A3028"/>
    <w:rsid w:val="003A55C6"/>
    <w:rsid w:val="003A6EA1"/>
    <w:rsid w:val="003A6EA3"/>
    <w:rsid w:val="003A715C"/>
    <w:rsid w:val="003A7634"/>
    <w:rsid w:val="003B001E"/>
    <w:rsid w:val="003B0341"/>
    <w:rsid w:val="003B0B7A"/>
    <w:rsid w:val="003B0BE7"/>
    <w:rsid w:val="003B0E32"/>
    <w:rsid w:val="003B1481"/>
    <w:rsid w:val="003B15F5"/>
    <w:rsid w:val="003B203B"/>
    <w:rsid w:val="003B3446"/>
    <w:rsid w:val="003B44AD"/>
    <w:rsid w:val="003B74A4"/>
    <w:rsid w:val="003B76A0"/>
    <w:rsid w:val="003B7B14"/>
    <w:rsid w:val="003B7C19"/>
    <w:rsid w:val="003B7F30"/>
    <w:rsid w:val="003C02F9"/>
    <w:rsid w:val="003C0DA4"/>
    <w:rsid w:val="003C0DB8"/>
    <w:rsid w:val="003C15BB"/>
    <w:rsid w:val="003C173F"/>
    <w:rsid w:val="003C1C64"/>
    <w:rsid w:val="003C1D23"/>
    <w:rsid w:val="003C1ED8"/>
    <w:rsid w:val="003C2DD4"/>
    <w:rsid w:val="003C359C"/>
    <w:rsid w:val="003C3925"/>
    <w:rsid w:val="003C3926"/>
    <w:rsid w:val="003C3EE0"/>
    <w:rsid w:val="003C44A0"/>
    <w:rsid w:val="003C46DA"/>
    <w:rsid w:val="003C4A3D"/>
    <w:rsid w:val="003C545F"/>
    <w:rsid w:val="003C676D"/>
    <w:rsid w:val="003C6BF9"/>
    <w:rsid w:val="003C6F00"/>
    <w:rsid w:val="003C72BA"/>
    <w:rsid w:val="003C7448"/>
    <w:rsid w:val="003C7D14"/>
    <w:rsid w:val="003D0430"/>
    <w:rsid w:val="003D062A"/>
    <w:rsid w:val="003D097B"/>
    <w:rsid w:val="003D0ED7"/>
    <w:rsid w:val="003D0FE6"/>
    <w:rsid w:val="003D1DE2"/>
    <w:rsid w:val="003D2269"/>
    <w:rsid w:val="003D240E"/>
    <w:rsid w:val="003D2A3D"/>
    <w:rsid w:val="003D2BFC"/>
    <w:rsid w:val="003D2CA8"/>
    <w:rsid w:val="003D326F"/>
    <w:rsid w:val="003D38F0"/>
    <w:rsid w:val="003D42E1"/>
    <w:rsid w:val="003D4EC1"/>
    <w:rsid w:val="003D4FC7"/>
    <w:rsid w:val="003D5405"/>
    <w:rsid w:val="003D6266"/>
    <w:rsid w:val="003D781B"/>
    <w:rsid w:val="003D7F9B"/>
    <w:rsid w:val="003E0DF4"/>
    <w:rsid w:val="003E2051"/>
    <w:rsid w:val="003E2700"/>
    <w:rsid w:val="003E2A10"/>
    <w:rsid w:val="003E2D3E"/>
    <w:rsid w:val="003E309D"/>
    <w:rsid w:val="003E3BC2"/>
    <w:rsid w:val="003E3D33"/>
    <w:rsid w:val="003E3F98"/>
    <w:rsid w:val="003E452B"/>
    <w:rsid w:val="003E4879"/>
    <w:rsid w:val="003E5254"/>
    <w:rsid w:val="003E5A69"/>
    <w:rsid w:val="003E5BC1"/>
    <w:rsid w:val="003E5F5A"/>
    <w:rsid w:val="003E655C"/>
    <w:rsid w:val="003E6D78"/>
    <w:rsid w:val="003E7653"/>
    <w:rsid w:val="003E7E67"/>
    <w:rsid w:val="003F011C"/>
    <w:rsid w:val="003F0984"/>
    <w:rsid w:val="003F0F9A"/>
    <w:rsid w:val="003F152E"/>
    <w:rsid w:val="003F1740"/>
    <w:rsid w:val="003F198E"/>
    <w:rsid w:val="003F1EFF"/>
    <w:rsid w:val="003F2224"/>
    <w:rsid w:val="003F2681"/>
    <w:rsid w:val="003F2AF1"/>
    <w:rsid w:val="003F31C8"/>
    <w:rsid w:val="003F32A9"/>
    <w:rsid w:val="003F3491"/>
    <w:rsid w:val="003F4667"/>
    <w:rsid w:val="003F490A"/>
    <w:rsid w:val="003F4BF3"/>
    <w:rsid w:val="003F52D5"/>
    <w:rsid w:val="003F5F8B"/>
    <w:rsid w:val="003F62B3"/>
    <w:rsid w:val="003F64F1"/>
    <w:rsid w:val="003F6B4A"/>
    <w:rsid w:val="003F6D03"/>
    <w:rsid w:val="0040272E"/>
    <w:rsid w:val="00402A49"/>
    <w:rsid w:val="00402A67"/>
    <w:rsid w:val="00402E2B"/>
    <w:rsid w:val="004033E1"/>
    <w:rsid w:val="0040376D"/>
    <w:rsid w:val="004038FA"/>
    <w:rsid w:val="004041B2"/>
    <w:rsid w:val="00406499"/>
    <w:rsid w:val="00406F95"/>
    <w:rsid w:val="004072F8"/>
    <w:rsid w:val="00407A72"/>
    <w:rsid w:val="00407F69"/>
    <w:rsid w:val="004105DF"/>
    <w:rsid w:val="00410BBC"/>
    <w:rsid w:val="00410E55"/>
    <w:rsid w:val="00410F2A"/>
    <w:rsid w:val="004117B0"/>
    <w:rsid w:val="00411CCC"/>
    <w:rsid w:val="0041222D"/>
    <w:rsid w:val="00412B04"/>
    <w:rsid w:val="00412B4C"/>
    <w:rsid w:val="00412BBB"/>
    <w:rsid w:val="00412C91"/>
    <w:rsid w:val="00412F30"/>
    <w:rsid w:val="00412FF8"/>
    <w:rsid w:val="00413135"/>
    <w:rsid w:val="004146AF"/>
    <w:rsid w:val="00414D2D"/>
    <w:rsid w:val="00415372"/>
    <w:rsid w:val="004156A3"/>
    <w:rsid w:val="00415BC8"/>
    <w:rsid w:val="0041668E"/>
    <w:rsid w:val="004166B9"/>
    <w:rsid w:val="00416D3A"/>
    <w:rsid w:val="00416F86"/>
    <w:rsid w:val="004174EF"/>
    <w:rsid w:val="00420115"/>
    <w:rsid w:val="00420641"/>
    <w:rsid w:val="00420B09"/>
    <w:rsid w:val="004210DA"/>
    <w:rsid w:val="004218C3"/>
    <w:rsid w:val="00422CA7"/>
    <w:rsid w:val="00422E76"/>
    <w:rsid w:val="004232AD"/>
    <w:rsid w:val="004241F2"/>
    <w:rsid w:val="00425366"/>
    <w:rsid w:val="004256FC"/>
    <w:rsid w:val="0042644C"/>
    <w:rsid w:val="004266A0"/>
    <w:rsid w:val="004270A7"/>
    <w:rsid w:val="00430177"/>
    <w:rsid w:val="00430B27"/>
    <w:rsid w:val="00430D60"/>
    <w:rsid w:val="00431251"/>
    <w:rsid w:val="00431899"/>
    <w:rsid w:val="00433810"/>
    <w:rsid w:val="00433991"/>
    <w:rsid w:val="0043466D"/>
    <w:rsid w:val="0043493B"/>
    <w:rsid w:val="00434A78"/>
    <w:rsid w:val="004357BC"/>
    <w:rsid w:val="00435C3B"/>
    <w:rsid w:val="00437A0C"/>
    <w:rsid w:val="00437B04"/>
    <w:rsid w:val="00437D8B"/>
    <w:rsid w:val="0044014C"/>
    <w:rsid w:val="004405DD"/>
    <w:rsid w:val="004410B2"/>
    <w:rsid w:val="00441D5B"/>
    <w:rsid w:val="0044257D"/>
    <w:rsid w:val="00442906"/>
    <w:rsid w:val="004429AB"/>
    <w:rsid w:val="00444140"/>
    <w:rsid w:val="004441A8"/>
    <w:rsid w:val="004444B5"/>
    <w:rsid w:val="0044569F"/>
    <w:rsid w:val="00446227"/>
    <w:rsid w:val="00446770"/>
    <w:rsid w:val="0044691F"/>
    <w:rsid w:val="00446F14"/>
    <w:rsid w:val="00446FE8"/>
    <w:rsid w:val="00447276"/>
    <w:rsid w:val="00447689"/>
    <w:rsid w:val="004500F0"/>
    <w:rsid w:val="00451444"/>
    <w:rsid w:val="00451A5E"/>
    <w:rsid w:val="00451AAA"/>
    <w:rsid w:val="00451D88"/>
    <w:rsid w:val="0045285E"/>
    <w:rsid w:val="004528A8"/>
    <w:rsid w:val="00452AC8"/>
    <w:rsid w:val="00452DBB"/>
    <w:rsid w:val="00453BF9"/>
    <w:rsid w:val="00454039"/>
    <w:rsid w:val="00454437"/>
    <w:rsid w:val="00454910"/>
    <w:rsid w:val="00455614"/>
    <w:rsid w:val="00455729"/>
    <w:rsid w:val="00455AC6"/>
    <w:rsid w:val="004565E4"/>
    <w:rsid w:val="0045693D"/>
    <w:rsid w:val="00460D14"/>
    <w:rsid w:val="00461068"/>
    <w:rsid w:val="00461467"/>
    <w:rsid w:val="00462B41"/>
    <w:rsid w:val="00463A04"/>
    <w:rsid w:val="0046481A"/>
    <w:rsid w:val="00464CCB"/>
    <w:rsid w:val="004664A8"/>
    <w:rsid w:val="004666DD"/>
    <w:rsid w:val="00466704"/>
    <w:rsid w:val="004668BB"/>
    <w:rsid w:val="00467E54"/>
    <w:rsid w:val="0047047B"/>
    <w:rsid w:val="0047175D"/>
    <w:rsid w:val="00471870"/>
    <w:rsid w:val="004726A3"/>
    <w:rsid w:val="0047307C"/>
    <w:rsid w:val="004736B4"/>
    <w:rsid w:val="00473B89"/>
    <w:rsid w:val="00473BEA"/>
    <w:rsid w:val="004741BF"/>
    <w:rsid w:val="004748B9"/>
    <w:rsid w:val="00474A69"/>
    <w:rsid w:val="004752FE"/>
    <w:rsid w:val="004755CE"/>
    <w:rsid w:val="00475B4F"/>
    <w:rsid w:val="00475CD8"/>
    <w:rsid w:val="00476169"/>
    <w:rsid w:val="0047622F"/>
    <w:rsid w:val="00476410"/>
    <w:rsid w:val="004764C4"/>
    <w:rsid w:val="00476B76"/>
    <w:rsid w:val="00477070"/>
    <w:rsid w:val="0047712D"/>
    <w:rsid w:val="00477859"/>
    <w:rsid w:val="00477D97"/>
    <w:rsid w:val="004800B5"/>
    <w:rsid w:val="0048060A"/>
    <w:rsid w:val="0048098B"/>
    <w:rsid w:val="004809A9"/>
    <w:rsid w:val="00480D8F"/>
    <w:rsid w:val="00480E41"/>
    <w:rsid w:val="00480F99"/>
    <w:rsid w:val="004820A5"/>
    <w:rsid w:val="00482302"/>
    <w:rsid w:val="00482CA3"/>
    <w:rsid w:val="0048328F"/>
    <w:rsid w:val="00483359"/>
    <w:rsid w:val="004834F4"/>
    <w:rsid w:val="00483B80"/>
    <w:rsid w:val="00483BE4"/>
    <w:rsid w:val="00483E96"/>
    <w:rsid w:val="00484220"/>
    <w:rsid w:val="0048464F"/>
    <w:rsid w:val="004859E9"/>
    <w:rsid w:val="00486233"/>
    <w:rsid w:val="004868F8"/>
    <w:rsid w:val="00487A18"/>
    <w:rsid w:val="0049215E"/>
    <w:rsid w:val="004924BA"/>
    <w:rsid w:val="004927A0"/>
    <w:rsid w:val="004948A1"/>
    <w:rsid w:val="00496840"/>
    <w:rsid w:val="004A02BC"/>
    <w:rsid w:val="004A1605"/>
    <w:rsid w:val="004A197C"/>
    <w:rsid w:val="004A1F43"/>
    <w:rsid w:val="004A2BBC"/>
    <w:rsid w:val="004A354E"/>
    <w:rsid w:val="004A370D"/>
    <w:rsid w:val="004A3B0F"/>
    <w:rsid w:val="004A3E13"/>
    <w:rsid w:val="004A3E47"/>
    <w:rsid w:val="004A3E84"/>
    <w:rsid w:val="004A3F37"/>
    <w:rsid w:val="004A4168"/>
    <w:rsid w:val="004A435B"/>
    <w:rsid w:val="004A4B6F"/>
    <w:rsid w:val="004A62AC"/>
    <w:rsid w:val="004A67DF"/>
    <w:rsid w:val="004A685D"/>
    <w:rsid w:val="004A6F79"/>
    <w:rsid w:val="004A7654"/>
    <w:rsid w:val="004A785D"/>
    <w:rsid w:val="004A7924"/>
    <w:rsid w:val="004B0449"/>
    <w:rsid w:val="004B0884"/>
    <w:rsid w:val="004B16D6"/>
    <w:rsid w:val="004B1958"/>
    <w:rsid w:val="004B1A34"/>
    <w:rsid w:val="004B383D"/>
    <w:rsid w:val="004B3A3D"/>
    <w:rsid w:val="004B4562"/>
    <w:rsid w:val="004B45A0"/>
    <w:rsid w:val="004B4CED"/>
    <w:rsid w:val="004B5E46"/>
    <w:rsid w:val="004B62C7"/>
    <w:rsid w:val="004B66CA"/>
    <w:rsid w:val="004B6830"/>
    <w:rsid w:val="004B705B"/>
    <w:rsid w:val="004B713C"/>
    <w:rsid w:val="004B7956"/>
    <w:rsid w:val="004C097F"/>
    <w:rsid w:val="004C09F2"/>
    <w:rsid w:val="004C0D04"/>
    <w:rsid w:val="004C2A53"/>
    <w:rsid w:val="004C38C2"/>
    <w:rsid w:val="004C4A94"/>
    <w:rsid w:val="004C55FC"/>
    <w:rsid w:val="004C575F"/>
    <w:rsid w:val="004C6556"/>
    <w:rsid w:val="004C6CE4"/>
    <w:rsid w:val="004C6E0E"/>
    <w:rsid w:val="004D02B9"/>
    <w:rsid w:val="004D0A78"/>
    <w:rsid w:val="004D0F30"/>
    <w:rsid w:val="004D1292"/>
    <w:rsid w:val="004D2CE3"/>
    <w:rsid w:val="004D3AB0"/>
    <w:rsid w:val="004D3CEC"/>
    <w:rsid w:val="004D40C8"/>
    <w:rsid w:val="004D44BC"/>
    <w:rsid w:val="004D5298"/>
    <w:rsid w:val="004D5E92"/>
    <w:rsid w:val="004D62B7"/>
    <w:rsid w:val="004D6960"/>
    <w:rsid w:val="004D6F2A"/>
    <w:rsid w:val="004D6F31"/>
    <w:rsid w:val="004D6FF9"/>
    <w:rsid w:val="004D7325"/>
    <w:rsid w:val="004E0D39"/>
    <w:rsid w:val="004E1169"/>
    <w:rsid w:val="004E1560"/>
    <w:rsid w:val="004E1655"/>
    <w:rsid w:val="004E29FB"/>
    <w:rsid w:val="004E3936"/>
    <w:rsid w:val="004E3AD0"/>
    <w:rsid w:val="004E3D27"/>
    <w:rsid w:val="004E3FAD"/>
    <w:rsid w:val="004E4038"/>
    <w:rsid w:val="004E4071"/>
    <w:rsid w:val="004E4DBA"/>
    <w:rsid w:val="004E4EEC"/>
    <w:rsid w:val="004E5058"/>
    <w:rsid w:val="004E59CB"/>
    <w:rsid w:val="004E5DE7"/>
    <w:rsid w:val="004E6663"/>
    <w:rsid w:val="004E6EB0"/>
    <w:rsid w:val="004E78E7"/>
    <w:rsid w:val="004E7CC2"/>
    <w:rsid w:val="004E7E96"/>
    <w:rsid w:val="004F02B9"/>
    <w:rsid w:val="004F060E"/>
    <w:rsid w:val="004F07F6"/>
    <w:rsid w:val="004F08B0"/>
    <w:rsid w:val="004F13F9"/>
    <w:rsid w:val="004F15CC"/>
    <w:rsid w:val="004F1ECA"/>
    <w:rsid w:val="004F2CA7"/>
    <w:rsid w:val="004F2DDB"/>
    <w:rsid w:val="004F3040"/>
    <w:rsid w:val="004F3482"/>
    <w:rsid w:val="004F3557"/>
    <w:rsid w:val="004F3F4F"/>
    <w:rsid w:val="004F40C9"/>
    <w:rsid w:val="004F42B8"/>
    <w:rsid w:val="004F4388"/>
    <w:rsid w:val="004F5FFE"/>
    <w:rsid w:val="004F6348"/>
    <w:rsid w:val="004F6B2E"/>
    <w:rsid w:val="004F6E7B"/>
    <w:rsid w:val="004F6EBE"/>
    <w:rsid w:val="004F78AD"/>
    <w:rsid w:val="0050073F"/>
    <w:rsid w:val="00500B91"/>
    <w:rsid w:val="00500BA9"/>
    <w:rsid w:val="00500BBD"/>
    <w:rsid w:val="00500EAE"/>
    <w:rsid w:val="005011E8"/>
    <w:rsid w:val="0050148C"/>
    <w:rsid w:val="00501799"/>
    <w:rsid w:val="005022A4"/>
    <w:rsid w:val="00502E41"/>
    <w:rsid w:val="00503619"/>
    <w:rsid w:val="005036E0"/>
    <w:rsid w:val="00503871"/>
    <w:rsid w:val="00503B40"/>
    <w:rsid w:val="005043F2"/>
    <w:rsid w:val="00504535"/>
    <w:rsid w:val="00504621"/>
    <w:rsid w:val="00505067"/>
    <w:rsid w:val="005060B7"/>
    <w:rsid w:val="00506303"/>
    <w:rsid w:val="005064AB"/>
    <w:rsid w:val="00506501"/>
    <w:rsid w:val="005065BC"/>
    <w:rsid w:val="005074D3"/>
    <w:rsid w:val="00510D20"/>
    <w:rsid w:val="0051116A"/>
    <w:rsid w:val="00511E7D"/>
    <w:rsid w:val="00511F4B"/>
    <w:rsid w:val="00512B15"/>
    <w:rsid w:val="005132F4"/>
    <w:rsid w:val="00513C87"/>
    <w:rsid w:val="00513F20"/>
    <w:rsid w:val="005141AB"/>
    <w:rsid w:val="00514879"/>
    <w:rsid w:val="005159DE"/>
    <w:rsid w:val="0051621E"/>
    <w:rsid w:val="00517227"/>
    <w:rsid w:val="0052062F"/>
    <w:rsid w:val="00520AE3"/>
    <w:rsid w:val="0052123C"/>
    <w:rsid w:val="00521873"/>
    <w:rsid w:val="00521A98"/>
    <w:rsid w:val="00521FBE"/>
    <w:rsid w:val="00521FFA"/>
    <w:rsid w:val="00522578"/>
    <w:rsid w:val="00522633"/>
    <w:rsid w:val="00523978"/>
    <w:rsid w:val="00524036"/>
    <w:rsid w:val="00524A8C"/>
    <w:rsid w:val="00524F74"/>
    <w:rsid w:val="00525ADF"/>
    <w:rsid w:val="00525BDD"/>
    <w:rsid w:val="005303BE"/>
    <w:rsid w:val="00531009"/>
    <w:rsid w:val="00531454"/>
    <w:rsid w:val="00531C6A"/>
    <w:rsid w:val="00532E3C"/>
    <w:rsid w:val="00533A01"/>
    <w:rsid w:val="00534AAA"/>
    <w:rsid w:val="00534FE3"/>
    <w:rsid w:val="005356D4"/>
    <w:rsid w:val="00535E97"/>
    <w:rsid w:val="005363EE"/>
    <w:rsid w:val="005366E5"/>
    <w:rsid w:val="00536C48"/>
    <w:rsid w:val="00537022"/>
    <w:rsid w:val="00540673"/>
    <w:rsid w:val="005406DF"/>
    <w:rsid w:val="0054104F"/>
    <w:rsid w:val="00541608"/>
    <w:rsid w:val="0054179F"/>
    <w:rsid w:val="00543166"/>
    <w:rsid w:val="00543473"/>
    <w:rsid w:val="005436BD"/>
    <w:rsid w:val="005436BE"/>
    <w:rsid w:val="00544F81"/>
    <w:rsid w:val="00545DA3"/>
    <w:rsid w:val="00545FF1"/>
    <w:rsid w:val="005469C8"/>
    <w:rsid w:val="00546FF0"/>
    <w:rsid w:val="00547272"/>
    <w:rsid w:val="0055003B"/>
    <w:rsid w:val="005509B3"/>
    <w:rsid w:val="005511C1"/>
    <w:rsid w:val="005512FB"/>
    <w:rsid w:val="00552971"/>
    <w:rsid w:val="00552AB2"/>
    <w:rsid w:val="00552F53"/>
    <w:rsid w:val="00553841"/>
    <w:rsid w:val="00553941"/>
    <w:rsid w:val="005546E4"/>
    <w:rsid w:val="00555B6D"/>
    <w:rsid w:val="00556239"/>
    <w:rsid w:val="00556915"/>
    <w:rsid w:val="00556CCD"/>
    <w:rsid w:val="0055734E"/>
    <w:rsid w:val="00557381"/>
    <w:rsid w:val="0056065B"/>
    <w:rsid w:val="00560794"/>
    <w:rsid w:val="0056095E"/>
    <w:rsid w:val="005619CE"/>
    <w:rsid w:val="00561E34"/>
    <w:rsid w:val="00562C71"/>
    <w:rsid w:val="00563241"/>
    <w:rsid w:val="0056469C"/>
    <w:rsid w:val="005649AB"/>
    <w:rsid w:val="005656F3"/>
    <w:rsid w:val="005661DE"/>
    <w:rsid w:val="005662C0"/>
    <w:rsid w:val="00566F41"/>
    <w:rsid w:val="0056757D"/>
    <w:rsid w:val="0056790C"/>
    <w:rsid w:val="005703DC"/>
    <w:rsid w:val="00570BA7"/>
    <w:rsid w:val="00570CB8"/>
    <w:rsid w:val="0057229E"/>
    <w:rsid w:val="005728A0"/>
    <w:rsid w:val="005735E2"/>
    <w:rsid w:val="005737C1"/>
    <w:rsid w:val="005747C2"/>
    <w:rsid w:val="00574AF6"/>
    <w:rsid w:val="00574C36"/>
    <w:rsid w:val="00576FBB"/>
    <w:rsid w:val="00577C44"/>
    <w:rsid w:val="00580172"/>
    <w:rsid w:val="0058055D"/>
    <w:rsid w:val="00580D5E"/>
    <w:rsid w:val="00581057"/>
    <w:rsid w:val="00582B2B"/>
    <w:rsid w:val="00584920"/>
    <w:rsid w:val="00585F7A"/>
    <w:rsid w:val="00585F9A"/>
    <w:rsid w:val="00586518"/>
    <w:rsid w:val="0058691E"/>
    <w:rsid w:val="00586941"/>
    <w:rsid w:val="00586CBD"/>
    <w:rsid w:val="00586EB5"/>
    <w:rsid w:val="00587224"/>
    <w:rsid w:val="00587376"/>
    <w:rsid w:val="0058763C"/>
    <w:rsid w:val="005878AC"/>
    <w:rsid w:val="00587CB1"/>
    <w:rsid w:val="0059079B"/>
    <w:rsid w:val="00591366"/>
    <w:rsid w:val="00592F14"/>
    <w:rsid w:val="00593CD7"/>
    <w:rsid w:val="0059410A"/>
    <w:rsid w:val="00594906"/>
    <w:rsid w:val="00594D83"/>
    <w:rsid w:val="00596494"/>
    <w:rsid w:val="005966E6"/>
    <w:rsid w:val="00596B55"/>
    <w:rsid w:val="005970F5"/>
    <w:rsid w:val="00597336"/>
    <w:rsid w:val="0059762B"/>
    <w:rsid w:val="005A09F3"/>
    <w:rsid w:val="005A1487"/>
    <w:rsid w:val="005A2480"/>
    <w:rsid w:val="005A369D"/>
    <w:rsid w:val="005A37F5"/>
    <w:rsid w:val="005A405E"/>
    <w:rsid w:val="005A495A"/>
    <w:rsid w:val="005A4BF4"/>
    <w:rsid w:val="005A4FA6"/>
    <w:rsid w:val="005A5FE5"/>
    <w:rsid w:val="005A62C5"/>
    <w:rsid w:val="005A6351"/>
    <w:rsid w:val="005A6750"/>
    <w:rsid w:val="005A691B"/>
    <w:rsid w:val="005A6C3F"/>
    <w:rsid w:val="005A700D"/>
    <w:rsid w:val="005A77C8"/>
    <w:rsid w:val="005B0273"/>
    <w:rsid w:val="005B0980"/>
    <w:rsid w:val="005B0A38"/>
    <w:rsid w:val="005B102C"/>
    <w:rsid w:val="005B10EF"/>
    <w:rsid w:val="005B1F87"/>
    <w:rsid w:val="005B261E"/>
    <w:rsid w:val="005B2E0D"/>
    <w:rsid w:val="005B3034"/>
    <w:rsid w:val="005B3562"/>
    <w:rsid w:val="005B397D"/>
    <w:rsid w:val="005B3D40"/>
    <w:rsid w:val="005B3DF7"/>
    <w:rsid w:val="005B445C"/>
    <w:rsid w:val="005B46AA"/>
    <w:rsid w:val="005B48A0"/>
    <w:rsid w:val="005B501F"/>
    <w:rsid w:val="005B5121"/>
    <w:rsid w:val="005B52F4"/>
    <w:rsid w:val="005B558F"/>
    <w:rsid w:val="005B5996"/>
    <w:rsid w:val="005B5A33"/>
    <w:rsid w:val="005B6A9C"/>
    <w:rsid w:val="005B784D"/>
    <w:rsid w:val="005B78F8"/>
    <w:rsid w:val="005C04A8"/>
    <w:rsid w:val="005C0B2C"/>
    <w:rsid w:val="005C1CCD"/>
    <w:rsid w:val="005C36C8"/>
    <w:rsid w:val="005C423C"/>
    <w:rsid w:val="005C5610"/>
    <w:rsid w:val="005C5E8D"/>
    <w:rsid w:val="005C5EEC"/>
    <w:rsid w:val="005C5FE3"/>
    <w:rsid w:val="005C6686"/>
    <w:rsid w:val="005C669D"/>
    <w:rsid w:val="005C70AE"/>
    <w:rsid w:val="005D0705"/>
    <w:rsid w:val="005D0A9C"/>
    <w:rsid w:val="005D1AEF"/>
    <w:rsid w:val="005D1BB1"/>
    <w:rsid w:val="005D1D23"/>
    <w:rsid w:val="005D205B"/>
    <w:rsid w:val="005D2486"/>
    <w:rsid w:val="005D2BB6"/>
    <w:rsid w:val="005D3053"/>
    <w:rsid w:val="005D53F4"/>
    <w:rsid w:val="005D59AD"/>
    <w:rsid w:val="005D5CB0"/>
    <w:rsid w:val="005D5F22"/>
    <w:rsid w:val="005D6305"/>
    <w:rsid w:val="005D6DC8"/>
    <w:rsid w:val="005D71C1"/>
    <w:rsid w:val="005E0A8A"/>
    <w:rsid w:val="005E0EAE"/>
    <w:rsid w:val="005E170C"/>
    <w:rsid w:val="005E1CA6"/>
    <w:rsid w:val="005E1E9F"/>
    <w:rsid w:val="005E1FDD"/>
    <w:rsid w:val="005E245F"/>
    <w:rsid w:val="005E2F47"/>
    <w:rsid w:val="005E3B98"/>
    <w:rsid w:val="005E478B"/>
    <w:rsid w:val="005E4954"/>
    <w:rsid w:val="005E4C5F"/>
    <w:rsid w:val="005E5950"/>
    <w:rsid w:val="005E6FE5"/>
    <w:rsid w:val="005E729D"/>
    <w:rsid w:val="005F0971"/>
    <w:rsid w:val="005F0AB1"/>
    <w:rsid w:val="005F0BB8"/>
    <w:rsid w:val="005F13A7"/>
    <w:rsid w:val="005F1E28"/>
    <w:rsid w:val="005F1EBC"/>
    <w:rsid w:val="005F230B"/>
    <w:rsid w:val="005F2928"/>
    <w:rsid w:val="005F31BA"/>
    <w:rsid w:val="005F332E"/>
    <w:rsid w:val="005F3571"/>
    <w:rsid w:val="005F3805"/>
    <w:rsid w:val="005F3EE2"/>
    <w:rsid w:val="005F4C7B"/>
    <w:rsid w:val="005F4CE4"/>
    <w:rsid w:val="005F5999"/>
    <w:rsid w:val="005F60E0"/>
    <w:rsid w:val="005F6A65"/>
    <w:rsid w:val="005F6B7F"/>
    <w:rsid w:val="005F6C51"/>
    <w:rsid w:val="005F7358"/>
    <w:rsid w:val="005F7847"/>
    <w:rsid w:val="005F7A97"/>
    <w:rsid w:val="005F7F9A"/>
    <w:rsid w:val="00600132"/>
    <w:rsid w:val="006003ED"/>
    <w:rsid w:val="00600427"/>
    <w:rsid w:val="006004E1"/>
    <w:rsid w:val="00600829"/>
    <w:rsid w:val="00600C77"/>
    <w:rsid w:val="006012F7"/>
    <w:rsid w:val="006020DE"/>
    <w:rsid w:val="00602263"/>
    <w:rsid w:val="00602572"/>
    <w:rsid w:val="006036AD"/>
    <w:rsid w:val="00604265"/>
    <w:rsid w:val="00604A3C"/>
    <w:rsid w:val="006050EE"/>
    <w:rsid w:val="00605352"/>
    <w:rsid w:val="0060548F"/>
    <w:rsid w:val="00605F0A"/>
    <w:rsid w:val="006063D5"/>
    <w:rsid w:val="00607E56"/>
    <w:rsid w:val="006109CC"/>
    <w:rsid w:val="00610F8A"/>
    <w:rsid w:val="00611351"/>
    <w:rsid w:val="006115F9"/>
    <w:rsid w:val="00611F27"/>
    <w:rsid w:val="006129E3"/>
    <w:rsid w:val="006132FC"/>
    <w:rsid w:val="00614A47"/>
    <w:rsid w:val="00614F48"/>
    <w:rsid w:val="006167DC"/>
    <w:rsid w:val="006200FB"/>
    <w:rsid w:val="00620304"/>
    <w:rsid w:val="006205E7"/>
    <w:rsid w:val="006207E4"/>
    <w:rsid w:val="00620A16"/>
    <w:rsid w:val="00620D94"/>
    <w:rsid w:val="006214F0"/>
    <w:rsid w:val="006215B1"/>
    <w:rsid w:val="006215BF"/>
    <w:rsid w:val="00621F24"/>
    <w:rsid w:val="006223FC"/>
    <w:rsid w:val="00623405"/>
    <w:rsid w:val="006235F6"/>
    <w:rsid w:val="00623722"/>
    <w:rsid w:val="00623830"/>
    <w:rsid w:val="00623B9C"/>
    <w:rsid w:val="00624114"/>
    <w:rsid w:val="006244B1"/>
    <w:rsid w:val="00624A36"/>
    <w:rsid w:val="00624B06"/>
    <w:rsid w:val="0062565F"/>
    <w:rsid w:val="00625CBD"/>
    <w:rsid w:val="00625E7C"/>
    <w:rsid w:val="00625E94"/>
    <w:rsid w:val="00626316"/>
    <w:rsid w:val="006264F4"/>
    <w:rsid w:val="0063105D"/>
    <w:rsid w:val="00631210"/>
    <w:rsid w:val="00631B2C"/>
    <w:rsid w:val="00631E49"/>
    <w:rsid w:val="00632695"/>
    <w:rsid w:val="006330C3"/>
    <w:rsid w:val="0063319A"/>
    <w:rsid w:val="006349C1"/>
    <w:rsid w:val="00634AF1"/>
    <w:rsid w:val="00634F4A"/>
    <w:rsid w:val="006359AE"/>
    <w:rsid w:val="00635B15"/>
    <w:rsid w:val="00635CEB"/>
    <w:rsid w:val="0063666D"/>
    <w:rsid w:val="00636E96"/>
    <w:rsid w:val="00636F02"/>
    <w:rsid w:val="0063772F"/>
    <w:rsid w:val="006377E6"/>
    <w:rsid w:val="006379A5"/>
    <w:rsid w:val="0064051A"/>
    <w:rsid w:val="0064073E"/>
    <w:rsid w:val="00641697"/>
    <w:rsid w:val="0064241F"/>
    <w:rsid w:val="006437A0"/>
    <w:rsid w:val="006439EB"/>
    <w:rsid w:val="00643B04"/>
    <w:rsid w:val="006454BB"/>
    <w:rsid w:val="00645BCA"/>
    <w:rsid w:val="0064610E"/>
    <w:rsid w:val="00646896"/>
    <w:rsid w:val="00647C5A"/>
    <w:rsid w:val="00647FD7"/>
    <w:rsid w:val="006504DF"/>
    <w:rsid w:val="0065080D"/>
    <w:rsid w:val="00650F13"/>
    <w:rsid w:val="0065197D"/>
    <w:rsid w:val="00652048"/>
    <w:rsid w:val="006524CE"/>
    <w:rsid w:val="006525D2"/>
    <w:rsid w:val="006536F0"/>
    <w:rsid w:val="006546C1"/>
    <w:rsid w:val="006547D6"/>
    <w:rsid w:val="00654BB2"/>
    <w:rsid w:val="00654D91"/>
    <w:rsid w:val="00654E85"/>
    <w:rsid w:val="00655477"/>
    <w:rsid w:val="00655D3C"/>
    <w:rsid w:val="00656E25"/>
    <w:rsid w:val="0065721A"/>
    <w:rsid w:val="006577FE"/>
    <w:rsid w:val="00657C7C"/>
    <w:rsid w:val="00657CB8"/>
    <w:rsid w:val="006605F3"/>
    <w:rsid w:val="00660D65"/>
    <w:rsid w:val="00660FCC"/>
    <w:rsid w:val="006610FA"/>
    <w:rsid w:val="0066180E"/>
    <w:rsid w:val="00662150"/>
    <w:rsid w:val="00662172"/>
    <w:rsid w:val="006621AC"/>
    <w:rsid w:val="0066386B"/>
    <w:rsid w:val="00663AB2"/>
    <w:rsid w:val="00663EB2"/>
    <w:rsid w:val="006647E9"/>
    <w:rsid w:val="006648D4"/>
    <w:rsid w:val="00664AF0"/>
    <w:rsid w:val="00665416"/>
    <w:rsid w:val="00666F8E"/>
    <w:rsid w:val="00667D73"/>
    <w:rsid w:val="00667DE1"/>
    <w:rsid w:val="00667F37"/>
    <w:rsid w:val="00670621"/>
    <w:rsid w:val="00670688"/>
    <w:rsid w:val="006714B6"/>
    <w:rsid w:val="006715DB"/>
    <w:rsid w:val="006720E8"/>
    <w:rsid w:val="00672952"/>
    <w:rsid w:val="006735CB"/>
    <w:rsid w:val="006738C8"/>
    <w:rsid w:val="00673953"/>
    <w:rsid w:val="00673ED9"/>
    <w:rsid w:val="006743DB"/>
    <w:rsid w:val="006747FF"/>
    <w:rsid w:val="006761C7"/>
    <w:rsid w:val="006762F5"/>
    <w:rsid w:val="006763C2"/>
    <w:rsid w:val="0067647E"/>
    <w:rsid w:val="00676877"/>
    <w:rsid w:val="00676F7E"/>
    <w:rsid w:val="00677B5F"/>
    <w:rsid w:val="006806B9"/>
    <w:rsid w:val="00680D0A"/>
    <w:rsid w:val="006817A4"/>
    <w:rsid w:val="0068247E"/>
    <w:rsid w:val="0068260D"/>
    <w:rsid w:val="00682886"/>
    <w:rsid w:val="006831AF"/>
    <w:rsid w:val="006833B0"/>
    <w:rsid w:val="00683B9E"/>
    <w:rsid w:val="00684113"/>
    <w:rsid w:val="006846AF"/>
    <w:rsid w:val="00684707"/>
    <w:rsid w:val="00685454"/>
    <w:rsid w:val="006863EF"/>
    <w:rsid w:val="00686792"/>
    <w:rsid w:val="00687108"/>
    <w:rsid w:val="00687520"/>
    <w:rsid w:val="00687578"/>
    <w:rsid w:val="006901E1"/>
    <w:rsid w:val="006902A0"/>
    <w:rsid w:val="00691DAB"/>
    <w:rsid w:val="00691DD9"/>
    <w:rsid w:val="00692370"/>
    <w:rsid w:val="006923A7"/>
    <w:rsid w:val="00693214"/>
    <w:rsid w:val="00693698"/>
    <w:rsid w:val="0069376E"/>
    <w:rsid w:val="00694022"/>
    <w:rsid w:val="00694DAC"/>
    <w:rsid w:val="00695E01"/>
    <w:rsid w:val="00695EAE"/>
    <w:rsid w:val="0069608A"/>
    <w:rsid w:val="006961DA"/>
    <w:rsid w:val="00696C28"/>
    <w:rsid w:val="0069707E"/>
    <w:rsid w:val="006975D2"/>
    <w:rsid w:val="006A0957"/>
    <w:rsid w:val="006A0E37"/>
    <w:rsid w:val="006A1575"/>
    <w:rsid w:val="006A1DDC"/>
    <w:rsid w:val="006A2804"/>
    <w:rsid w:val="006A2896"/>
    <w:rsid w:val="006A39C7"/>
    <w:rsid w:val="006A3B7D"/>
    <w:rsid w:val="006A3EA5"/>
    <w:rsid w:val="006A495C"/>
    <w:rsid w:val="006A4AC7"/>
    <w:rsid w:val="006A55B1"/>
    <w:rsid w:val="006A6DEB"/>
    <w:rsid w:val="006A7117"/>
    <w:rsid w:val="006A7401"/>
    <w:rsid w:val="006A7BE3"/>
    <w:rsid w:val="006A7C05"/>
    <w:rsid w:val="006A7D77"/>
    <w:rsid w:val="006A7F73"/>
    <w:rsid w:val="006B0015"/>
    <w:rsid w:val="006B0023"/>
    <w:rsid w:val="006B0110"/>
    <w:rsid w:val="006B13AE"/>
    <w:rsid w:val="006B2BA4"/>
    <w:rsid w:val="006B2BD8"/>
    <w:rsid w:val="006B2FAE"/>
    <w:rsid w:val="006B3046"/>
    <w:rsid w:val="006B3052"/>
    <w:rsid w:val="006B3267"/>
    <w:rsid w:val="006B4092"/>
    <w:rsid w:val="006B451F"/>
    <w:rsid w:val="006B4AA2"/>
    <w:rsid w:val="006B5EAC"/>
    <w:rsid w:val="006B5FD2"/>
    <w:rsid w:val="006B7C60"/>
    <w:rsid w:val="006B7DEE"/>
    <w:rsid w:val="006C014A"/>
    <w:rsid w:val="006C03E2"/>
    <w:rsid w:val="006C07BB"/>
    <w:rsid w:val="006C0CC6"/>
    <w:rsid w:val="006C2ABE"/>
    <w:rsid w:val="006C368A"/>
    <w:rsid w:val="006C37CE"/>
    <w:rsid w:val="006C3878"/>
    <w:rsid w:val="006C3C80"/>
    <w:rsid w:val="006C3F20"/>
    <w:rsid w:val="006C5D57"/>
    <w:rsid w:val="006C6D4A"/>
    <w:rsid w:val="006C74C0"/>
    <w:rsid w:val="006C75FB"/>
    <w:rsid w:val="006C7C32"/>
    <w:rsid w:val="006D010F"/>
    <w:rsid w:val="006D1CE1"/>
    <w:rsid w:val="006D226E"/>
    <w:rsid w:val="006D254F"/>
    <w:rsid w:val="006D269E"/>
    <w:rsid w:val="006D2D62"/>
    <w:rsid w:val="006D358A"/>
    <w:rsid w:val="006D38DA"/>
    <w:rsid w:val="006D3C42"/>
    <w:rsid w:val="006D41A0"/>
    <w:rsid w:val="006D41FA"/>
    <w:rsid w:val="006D477C"/>
    <w:rsid w:val="006D520D"/>
    <w:rsid w:val="006D5D68"/>
    <w:rsid w:val="006D5FC0"/>
    <w:rsid w:val="006D6085"/>
    <w:rsid w:val="006D6788"/>
    <w:rsid w:val="006D69DB"/>
    <w:rsid w:val="006E0112"/>
    <w:rsid w:val="006E093E"/>
    <w:rsid w:val="006E0A5B"/>
    <w:rsid w:val="006E0EE7"/>
    <w:rsid w:val="006E0F99"/>
    <w:rsid w:val="006E11DE"/>
    <w:rsid w:val="006E1F26"/>
    <w:rsid w:val="006E2879"/>
    <w:rsid w:val="006E2ADB"/>
    <w:rsid w:val="006E30D3"/>
    <w:rsid w:val="006E34F6"/>
    <w:rsid w:val="006E460E"/>
    <w:rsid w:val="006E47CF"/>
    <w:rsid w:val="006E4C03"/>
    <w:rsid w:val="006E55C6"/>
    <w:rsid w:val="006E569B"/>
    <w:rsid w:val="006E5743"/>
    <w:rsid w:val="006E64C0"/>
    <w:rsid w:val="006E6DCA"/>
    <w:rsid w:val="006E6ED1"/>
    <w:rsid w:val="006E757C"/>
    <w:rsid w:val="006E7797"/>
    <w:rsid w:val="006F006A"/>
    <w:rsid w:val="006F09B6"/>
    <w:rsid w:val="006F0A99"/>
    <w:rsid w:val="006F172E"/>
    <w:rsid w:val="006F22E9"/>
    <w:rsid w:val="006F31F4"/>
    <w:rsid w:val="006F3592"/>
    <w:rsid w:val="006F37FA"/>
    <w:rsid w:val="006F3E5C"/>
    <w:rsid w:val="006F4829"/>
    <w:rsid w:val="006F4E10"/>
    <w:rsid w:val="006F55CC"/>
    <w:rsid w:val="006F58BB"/>
    <w:rsid w:val="006F5987"/>
    <w:rsid w:val="006F608F"/>
    <w:rsid w:val="006F625E"/>
    <w:rsid w:val="006F62E8"/>
    <w:rsid w:val="006F6B84"/>
    <w:rsid w:val="006F7014"/>
    <w:rsid w:val="006F720B"/>
    <w:rsid w:val="007003D9"/>
    <w:rsid w:val="007008F4"/>
    <w:rsid w:val="0070092A"/>
    <w:rsid w:val="00700EDE"/>
    <w:rsid w:val="007010BC"/>
    <w:rsid w:val="007015BD"/>
    <w:rsid w:val="0070314C"/>
    <w:rsid w:val="0070367D"/>
    <w:rsid w:val="00703C34"/>
    <w:rsid w:val="007041B8"/>
    <w:rsid w:val="00704958"/>
    <w:rsid w:val="0070536F"/>
    <w:rsid w:val="00705838"/>
    <w:rsid w:val="00705872"/>
    <w:rsid w:val="00705B2D"/>
    <w:rsid w:val="007065E1"/>
    <w:rsid w:val="00706BBA"/>
    <w:rsid w:val="00706E25"/>
    <w:rsid w:val="00710408"/>
    <w:rsid w:val="00710F0F"/>
    <w:rsid w:val="007122F9"/>
    <w:rsid w:val="00712935"/>
    <w:rsid w:val="00712979"/>
    <w:rsid w:val="00713773"/>
    <w:rsid w:val="00713D2C"/>
    <w:rsid w:val="00713F61"/>
    <w:rsid w:val="0071410D"/>
    <w:rsid w:val="00714276"/>
    <w:rsid w:val="00714BFB"/>
    <w:rsid w:val="00715A03"/>
    <w:rsid w:val="00715C82"/>
    <w:rsid w:val="00716C57"/>
    <w:rsid w:val="0071751D"/>
    <w:rsid w:val="00717A62"/>
    <w:rsid w:val="00720072"/>
    <w:rsid w:val="007202E0"/>
    <w:rsid w:val="00720BCB"/>
    <w:rsid w:val="00721446"/>
    <w:rsid w:val="00721518"/>
    <w:rsid w:val="00721B9E"/>
    <w:rsid w:val="00723887"/>
    <w:rsid w:val="00723E6D"/>
    <w:rsid w:val="0072401D"/>
    <w:rsid w:val="00724C0C"/>
    <w:rsid w:val="00725487"/>
    <w:rsid w:val="0072549D"/>
    <w:rsid w:val="007255CD"/>
    <w:rsid w:val="00725D34"/>
    <w:rsid w:val="00725F0D"/>
    <w:rsid w:val="007261EC"/>
    <w:rsid w:val="0072705F"/>
    <w:rsid w:val="00727282"/>
    <w:rsid w:val="00727907"/>
    <w:rsid w:val="007279EC"/>
    <w:rsid w:val="007301CD"/>
    <w:rsid w:val="007304E5"/>
    <w:rsid w:val="00731E8C"/>
    <w:rsid w:val="00731FC1"/>
    <w:rsid w:val="00732870"/>
    <w:rsid w:val="007331C8"/>
    <w:rsid w:val="007334D7"/>
    <w:rsid w:val="007338DA"/>
    <w:rsid w:val="00733C3B"/>
    <w:rsid w:val="00733DC9"/>
    <w:rsid w:val="0073454F"/>
    <w:rsid w:val="00735C52"/>
    <w:rsid w:val="00736907"/>
    <w:rsid w:val="00736DD2"/>
    <w:rsid w:val="00736FF8"/>
    <w:rsid w:val="007379CA"/>
    <w:rsid w:val="007401AE"/>
    <w:rsid w:val="00740A1A"/>
    <w:rsid w:val="00740A66"/>
    <w:rsid w:val="00740C01"/>
    <w:rsid w:val="00740CE4"/>
    <w:rsid w:val="00740F3C"/>
    <w:rsid w:val="007412EF"/>
    <w:rsid w:val="00741C54"/>
    <w:rsid w:val="007423D1"/>
    <w:rsid w:val="00742CD6"/>
    <w:rsid w:val="00743135"/>
    <w:rsid w:val="007432BA"/>
    <w:rsid w:val="0074395E"/>
    <w:rsid w:val="007439BC"/>
    <w:rsid w:val="007445F2"/>
    <w:rsid w:val="00744918"/>
    <w:rsid w:val="0074491F"/>
    <w:rsid w:val="007449D2"/>
    <w:rsid w:val="00745DEA"/>
    <w:rsid w:val="00745EB1"/>
    <w:rsid w:val="00745FC3"/>
    <w:rsid w:val="00746774"/>
    <w:rsid w:val="00746B75"/>
    <w:rsid w:val="00747126"/>
    <w:rsid w:val="00747B41"/>
    <w:rsid w:val="00750F91"/>
    <w:rsid w:val="00751521"/>
    <w:rsid w:val="00751E9C"/>
    <w:rsid w:val="00753050"/>
    <w:rsid w:val="007531C9"/>
    <w:rsid w:val="007531DA"/>
    <w:rsid w:val="00753582"/>
    <w:rsid w:val="00753B0E"/>
    <w:rsid w:val="007540D9"/>
    <w:rsid w:val="007549EA"/>
    <w:rsid w:val="007552F0"/>
    <w:rsid w:val="007553EE"/>
    <w:rsid w:val="007556FF"/>
    <w:rsid w:val="00755989"/>
    <w:rsid w:val="00755ED4"/>
    <w:rsid w:val="0075620E"/>
    <w:rsid w:val="00756326"/>
    <w:rsid w:val="0075653A"/>
    <w:rsid w:val="00756660"/>
    <w:rsid w:val="00756790"/>
    <w:rsid w:val="00760161"/>
    <w:rsid w:val="00760A60"/>
    <w:rsid w:val="00761813"/>
    <w:rsid w:val="00763016"/>
    <w:rsid w:val="007636F8"/>
    <w:rsid w:val="0076387E"/>
    <w:rsid w:val="007648FE"/>
    <w:rsid w:val="00764AA3"/>
    <w:rsid w:val="00764DFC"/>
    <w:rsid w:val="0076523D"/>
    <w:rsid w:val="00765372"/>
    <w:rsid w:val="00765428"/>
    <w:rsid w:val="007657F4"/>
    <w:rsid w:val="00765B2D"/>
    <w:rsid w:val="007662EE"/>
    <w:rsid w:val="00767AEC"/>
    <w:rsid w:val="00770424"/>
    <w:rsid w:val="0077099C"/>
    <w:rsid w:val="00770EAC"/>
    <w:rsid w:val="00771216"/>
    <w:rsid w:val="007714DD"/>
    <w:rsid w:val="00771A74"/>
    <w:rsid w:val="00771C91"/>
    <w:rsid w:val="00772757"/>
    <w:rsid w:val="007732C7"/>
    <w:rsid w:val="00773688"/>
    <w:rsid w:val="007738F7"/>
    <w:rsid w:val="00774B68"/>
    <w:rsid w:val="00774C2E"/>
    <w:rsid w:val="00774E8A"/>
    <w:rsid w:val="00775C77"/>
    <w:rsid w:val="00775D4D"/>
    <w:rsid w:val="00775FB9"/>
    <w:rsid w:val="00776CAF"/>
    <w:rsid w:val="007770C5"/>
    <w:rsid w:val="007776FB"/>
    <w:rsid w:val="00777711"/>
    <w:rsid w:val="00777845"/>
    <w:rsid w:val="007778C2"/>
    <w:rsid w:val="007807AC"/>
    <w:rsid w:val="00780D6D"/>
    <w:rsid w:val="00781DE3"/>
    <w:rsid w:val="00782725"/>
    <w:rsid w:val="007832BC"/>
    <w:rsid w:val="00783AB6"/>
    <w:rsid w:val="00783C15"/>
    <w:rsid w:val="00783FAF"/>
    <w:rsid w:val="007841EE"/>
    <w:rsid w:val="00784659"/>
    <w:rsid w:val="00784698"/>
    <w:rsid w:val="00784774"/>
    <w:rsid w:val="00784971"/>
    <w:rsid w:val="00784C8C"/>
    <w:rsid w:val="00784DA9"/>
    <w:rsid w:val="0078569E"/>
    <w:rsid w:val="00786160"/>
    <w:rsid w:val="0079031D"/>
    <w:rsid w:val="00791CA4"/>
    <w:rsid w:val="00791FD5"/>
    <w:rsid w:val="00792585"/>
    <w:rsid w:val="00792EA3"/>
    <w:rsid w:val="0079317C"/>
    <w:rsid w:val="00794E24"/>
    <w:rsid w:val="007952D1"/>
    <w:rsid w:val="00795732"/>
    <w:rsid w:val="00795E44"/>
    <w:rsid w:val="007971C0"/>
    <w:rsid w:val="007973FF"/>
    <w:rsid w:val="00797649"/>
    <w:rsid w:val="00797AE3"/>
    <w:rsid w:val="007A144B"/>
    <w:rsid w:val="007A2B58"/>
    <w:rsid w:val="007A33B8"/>
    <w:rsid w:val="007A3C0B"/>
    <w:rsid w:val="007A4056"/>
    <w:rsid w:val="007A4A78"/>
    <w:rsid w:val="007A4D1B"/>
    <w:rsid w:val="007A5158"/>
    <w:rsid w:val="007A5A5B"/>
    <w:rsid w:val="007A61C4"/>
    <w:rsid w:val="007A62D7"/>
    <w:rsid w:val="007A6584"/>
    <w:rsid w:val="007A6B4C"/>
    <w:rsid w:val="007A7044"/>
    <w:rsid w:val="007A7229"/>
    <w:rsid w:val="007A7724"/>
    <w:rsid w:val="007A7CEB"/>
    <w:rsid w:val="007A7D3E"/>
    <w:rsid w:val="007B06E0"/>
    <w:rsid w:val="007B0A7F"/>
    <w:rsid w:val="007B153A"/>
    <w:rsid w:val="007B1EE7"/>
    <w:rsid w:val="007B2B61"/>
    <w:rsid w:val="007B2FF5"/>
    <w:rsid w:val="007B310B"/>
    <w:rsid w:val="007B475B"/>
    <w:rsid w:val="007B5E21"/>
    <w:rsid w:val="007B5F1D"/>
    <w:rsid w:val="007B680C"/>
    <w:rsid w:val="007B6CE7"/>
    <w:rsid w:val="007B6D61"/>
    <w:rsid w:val="007C0171"/>
    <w:rsid w:val="007C0378"/>
    <w:rsid w:val="007C0561"/>
    <w:rsid w:val="007C0942"/>
    <w:rsid w:val="007C0B66"/>
    <w:rsid w:val="007C10E3"/>
    <w:rsid w:val="007C2033"/>
    <w:rsid w:val="007C247A"/>
    <w:rsid w:val="007C29FF"/>
    <w:rsid w:val="007C3F03"/>
    <w:rsid w:val="007C4007"/>
    <w:rsid w:val="007C49D2"/>
    <w:rsid w:val="007C4A33"/>
    <w:rsid w:val="007C7039"/>
    <w:rsid w:val="007C78A4"/>
    <w:rsid w:val="007D02CF"/>
    <w:rsid w:val="007D084B"/>
    <w:rsid w:val="007D08E2"/>
    <w:rsid w:val="007D0F50"/>
    <w:rsid w:val="007D1D70"/>
    <w:rsid w:val="007D21E6"/>
    <w:rsid w:val="007D32D6"/>
    <w:rsid w:val="007D33EF"/>
    <w:rsid w:val="007D3DB9"/>
    <w:rsid w:val="007D3F2B"/>
    <w:rsid w:val="007D3F73"/>
    <w:rsid w:val="007D5F53"/>
    <w:rsid w:val="007D5FF9"/>
    <w:rsid w:val="007D62E6"/>
    <w:rsid w:val="007D652E"/>
    <w:rsid w:val="007D6CCE"/>
    <w:rsid w:val="007D72FB"/>
    <w:rsid w:val="007D7322"/>
    <w:rsid w:val="007D737E"/>
    <w:rsid w:val="007D7DD5"/>
    <w:rsid w:val="007E0C95"/>
    <w:rsid w:val="007E103C"/>
    <w:rsid w:val="007E12F5"/>
    <w:rsid w:val="007E1397"/>
    <w:rsid w:val="007E1D34"/>
    <w:rsid w:val="007E2265"/>
    <w:rsid w:val="007E2931"/>
    <w:rsid w:val="007E2977"/>
    <w:rsid w:val="007E2AF6"/>
    <w:rsid w:val="007E2B09"/>
    <w:rsid w:val="007E5ADF"/>
    <w:rsid w:val="007E6362"/>
    <w:rsid w:val="007E7285"/>
    <w:rsid w:val="007E73D5"/>
    <w:rsid w:val="007E7801"/>
    <w:rsid w:val="007F07B2"/>
    <w:rsid w:val="007F0BDC"/>
    <w:rsid w:val="007F109D"/>
    <w:rsid w:val="007F28DA"/>
    <w:rsid w:val="007F3F52"/>
    <w:rsid w:val="007F4638"/>
    <w:rsid w:val="007F4E48"/>
    <w:rsid w:val="007F65DB"/>
    <w:rsid w:val="007F66DD"/>
    <w:rsid w:val="007F739B"/>
    <w:rsid w:val="007F7C9A"/>
    <w:rsid w:val="008000FE"/>
    <w:rsid w:val="008001C1"/>
    <w:rsid w:val="00801818"/>
    <w:rsid w:val="00802C9C"/>
    <w:rsid w:val="008030CC"/>
    <w:rsid w:val="00803590"/>
    <w:rsid w:val="00804B5C"/>
    <w:rsid w:val="00805133"/>
    <w:rsid w:val="00805C9A"/>
    <w:rsid w:val="008066B7"/>
    <w:rsid w:val="00806A34"/>
    <w:rsid w:val="00806E6C"/>
    <w:rsid w:val="00807784"/>
    <w:rsid w:val="00810246"/>
    <w:rsid w:val="008102AF"/>
    <w:rsid w:val="00810509"/>
    <w:rsid w:val="00810752"/>
    <w:rsid w:val="00810782"/>
    <w:rsid w:val="00810BEC"/>
    <w:rsid w:val="00810C54"/>
    <w:rsid w:val="00810DBD"/>
    <w:rsid w:val="00810E19"/>
    <w:rsid w:val="00811856"/>
    <w:rsid w:val="0081249B"/>
    <w:rsid w:val="00812CAB"/>
    <w:rsid w:val="00813659"/>
    <w:rsid w:val="008151F2"/>
    <w:rsid w:val="00817B70"/>
    <w:rsid w:val="00820A40"/>
    <w:rsid w:val="00820FC6"/>
    <w:rsid w:val="008210AC"/>
    <w:rsid w:val="0082155E"/>
    <w:rsid w:val="0082157C"/>
    <w:rsid w:val="00822FF8"/>
    <w:rsid w:val="0082325B"/>
    <w:rsid w:val="0082405B"/>
    <w:rsid w:val="008240E1"/>
    <w:rsid w:val="008243E5"/>
    <w:rsid w:val="008249A7"/>
    <w:rsid w:val="00824F72"/>
    <w:rsid w:val="00825815"/>
    <w:rsid w:val="00825CF2"/>
    <w:rsid w:val="00825DFC"/>
    <w:rsid w:val="0082736E"/>
    <w:rsid w:val="008276BE"/>
    <w:rsid w:val="008279D4"/>
    <w:rsid w:val="0083000E"/>
    <w:rsid w:val="00830064"/>
    <w:rsid w:val="00830360"/>
    <w:rsid w:val="0083171E"/>
    <w:rsid w:val="008323C3"/>
    <w:rsid w:val="00832570"/>
    <w:rsid w:val="00832A0F"/>
    <w:rsid w:val="00834469"/>
    <w:rsid w:val="00834CA0"/>
    <w:rsid w:val="00835454"/>
    <w:rsid w:val="00836264"/>
    <w:rsid w:val="0083670D"/>
    <w:rsid w:val="00837797"/>
    <w:rsid w:val="008409EF"/>
    <w:rsid w:val="0084127A"/>
    <w:rsid w:val="0084249C"/>
    <w:rsid w:val="0084275F"/>
    <w:rsid w:val="00842BB4"/>
    <w:rsid w:val="008430D3"/>
    <w:rsid w:val="00843424"/>
    <w:rsid w:val="008435E0"/>
    <w:rsid w:val="008438E6"/>
    <w:rsid w:val="00843DD0"/>
    <w:rsid w:val="0084567A"/>
    <w:rsid w:val="00845741"/>
    <w:rsid w:val="00845B01"/>
    <w:rsid w:val="00845CEA"/>
    <w:rsid w:val="00846014"/>
    <w:rsid w:val="00846044"/>
    <w:rsid w:val="00846B8C"/>
    <w:rsid w:val="0084723C"/>
    <w:rsid w:val="00847F5E"/>
    <w:rsid w:val="008507A4"/>
    <w:rsid w:val="008509AC"/>
    <w:rsid w:val="00850C98"/>
    <w:rsid w:val="008512C8"/>
    <w:rsid w:val="0085194F"/>
    <w:rsid w:val="00851964"/>
    <w:rsid w:val="00851D12"/>
    <w:rsid w:val="0085376D"/>
    <w:rsid w:val="00853CE2"/>
    <w:rsid w:val="0085424F"/>
    <w:rsid w:val="0085470D"/>
    <w:rsid w:val="00855075"/>
    <w:rsid w:val="008553B0"/>
    <w:rsid w:val="008554E7"/>
    <w:rsid w:val="008556AA"/>
    <w:rsid w:val="0085664D"/>
    <w:rsid w:val="008567E4"/>
    <w:rsid w:val="00857485"/>
    <w:rsid w:val="00857DEF"/>
    <w:rsid w:val="00860977"/>
    <w:rsid w:val="00860B5D"/>
    <w:rsid w:val="00860BCB"/>
    <w:rsid w:val="008611D8"/>
    <w:rsid w:val="00861340"/>
    <w:rsid w:val="0086282D"/>
    <w:rsid w:val="0086316B"/>
    <w:rsid w:val="0086316F"/>
    <w:rsid w:val="00863202"/>
    <w:rsid w:val="00863967"/>
    <w:rsid w:val="00864DAB"/>
    <w:rsid w:val="008650FE"/>
    <w:rsid w:val="00866214"/>
    <w:rsid w:val="00866305"/>
    <w:rsid w:val="008663E2"/>
    <w:rsid w:val="0086655D"/>
    <w:rsid w:val="008672C7"/>
    <w:rsid w:val="00867BB2"/>
    <w:rsid w:val="00867D44"/>
    <w:rsid w:val="00867DF5"/>
    <w:rsid w:val="00867F13"/>
    <w:rsid w:val="008703FF"/>
    <w:rsid w:val="00870508"/>
    <w:rsid w:val="008714E7"/>
    <w:rsid w:val="0087155B"/>
    <w:rsid w:val="00871F12"/>
    <w:rsid w:val="0087225B"/>
    <w:rsid w:val="00872AE4"/>
    <w:rsid w:val="00872DD5"/>
    <w:rsid w:val="008740D9"/>
    <w:rsid w:val="0087437F"/>
    <w:rsid w:val="00874E01"/>
    <w:rsid w:val="0087538C"/>
    <w:rsid w:val="008754A1"/>
    <w:rsid w:val="00875647"/>
    <w:rsid w:val="00875FFE"/>
    <w:rsid w:val="00876A7B"/>
    <w:rsid w:val="00876E56"/>
    <w:rsid w:val="0087717F"/>
    <w:rsid w:val="008803CB"/>
    <w:rsid w:val="00881913"/>
    <w:rsid w:val="00881997"/>
    <w:rsid w:val="00881A02"/>
    <w:rsid w:val="00882F75"/>
    <w:rsid w:val="00882F98"/>
    <w:rsid w:val="00883401"/>
    <w:rsid w:val="008835BF"/>
    <w:rsid w:val="0088425F"/>
    <w:rsid w:val="0088450A"/>
    <w:rsid w:val="00884C41"/>
    <w:rsid w:val="0088631D"/>
    <w:rsid w:val="0088656F"/>
    <w:rsid w:val="008866ED"/>
    <w:rsid w:val="008869E4"/>
    <w:rsid w:val="00887462"/>
    <w:rsid w:val="00887E83"/>
    <w:rsid w:val="00890219"/>
    <w:rsid w:val="008903DC"/>
    <w:rsid w:val="00890DD6"/>
    <w:rsid w:val="00891063"/>
    <w:rsid w:val="00891B89"/>
    <w:rsid w:val="0089212F"/>
    <w:rsid w:val="008921AE"/>
    <w:rsid w:val="00893447"/>
    <w:rsid w:val="00893576"/>
    <w:rsid w:val="00893752"/>
    <w:rsid w:val="008949EC"/>
    <w:rsid w:val="00894CBC"/>
    <w:rsid w:val="00895296"/>
    <w:rsid w:val="00895D6F"/>
    <w:rsid w:val="0089681F"/>
    <w:rsid w:val="00896B4A"/>
    <w:rsid w:val="00897C9A"/>
    <w:rsid w:val="00897F0C"/>
    <w:rsid w:val="008A05CF"/>
    <w:rsid w:val="008A0EC5"/>
    <w:rsid w:val="008A1744"/>
    <w:rsid w:val="008A1E92"/>
    <w:rsid w:val="008A1EE1"/>
    <w:rsid w:val="008A2520"/>
    <w:rsid w:val="008A2561"/>
    <w:rsid w:val="008A2AE0"/>
    <w:rsid w:val="008A2DB0"/>
    <w:rsid w:val="008A3127"/>
    <w:rsid w:val="008A330A"/>
    <w:rsid w:val="008A4404"/>
    <w:rsid w:val="008A45C5"/>
    <w:rsid w:val="008A4860"/>
    <w:rsid w:val="008A4B1B"/>
    <w:rsid w:val="008A4E43"/>
    <w:rsid w:val="008A563E"/>
    <w:rsid w:val="008A5692"/>
    <w:rsid w:val="008A5916"/>
    <w:rsid w:val="008A6019"/>
    <w:rsid w:val="008A6079"/>
    <w:rsid w:val="008A6617"/>
    <w:rsid w:val="008A6E55"/>
    <w:rsid w:val="008A717A"/>
    <w:rsid w:val="008B0629"/>
    <w:rsid w:val="008B1137"/>
    <w:rsid w:val="008B32B5"/>
    <w:rsid w:val="008B4529"/>
    <w:rsid w:val="008B5122"/>
    <w:rsid w:val="008B5AE8"/>
    <w:rsid w:val="008C0448"/>
    <w:rsid w:val="008C208D"/>
    <w:rsid w:val="008C215E"/>
    <w:rsid w:val="008C2251"/>
    <w:rsid w:val="008C23B8"/>
    <w:rsid w:val="008C274E"/>
    <w:rsid w:val="008C296B"/>
    <w:rsid w:val="008C3308"/>
    <w:rsid w:val="008C3494"/>
    <w:rsid w:val="008C36AC"/>
    <w:rsid w:val="008C3752"/>
    <w:rsid w:val="008C37BE"/>
    <w:rsid w:val="008C41D6"/>
    <w:rsid w:val="008C4919"/>
    <w:rsid w:val="008C5189"/>
    <w:rsid w:val="008C6199"/>
    <w:rsid w:val="008C6549"/>
    <w:rsid w:val="008C6974"/>
    <w:rsid w:val="008D0242"/>
    <w:rsid w:val="008D0AEC"/>
    <w:rsid w:val="008D0F0B"/>
    <w:rsid w:val="008D1209"/>
    <w:rsid w:val="008D17C0"/>
    <w:rsid w:val="008D180B"/>
    <w:rsid w:val="008D2B5D"/>
    <w:rsid w:val="008D3B45"/>
    <w:rsid w:val="008D3CAF"/>
    <w:rsid w:val="008D41E7"/>
    <w:rsid w:val="008D5172"/>
    <w:rsid w:val="008D541A"/>
    <w:rsid w:val="008D5D08"/>
    <w:rsid w:val="008D6108"/>
    <w:rsid w:val="008D632B"/>
    <w:rsid w:val="008D6A81"/>
    <w:rsid w:val="008D7150"/>
    <w:rsid w:val="008D7292"/>
    <w:rsid w:val="008D74FB"/>
    <w:rsid w:val="008D7EA0"/>
    <w:rsid w:val="008D7F73"/>
    <w:rsid w:val="008E0C3C"/>
    <w:rsid w:val="008E0D06"/>
    <w:rsid w:val="008E0D3E"/>
    <w:rsid w:val="008E0E67"/>
    <w:rsid w:val="008E116F"/>
    <w:rsid w:val="008E1197"/>
    <w:rsid w:val="008E196C"/>
    <w:rsid w:val="008E221A"/>
    <w:rsid w:val="008E323F"/>
    <w:rsid w:val="008E413D"/>
    <w:rsid w:val="008E42AF"/>
    <w:rsid w:val="008E499E"/>
    <w:rsid w:val="008E4BB0"/>
    <w:rsid w:val="008E4CA6"/>
    <w:rsid w:val="008E4F55"/>
    <w:rsid w:val="008E5EB5"/>
    <w:rsid w:val="008E618C"/>
    <w:rsid w:val="008E62E5"/>
    <w:rsid w:val="008E64EC"/>
    <w:rsid w:val="008E6911"/>
    <w:rsid w:val="008E6C13"/>
    <w:rsid w:val="008E7ECD"/>
    <w:rsid w:val="008F011A"/>
    <w:rsid w:val="008F1154"/>
    <w:rsid w:val="008F1F7A"/>
    <w:rsid w:val="008F2271"/>
    <w:rsid w:val="008F3184"/>
    <w:rsid w:val="008F41C5"/>
    <w:rsid w:val="008F43CE"/>
    <w:rsid w:val="008F4922"/>
    <w:rsid w:val="008F5430"/>
    <w:rsid w:val="008F5AFC"/>
    <w:rsid w:val="008F5C55"/>
    <w:rsid w:val="008F62A7"/>
    <w:rsid w:val="008F63EF"/>
    <w:rsid w:val="008F6D25"/>
    <w:rsid w:val="008F6DE8"/>
    <w:rsid w:val="008F6E13"/>
    <w:rsid w:val="0090040B"/>
    <w:rsid w:val="0090049C"/>
    <w:rsid w:val="009019C2"/>
    <w:rsid w:val="00902155"/>
    <w:rsid w:val="0090252B"/>
    <w:rsid w:val="0090298D"/>
    <w:rsid w:val="00902ADE"/>
    <w:rsid w:val="00902D1E"/>
    <w:rsid w:val="0090381C"/>
    <w:rsid w:val="00903C82"/>
    <w:rsid w:val="00904338"/>
    <w:rsid w:val="00904447"/>
    <w:rsid w:val="009049C1"/>
    <w:rsid w:val="00904A4B"/>
    <w:rsid w:val="00905185"/>
    <w:rsid w:val="00905D32"/>
    <w:rsid w:val="00906114"/>
    <w:rsid w:val="0090666A"/>
    <w:rsid w:val="00907719"/>
    <w:rsid w:val="00907EDE"/>
    <w:rsid w:val="00907F8A"/>
    <w:rsid w:val="00910214"/>
    <w:rsid w:val="00911743"/>
    <w:rsid w:val="00912293"/>
    <w:rsid w:val="00913527"/>
    <w:rsid w:val="00913ADF"/>
    <w:rsid w:val="00913C5B"/>
    <w:rsid w:val="00914660"/>
    <w:rsid w:val="00915766"/>
    <w:rsid w:val="009159BE"/>
    <w:rsid w:val="00915AB8"/>
    <w:rsid w:val="00915E70"/>
    <w:rsid w:val="0091620E"/>
    <w:rsid w:val="0092044C"/>
    <w:rsid w:val="0092082A"/>
    <w:rsid w:val="00920B6D"/>
    <w:rsid w:val="0092171D"/>
    <w:rsid w:val="00922401"/>
    <w:rsid w:val="00922B93"/>
    <w:rsid w:val="00924A61"/>
    <w:rsid w:val="009260FB"/>
    <w:rsid w:val="00926F8A"/>
    <w:rsid w:val="009271DA"/>
    <w:rsid w:val="0092733E"/>
    <w:rsid w:val="00927895"/>
    <w:rsid w:val="00927C0A"/>
    <w:rsid w:val="00930C1C"/>
    <w:rsid w:val="00931263"/>
    <w:rsid w:val="009318B6"/>
    <w:rsid w:val="00931AF7"/>
    <w:rsid w:val="00932188"/>
    <w:rsid w:val="00933310"/>
    <w:rsid w:val="00933378"/>
    <w:rsid w:val="009340A8"/>
    <w:rsid w:val="0093411B"/>
    <w:rsid w:val="009347F9"/>
    <w:rsid w:val="009352E3"/>
    <w:rsid w:val="00935B2D"/>
    <w:rsid w:val="00935F08"/>
    <w:rsid w:val="00936990"/>
    <w:rsid w:val="009369C7"/>
    <w:rsid w:val="00936ABD"/>
    <w:rsid w:val="0093782C"/>
    <w:rsid w:val="009378EF"/>
    <w:rsid w:val="0094038D"/>
    <w:rsid w:val="00941E72"/>
    <w:rsid w:val="00942095"/>
    <w:rsid w:val="0094383B"/>
    <w:rsid w:val="009449F5"/>
    <w:rsid w:val="0094533E"/>
    <w:rsid w:val="00945437"/>
    <w:rsid w:val="009456CC"/>
    <w:rsid w:val="00945F4A"/>
    <w:rsid w:val="00946A95"/>
    <w:rsid w:val="00947044"/>
    <w:rsid w:val="00947B71"/>
    <w:rsid w:val="00947BE2"/>
    <w:rsid w:val="0095106D"/>
    <w:rsid w:val="009511F7"/>
    <w:rsid w:val="00952541"/>
    <w:rsid w:val="009529FB"/>
    <w:rsid w:val="00953CCD"/>
    <w:rsid w:val="009547BC"/>
    <w:rsid w:val="00954A6C"/>
    <w:rsid w:val="009557F5"/>
    <w:rsid w:val="00955A0F"/>
    <w:rsid w:val="00956811"/>
    <w:rsid w:val="00956DB0"/>
    <w:rsid w:val="0095797B"/>
    <w:rsid w:val="00960138"/>
    <w:rsid w:val="0096021E"/>
    <w:rsid w:val="009602CF"/>
    <w:rsid w:val="00960513"/>
    <w:rsid w:val="00961B13"/>
    <w:rsid w:val="00961BF6"/>
    <w:rsid w:val="00962F97"/>
    <w:rsid w:val="00963007"/>
    <w:rsid w:val="009630D6"/>
    <w:rsid w:val="009634A9"/>
    <w:rsid w:val="00963A45"/>
    <w:rsid w:val="00963D64"/>
    <w:rsid w:val="00964124"/>
    <w:rsid w:val="009648D5"/>
    <w:rsid w:val="00965856"/>
    <w:rsid w:val="00965AFB"/>
    <w:rsid w:val="00966A51"/>
    <w:rsid w:val="00967349"/>
    <w:rsid w:val="00967A29"/>
    <w:rsid w:val="009701AD"/>
    <w:rsid w:val="00970D02"/>
    <w:rsid w:val="00970E1F"/>
    <w:rsid w:val="00971094"/>
    <w:rsid w:val="00971255"/>
    <w:rsid w:val="0097144E"/>
    <w:rsid w:val="009724FA"/>
    <w:rsid w:val="00973882"/>
    <w:rsid w:val="00973A7A"/>
    <w:rsid w:val="00973D34"/>
    <w:rsid w:val="00974C2B"/>
    <w:rsid w:val="00974CB8"/>
    <w:rsid w:val="009753A2"/>
    <w:rsid w:val="00975AF9"/>
    <w:rsid w:val="00975B1B"/>
    <w:rsid w:val="00975B34"/>
    <w:rsid w:val="00975B74"/>
    <w:rsid w:val="00977144"/>
    <w:rsid w:val="00980372"/>
    <w:rsid w:val="00980CF1"/>
    <w:rsid w:val="009829F4"/>
    <w:rsid w:val="00982E0F"/>
    <w:rsid w:val="0098366B"/>
    <w:rsid w:val="009838F8"/>
    <w:rsid w:val="00983AEE"/>
    <w:rsid w:val="00983B4C"/>
    <w:rsid w:val="00983D32"/>
    <w:rsid w:val="00983E55"/>
    <w:rsid w:val="00984425"/>
    <w:rsid w:val="00984624"/>
    <w:rsid w:val="00984C4C"/>
    <w:rsid w:val="00984FAB"/>
    <w:rsid w:val="00985AA6"/>
    <w:rsid w:val="00985B6D"/>
    <w:rsid w:val="00985DF6"/>
    <w:rsid w:val="00986FEA"/>
    <w:rsid w:val="0098703C"/>
    <w:rsid w:val="00987084"/>
    <w:rsid w:val="009905F1"/>
    <w:rsid w:val="009906F9"/>
    <w:rsid w:val="009907FA"/>
    <w:rsid w:val="00990CED"/>
    <w:rsid w:val="009910F3"/>
    <w:rsid w:val="00991FAB"/>
    <w:rsid w:val="00992D9B"/>
    <w:rsid w:val="00993235"/>
    <w:rsid w:val="009934DF"/>
    <w:rsid w:val="00994088"/>
    <w:rsid w:val="009957DC"/>
    <w:rsid w:val="00995AD5"/>
    <w:rsid w:val="00995FDD"/>
    <w:rsid w:val="00996156"/>
    <w:rsid w:val="009966D3"/>
    <w:rsid w:val="00996A87"/>
    <w:rsid w:val="00997C77"/>
    <w:rsid w:val="009A0680"/>
    <w:rsid w:val="009A0685"/>
    <w:rsid w:val="009A08FD"/>
    <w:rsid w:val="009A10DC"/>
    <w:rsid w:val="009A1126"/>
    <w:rsid w:val="009A125A"/>
    <w:rsid w:val="009A1B54"/>
    <w:rsid w:val="009A3406"/>
    <w:rsid w:val="009A3DD2"/>
    <w:rsid w:val="009A4218"/>
    <w:rsid w:val="009A4383"/>
    <w:rsid w:val="009A4866"/>
    <w:rsid w:val="009A49C3"/>
    <w:rsid w:val="009A4B3E"/>
    <w:rsid w:val="009A550A"/>
    <w:rsid w:val="009A5E08"/>
    <w:rsid w:val="009A66D7"/>
    <w:rsid w:val="009A6EC6"/>
    <w:rsid w:val="009A7685"/>
    <w:rsid w:val="009B1026"/>
    <w:rsid w:val="009B1395"/>
    <w:rsid w:val="009B15DA"/>
    <w:rsid w:val="009B252D"/>
    <w:rsid w:val="009B29FB"/>
    <w:rsid w:val="009B2A4C"/>
    <w:rsid w:val="009B2C8C"/>
    <w:rsid w:val="009B3731"/>
    <w:rsid w:val="009B3D83"/>
    <w:rsid w:val="009B3F70"/>
    <w:rsid w:val="009B4CE7"/>
    <w:rsid w:val="009B4D63"/>
    <w:rsid w:val="009B5573"/>
    <w:rsid w:val="009B5A33"/>
    <w:rsid w:val="009B5CEF"/>
    <w:rsid w:val="009B5FB0"/>
    <w:rsid w:val="009B61AC"/>
    <w:rsid w:val="009B6283"/>
    <w:rsid w:val="009B70BA"/>
    <w:rsid w:val="009B73DC"/>
    <w:rsid w:val="009B7E36"/>
    <w:rsid w:val="009C03D3"/>
    <w:rsid w:val="009C0F8E"/>
    <w:rsid w:val="009C1677"/>
    <w:rsid w:val="009C1A47"/>
    <w:rsid w:val="009C1A70"/>
    <w:rsid w:val="009C1F5D"/>
    <w:rsid w:val="009C2E81"/>
    <w:rsid w:val="009C323C"/>
    <w:rsid w:val="009C520F"/>
    <w:rsid w:val="009C6526"/>
    <w:rsid w:val="009C6A96"/>
    <w:rsid w:val="009C6B76"/>
    <w:rsid w:val="009C7A79"/>
    <w:rsid w:val="009C7B8F"/>
    <w:rsid w:val="009C7D7C"/>
    <w:rsid w:val="009D03A8"/>
    <w:rsid w:val="009D0558"/>
    <w:rsid w:val="009D06CD"/>
    <w:rsid w:val="009D0ED5"/>
    <w:rsid w:val="009D176F"/>
    <w:rsid w:val="009D1C66"/>
    <w:rsid w:val="009D1D0D"/>
    <w:rsid w:val="009D23D4"/>
    <w:rsid w:val="009D2403"/>
    <w:rsid w:val="009D252F"/>
    <w:rsid w:val="009D2CF7"/>
    <w:rsid w:val="009D369B"/>
    <w:rsid w:val="009D390E"/>
    <w:rsid w:val="009D40D5"/>
    <w:rsid w:val="009D45BE"/>
    <w:rsid w:val="009D4910"/>
    <w:rsid w:val="009D5653"/>
    <w:rsid w:val="009D5B4F"/>
    <w:rsid w:val="009D6639"/>
    <w:rsid w:val="009D6F48"/>
    <w:rsid w:val="009D72C1"/>
    <w:rsid w:val="009D74ED"/>
    <w:rsid w:val="009D7C25"/>
    <w:rsid w:val="009E03D8"/>
    <w:rsid w:val="009E0DBD"/>
    <w:rsid w:val="009E0E2C"/>
    <w:rsid w:val="009E13F3"/>
    <w:rsid w:val="009E14BE"/>
    <w:rsid w:val="009E2FBB"/>
    <w:rsid w:val="009E30E3"/>
    <w:rsid w:val="009E34D2"/>
    <w:rsid w:val="009E3818"/>
    <w:rsid w:val="009E4AF4"/>
    <w:rsid w:val="009E5B73"/>
    <w:rsid w:val="009E5E65"/>
    <w:rsid w:val="009E6038"/>
    <w:rsid w:val="009E61D6"/>
    <w:rsid w:val="009E6259"/>
    <w:rsid w:val="009E6D52"/>
    <w:rsid w:val="009E7196"/>
    <w:rsid w:val="009E7605"/>
    <w:rsid w:val="009E7B80"/>
    <w:rsid w:val="009F1823"/>
    <w:rsid w:val="009F1D87"/>
    <w:rsid w:val="009F22D9"/>
    <w:rsid w:val="009F2525"/>
    <w:rsid w:val="009F28CA"/>
    <w:rsid w:val="009F2B30"/>
    <w:rsid w:val="009F3042"/>
    <w:rsid w:val="009F37A0"/>
    <w:rsid w:val="009F46E2"/>
    <w:rsid w:val="009F4858"/>
    <w:rsid w:val="009F4E1D"/>
    <w:rsid w:val="009F4E80"/>
    <w:rsid w:val="009F5602"/>
    <w:rsid w:val="009F5C18"/>
    <w:rsid w:val="009F5C41"/>
    <w:rsid w:val="009F72A2"/>
    <w:rsid w:val="009F72B8"/>
    <w:rsid w:val="009F72D3"/>
    <w:rsid w:val="009F7F82"/>
    <w:rsid w:val="00A0037E"/>
    <w:rsid w:val="00A00A76"/>
    <w:rsid w:val="00A00C1F"/>
    <w:rsid w:val="00A010E2"/>
    <w:rsid w:val="00A01132"/>
    <w:rsid w:val="00A0118F"/>
    <w:rsid w:val="00A019BB"/>
    <w:rsid w:val="00A01B9D"/>
    <w:rsid w:val="00A02246"/>
    <w:rsid w:val="00A0277C"/>
    <w:rsid w:val="00A02851"/>
    <w:rsid w:val="00A02E1D"/>
    <w:rsid w:val="00A03855"/>
    <w:rsid w:val="00A04431"/>
    <w:rsid w:val="00A04CC3"/>
    <w:rsid w:val="00A050BA"/>
    <w:rsid w:val="00A051F2"/>
    <w:rsid w:val="00A0582F"/>
    <w:rsid w:val="00A05D36"/>
    <w:rsid w:val="00A06120"/>
    <w:rsid w:val="00A06377"/>
    <w:rsid w:val="00A06DD7"/>
    <w:rsid w:val="00A0733D"/>
    <w:rsid w:val="00A077A8"/>
    <w:rsid w:val="00A077CA"/>
    <w:rsid w:val="00A07EB7"/>
    <w:rsid w:val="00A07FE0"/>
    <w:rsid w:val="00A104FF"/>
    <w:rsid w:val="00A10DD3"/>
    <w:rsid w:val="00A11BC9"/>
    <w:rsid w:val="00A121C0"/>
    <w:rsid w:val="00A12437"/>
    <w:rsid w:val="00A124A1"/>
    <w:rsid w:val="00A12511"/>
    <w:rsid w:val="00A14940"/>
    <w:rsid w:val="00A156D5"/>
    <w:rsid w:val="00A15D9B"/>
    <w:rsid w:val="00A169AC"/>
    <w:rsid w:val="00A16F8D"/>
    <w:rsid w:val="00A171A7"/>
    <w:rsid w:val="00A17B8B"/>
    <w:rsid w:val="00A200B9"/>
    <w:rsid w:val="00A20643"/>
    <w:rsid w:val="00A206C6"/>
    <w:rsid w:val="00A20B24"/>
    <w:rsid w:val="00A21550"/>
    <w:rsid w:val="00A216A6"/>
    <w:rsid w:val="00A21D40"/>
    <w:rsid w:val="00A22069"/>
    <w:rsid w:val="00A22A7D"/>
    <w:rsid w:val="00A22FD2"/>
    <w:rsid w:val="00A2364E"/>
    <w:rsid w:val="00A23EC0"/>
    <w:rsid w:val="00A245ED"/>
    <w:rsid w:val="00A24992"/>
    <w:rsid w:val="00A25B9A"/>
    <w:rsid w:val="00A2664C"/>
    <w:rsid w:val="00A2743E"/>
    <w:rsid w:val="00A278B8"/>
    <w:rsid w:val="00A304ED"/>
    <w:rsid w:val="00A3083B"/>
    <w:rsid w:val="00A30979"/>
    <w:rsid w:val="00A31E5C"/>
    <w:rsid w:val="00A31F2D"/>
    <w:rsid w:val="00A32067"/>
    <w:rsid w:val="00A32C05"/>
    <w:rsid w:val="00A33076"/>
    <w:rsid w:val="00A338ED"/>
    <w:rsid w:val="00A344B4"/>
    <w:rsid w:val="00A344DB"/>
    <w:rsid w:val="00A347EA"/>
    <w:rsid w:val="00A34D49"/>
    <w:rsid w:val="00A34D71"/>
    <w:rsid w:val="00A35027"/>
    <w:rsid w:val="00A371A6"/>
    <w:rsid w:val="00A3772F"/>
    <w:rsid w:val="00A4062A"/>
    <w:rsid w:val="00A40C1B"/>
    <w:rsid w:val="00A40EFE"/>
    <w:rsid w:val="00A41643"/>
    <w:rsid w:val="00A41BE9"/>
    <w:rsid w:val="00A41E24"/>
    <w:rsid w:val="00A4244F"/>
    <w:rsid w:val="00A4259F"/>
    <w:rsid w:val="00A42C00"/>
    <w:rsid w:val="00A43E7E"/>
    <w:rsid w:val="00A43EFD"/>
    <w:rsid w:val="00A44D09"/>
    <w:rsid w:val="00A44E8A"/>
    <w:rsid w:val="00A45082"/>
    <w:rsid w:val="00A45BD8"/>
    <w:rsid w:val="00A45C89"/>
    <w:rsid w:val="00A45D79"/>
    <w:rsid w:val="00A46FE8"/>
    <w:rsid w:val="00A4743C"/>
    <w:rsid w:val="00A47A4A"/>
    <w:rsid w:val="00A47E53"/>
    <w:rsid w:val="00A52E76"/>
    <w:rsid w:val="00A52F69"/>
    <w:rsid w:val="00A53383"/>
    <w:rsid w:val="00A53583"/>
    <w:rsid w:val="00A53907"/>
    <w:rsid w:val="00A53C62"/>
    <w:rsid w:val="00A54672"/>
    <w:rsid w:val="00A5483F"/>
    <w:rsid w:val="00A54A00"/>
    <w:rsid w:val="00A54CB2"/>
    <w:rsid w:val="00A54DBC"/>
    <w:rsid w:val="00A55723"/>
    <w:rsid w:val="00A55EEA"/>
    <w:rsid w:val="00A56E17"/>
    <w:rsid w:val="00A60FC1"/>
    <w:rsid w:val="00A610C1"/>
    <w:rsid w:val="00A62833"/>
    <w:rsid w:val="00A62ABC"/>
    <w:rsid w:val="00A63075"/>
    <w:rsid w:val="00A63105"/>
    <w:rsid w:val="00A63479"/>
    <w:rsid w:val="00A634A9"/>
    <w:rsid w:val="00A6359D"/>
    <w:rsid w:val="00A638A9"/>
    <w:rsid w:val="00A63D1B"/>
    <w:rsid w:val="00A63D98"/>
    <w:rsid w:val="00A6486E"/>
    <w:rsid w:val="00A66A3E"/>
    <w:rsid w:val="00A66CBE"/>
    <w:rsid w:val="00A67028"/>
    <w:rsid w:val="00A67263"/>
    <w:rsid w:val="00A67F7C"/>
    <w:rsid w:val="00A7028D"/>
    <w:rsid w:val="00A70871"/>
    <w:rsid w:val="00A709EF"/>
    <w:rsid w:val="00A70C1C"/>
    <w:rsid w:val="00A71C8C"/>
    <w:rsid w:val="00A71CE1"/>
    <w:rsid w:val="00A72A64"/>
    <w:rsid w:val="00A732DD"/>
    <w:rsid w:val="00A73E31"/>
    <w:rsid w:val="00A740A5"/>
    <w:rsid w:val="00A743E1"/>
    <w:rsid w:val="00A74A5D"/>
    <w:rsid w:val="00A74BB2"/>
    <w:rsid w:val="00A758A5"/>
    <w:rsid w:val="00A75CCD"/>
    <w:rsid w:val="00A76214"/>
    <w:rsid w:val="00A7708C"/>
    <w:rsid w:val="00A7724A"/>
    <w:rsid w:val="00A7793E"/>
    <w:rsid w:val="00A77E0C"/>
    <w:rsid w:val="00A80273"/>
    <w:rsid w:val="00A80CE0"/>
    <w:rsid w:val="00A80DCA"/>
    <w:rsid w:val="00A81245"/>
    <w:rsid w:val="00A8365E"/>
    <w:rsid w:val="00A83AA9"/>
    <w:rsid w:val="00A83B2B"/>
    <w:rsid w:val="00A84A46"/>
    <w:rsid w:val="00A84F5D"/>
    <w:rsid w:val="00A85503"/>
    <w:rsid w:val="00A87691"/>
    <w:rsid w:val="00A87F4B"/>
    <w:rsid w:val="00A87F7E"/>
    <w:rsid w:val="00A90695"/>
    <w:rsid w:val="00A90B65"/>
    <w:rsid w:val="00A91D5D"/>
    <w:rsid w:val="00A91EA3"/>
    <w:rsid w:val="00A92226"/>
    <w:rsid w:val="00A93147"/>
    <w:rsid w:val="00A94A4A"/>
    <w:rsid w:val="00A95447"/>
    <w:rsid w:val="00A9569E"/>
    <w:rsid w:val="00A95C57"/>
    <w:rsid w:val="00A95D38"/>
    <w:rsid w:val="00A967E3"/>
    <w:rsid w:val="00A96EED"/>
    <w:rsid w:val="00A9720F"/>
    <w:rsid w:val="00A9731C"/>
    <w:rsid w:val="00A974B3"/>
    <w:rsid w:val="00AA02D1"/>
    <w:rsid w:val="00AA102C"/>
    <w:rsid w:val="00AA129E"/>
    <w:rsid w:val="00AA13C0"/>
    <w:rsid w:val="00AA184C"/>
    <w:rsid w:val="00AA1F15"/>
    <w:rsid w:val="00AA2C25"/>
    <w:rsid w:val="00AA352E"/>
    <w:rsid w:val="00AA35E5"/>
    <w:rsid w:val="00AA38DE"/>
    <w:rsid w:val="00AA3BF9"/>
    <w:rsid w:val="00AA461C"/>
    <w:rsid w:val="00AA49C1"/>
    <w:rsid w:val="00AA4D27"/>
    <w:rsid w:val="00AA5076"/>
    <w:rsid w:val="00AB0A9E"/>
    <w:rsid w:val="00AB0E2B"/>
    <w:rsid w:val="00AB16AC"/>
    <w:rsid w:val="00AB17AD"/>
    <w:rsid w:val="00AB2383"/>
    <w:rsid w:val="00AB34CD"/>
    <w:rsid w:val="00AB46EF"/>
    <w:rsid w:val="00AB4874"/>
    <w:rsid w:val="00AB4CC1"/>
    <w:rsid w:val="00AB5292"/>
    <w:rsid w:val="00AB534C"/>
    <w:rsid w:val="00AB6C25"/>
    <w:rsid w:val="00AB7187"/>
    <w:rsid w:val="00AC05BC"/>
    <w:rsid w:val="00AC0A26"/>
    <w:rsid w:val="00AC11AF"/>
    <w:rsid w:val="00AC1FA7"/>
    <w:rsid w:val="00AC209D"/>
    <w:rsid w:val="00AC235E"/>
    <w:rsid w:val="00AC276C"/>
    <w:rsid w:val="00AC29B5"/>
    <w:rsid w:val="00AC2AC2"/>
    <w:rsid w:val="00AC3DFB"/>
    <w:rsid w:val="00AC4134"/>
    <w:rsid w:val="00AC4BC1"/>
    <w:rsid w:val="00AC4CD8"/>
    <w:rsid w:val="00AC4FCC"/>
    <w:rsid w:val="00AC56A3"/>
    <w:rsid w:val="00AC5829"/>
    <w:rsid w:val="00AC67BA"/>
    <w:rsid w:val="00AC6994"/>
    <w:rsid w:val="00AC6A02"/>
    <w:rsid w:val="00AC6BDF"/>
    <w:rsid w:val="00AC7606"/>
    <w:rsid w:val="00AC7D00"/>
    <w:rsid w:val="00AD02B4"/>
    <w:rsid w:val="00AD0E0B"/>
    <w:rsid w:val="00AD1322"/>
    <w:rsid w:val="00AD2F49"/>
    <w:rsid w:val="00AD3033"/>
    <w:rsid w:val="00AD31B1"/>
    <w:rsid w:val="00AD41DF"/>
    <w:rsid w:val="00AD4436"/>
    <w:rsid w:val="00AD53F2"/>
    <w:rsid w:val="00AD55F5"/>
    <w:rsid w:val="00AD6A9F"/>
    <w:rsid w:val="00AD7856"/>
    <w:rsid w:val="00AD7C9F"/>
    <w:rsid w:val="00AD7EFE"/>
    <w:rsid w:val="00AE0151"/>
    <w:rsid w:val="00AE0170"/>
    <w:rsid w:val="00AE0BED"/>
    <w:rsid w:val="00AE1854"/>
    <w:rsid w:val="00AE26F6"/>
    <w:rsid w:val="00AE340A"/>
    <w:rsid w:val="00AE47E4"/>
    <w:rsid w:val="00AE4990"/>
    <w:rsid w:val="00AE4EA9"/>
    <w:rsid w:val="00AE5A96"/>
    <w:rsid w:val="00AE612A"/>
    <w:rsid w:val="00AE63F4"/>
    <w:rsid w:val="00AE651B"/>
    <w:rsid w:val="00AE7556"/>
    <w:rsid w:val="00AF133B"/>
    <w:rsid w:val="00AF1DE8"/>
    <w:rsid w:val="00AF21A4"/>
    <w:rsid w:val="00AF4C7C"/>
    <w:rsid w:val="00AF4CFC"/>
    <w:rsid w:val="00AF5290"/>
    <w:rsid w:val="00AF57B1"/>
    <w:rsid w:val="00AF57C5"/>
    <w:rsid w:val="00AF60E1"/>
    <w:rsid w:val="00AF6439"/>
    <w:rsid w:val="00AF6565"/>
    <w:rsid w:val="00AF6652"/>
    <w:rsid w:val="00AF6E01"/>
    <w:rsid w:val="00AF70FB"/>
    <w:rsid w:val="00B0023D"/>
    <w:rsid w:val="00B008EB"/>
    <w:rsid w:val="00B00999"/>
    <w:rsid w:val="00B00A3B"/>
    <w:rsid w:val="00B00A51"/>
    <w:rsid w:val="00B00CF4"/>
    <w:rsid w:val="00B0149C"/>
    <w:rsid w:val="00B03218"/>
    <w:rsid w:val="00B0325A"/>
    <w:rsid w:val="00B036A5"/>
    <w:rsid w:val="00B037E2"/>
    <w:rsid w:val="00B03D17"/>
    <w:rsid w:val="00B03D90"/>
    <w:rsid w:val="00B04323"/>
    <w:rsid w:val="00B05181"/>
    <w:rsid w:val="00B06D13"/>
    <w:rsid w:val="00B071A7"/>
    <w:rsid w:val="00B07C92"/>
    <w:rsid w:val="00B11060"/>
    <w:rsid w:val="00B114F5"/>
    <w:rsid w:val="00B12757"/>
    <w:rsid w:val="00B14469"/>
    <w:rsid w:val="00B1574C"/>
    <w:rsid w:val="00B15757"/>
    <w:rsid w:val="00B169FD"/>
    <w:rsid w:val="00B1753B"/>
    <w:rsid w:val="00B20950"/>
    <w:rsid w:val="00B20FD4"/>
    <w:rsid w:val="00B21247"/>
    <w:rsid w:val="00B21D68"/>
    <w:rsid w:val="00B225A1"/>
    <w:rsid w:val="00B229D6"/>
    <w:rsid w:val="00B22ADB"/>
    <w:rsid w:val="00B22C02"/>
    <w:rsid w:val="00B23276"/>
    <w:rsid w:val="00B241E4"/>
    <w:rsid w:val="00B24DF9"/>
    <w:rsid w:val="00B250BF"/>
    <w:rsid w:val="00B2531F"/>
    <w:rsid w:val="00B2565B"/>
    <w:rsid w:val="00B25A91"/>
    <w:rsid w:val="00B26310"/>
    <w:rsid w:val="00B267D2"/>
    <w:rsid w:val="00B26A40"/>
    <w:rsid w:val="00B26E45"/>
    <w:rsid w:val="00B27208"/>
    <w:rsid w:val="00B2767F"/>
    <w:rsid w:val="00B27E59"/>
    <w:rsid w:val="00B300A3"/>
    <w:rsid w:val="00B305C3"/>
    <w:rsid w:val="00B308B5"/>
    <w:rsid w:val="00B31416"/>
    <w:rsid w:val="00B31656"/>
    <w:rsid w:val="00B31B64"/>
    <w:rsid w:val="00B3203F"/>
    <w:rsid w:val="00B322F7"/>
    <w:rsid w:val="00B3231F"/>
    <w:rsid w:val="00B3359A"/>
    <w:rsid w:val="00B33DC6"/>
    <w:rsid w:val="00B3415B"/>
    <w:rsid w:val="00B3443D"/>
    <w:rsid w:val="00B34B18"/>
    <w:rsid w:val="00B34E8D"/>
    <w:rsid w:val="00B3555A"/>
    <w:rsid w:val="00B35ED9"/>
    <w:rsid w:val="00B36307"/>
    <w:rsid w:val="00B3672A"/>
    <w:rsid w:val="00B40277"/>
    <w:rsid w:val="00B402BC"/>
    <w:rsid w:val="00B4114C"/>
    <w:rsid w:val="00B42EC6"/>
    <w:rsid w:val="00B43251"/>
    <w:rsid w:val="00B43563"/>
    <w:rsid w:val="00B44C4C"/>
    <w:rsid w:val="00B4561C"/>
    <w:rsid w:val="00B45AC5"/>
    <w:rsid w:val="00B45D0D"/>
    <w:rsid w:val="00B46276"/>
    <w:rsid w:val="00B46D0C"/>
    <w:rsid w:val="00B46FE4"/>
    <w:rsid w:val="00B47338"/>
    <w:rsid w:val="00B473DA"/>
    <w:rsid w:val="00B47765"/>
    <w:rsid w:val="00B47786"/>
    <w:rsid w:val="00B47924"/>
    <w:rsid w:val="00B47BEC"/>
    <w:rsid w:val="00B47EF5"/>
    <w:rsid w:val="00B501C4"/>
    <w:rsid w:val="00B5094A"/>
    <w:rsid w:val="00B51241"/>
    <w:rsid w:val="00B513F7"/>
    <w:rsid w:val="00B51B03"/>
    <w:rsid w:val="00B523C8"/>
    <w:rsid w:val="00B52892"/>
    <w:rsid w:val="00B52EB6"/>
    <w:rsid w:val="00B531E4"/>
    <w:rsid w:val="00B53AB6"/>
    <w:rsid w:val="00B549EA"/>
    <w:rsid w:val="00B54A91"/>
    <w:rsid w:val="00B5560C"/>
    <w:rsid w:val="00B55FBB"/>
    <w:rsid w:val="00B55FC2"/>
    <w:rsid w:val="00B56320"/>
    <w:rsid w:val="00B56887"/>
    <w:rsid w:val="00B56AE6"/>
    <w:rsid w:val="00B57734"/>
    <w:rsid w:val="00B577FE"/>
    <w:rsid w:val="00B60753"/>
    <w:rsid w:val="00B60A32"/>
    <w:rsid w:val="00B6159B"/>
    <w:rsid w:val="00B61604"/>
    <w:rsid w:val="00B62BA2"/>
    <w:rsid w:val="00B6315E"/>
    <w:rsid w:val="00B635A4"/>
    <w:rsid w:val="00B64DEE"/>
    <w:rsid w:val="00B64EBB"/>
    <w:rsid w:val="00B65252"/>
    <w:rsid w:val="00B65FB5"/>
    <w:rsid w:val="00B66B16"/>
    <w:rsid w:val="00B66E05"/>
    <w:rsid w:val="00B672AB"/>
    <w:rsid w:val="00B674FE"/>
    <w:rsid w:val="00B677F1"/>
    <w:rsid w:val="00B701D7"/>
    <w:rsid w:val="00B703F4"/>
    <w:rsid w:val="00B70B68"/>
    <w:rsid w:val="00B70C09"/>
    <w:rsid w:val="00B70E91"/>
    <w:rsid w:val="00B70F6B"/>
    <w:rsid w:val="00B710AA"/>
    <w:rsid w:val="00B71376"/>
    <w:rsid w:val="00B714A0"/>
    <w:rsid w:val="00B71962"/>
    <w:rsid w:val="00B71A00"/>
    <w:rsid w:val="00B71C0F"/>
    <w:rsid w:val="00B72773"/>
    <w:rsid w:val="00B739D7"/>
    <w:rsid w:val="00B73F4A"/>
    <w:rsid w:val="00B745AD"/>
    <w:rsid w:val="00B7464D"/>
    <w:rsid w:val="00B74987"/>
    <w:rsid w:val="00B74CC8"/>
    <w:rsid w:val="00B74D4E"/>
    <w:rsid w:val="00B753D2"/>
    <w:rsid w:val="00B7653F"/>
    <w:rsid w:val="00B76BED"/>
    <w:rsid w:val="00B76E62"/>
    <w:rsid w:val="00B76FDF"/>
    <w:rsid w:val="00B77063"/>
    <w:rsid w:val="00B77820"/>
    <w:rsid w:val="00B803B3"/>
    <w:rsid w:val="00B823CC"/>
    <w:rsid w:val="00B82CD9"/>
    <w:rsid w:val="00B82F9B"/>
    <w:rsid w:val="00B83541"/>
    <w:rsid w:val="00B839D5"/>
    <w:rsid w:val="00B83D01"/>
    <w:rsid w:val="00B844C3"/>
    <w:rsid w:val="00B84A44"/>
    <w:rsid w:val="00B85947"/>
    <w:rsid w:val="00B8646E"/>
    <w:rsid w:val="00B866B8"/>
    <w:rsid w:val="00B868E5"/>
    <w:rsid w:val="00B87038"/>
    <w:rsid w:val="00B8765D"/>
    <w:rsid w:val="00B877E4"/>
    <w:rsid w:val="00B87B65"/>
    <w:rsid w:val="00B87B8B"/>
    <w:rsid w:val="00B906C7"/>
    <w:rsid w:val="00B90977"/>
    <w:rsid w:val="00B909E5"/>
    <w:rsid w:val="00B90EC0"/>
    <w:rsid w:val="00B91193"/>
    <w:rsid w:val="00B91C46"/>
    <w:rsid w:val="00B9260F"/>
    <w:rsid w:val="00B92752"/>
    <w:rsid w:val="00B9282D"/>
    <w:rsid w:val="00B92925"/>
    <w:rsid w:val="00B92CE0"/>
    <w:rsid w:val="00B93033"/>
    <w:rsid w:val="00B93D45"/>
    <w:rsid w:val="00B9401B"/>
    <w:rsid w:val="00B94335"/>
    <w:rsid w:val="00B946FC"/>
    <w:rsid w:val="00B94702"/>
    <w:rsid w:val="00B94752"/>
    <w:rsid w:val="00B948A3"/>
    <w:rsid w:val="00B9497D"/>
    <w:rsid w:val="00B94D2E"/>
    <w:rsid w:val="00B94F3B"/>
    <w:rsid w:val="00B955D1"/>
    <w:rsid w:val="00B95976"/>
    <w:rsid w:val="00B95F0C"/>
    <w:rsid w:val="00B965CC"/>
    <w:rsid w:val="00B96641"/>
    <w:rsid w:val="00B96946"/>
    <w:rsid w:val="00B97304"/>
    <w:rsid w:val="00B978F0"/>
    <w:rsid w:val="00BA06DA"/>
    <w:rsid w:val="00BA0F94"/>
    <w:rsid w:val="00BA13A9"/>
    <w:rsid w:val="00BA16CE"/>
    <w:rsid w:val="00BA183A"/>
    <w:rsid w:val="00BA1B71"/>
    <w:rsid w:val="00BA1CA4"/>
    <w:rsid w:val="00BA20A2"/>
    <w:rsid w:val="00BA20B9"/>
    <w:rsid w:val="00BA28A7"/>
    <w:rsid w:val="00BA2A4A"/>
    <w:rsid w:val="00BA30FB"/>
    <w:rsid w:val="00BA3991"/>
    <w:rsid w:val="00BA3E7C"/>
    <w:rsid w:val="00BA4260"/>
    <w:rsid w:val="00BA486A"/>
    <w:rsid w:val="00BA4D71"/>
    <w:rsid w:val="00BA5722"/>
    <w:rsid w:val="00BA5921"/>
    <w:rsid w:val="00BA5EDF"/>
    <w:rsid w:val="00BA68C3"/>
    <w:rsid w:val="00BA6929"/>
    <w:rsid w:val="00BA6B37"/>
    <w:rsid w:val="00BA6BF6"/>
    <w:rsid w:val="00BA75BD"/>
    <w:rsid w:val="00BA7764"/>
    <w:rsid w:val="00BA794C"/>
    <w:rsid w:val="00BA7CB1"/>
    <w:rsid w:val="00BA7F84"/>
    <w:rsid w:val="00BB01AB"/>
    <w:rsid w:val="00BB038B"/>
    <w:rsid w:val="00BB1A87"/>
    <w:rsid w:val="00BB3702"/>
    <w:rsid w:val="00BB3A30"/>
    <w:rsid w:val="00BB3C87"/>
    <w:rsid w:val="00BB3EEF"/>
    <w:rsid w:val="00BB3F65"/>
    <w:rsid w:val="00BB413D"/>
    <w:rsid w:val="00BB474B"/>
    <w:rsid w:val="00BB5B7F"/>
    <w:rsid w:val="00BB6931"/>
    <w:rsid w:val="00BB6ECE"/>
    <w:rsid w:val="00BB7DEA"/>
    <w:rsid w:val="00BC03BA"/>
    <w:rsid w:val="00BC06C3"/>
    <w:rsid w:val="00BC10E9"/>
    <w:rsid w:val="00BC2080"/>
    <w:rsid w:val="00BC21C4"/>
    <w:rsid w:val="00BC2BCC"/>
    <w:rsid w:val="00BC360C"/>
    <w:rsid w:val="00BC3782"/>
    <w:rsid w:val="00BC385C"/>
    <w:rsid w:val="00BC3FA1"/>
    <w:rsid w:val="00BC42F2"/>
    <w:rsid w:val="00BC50B5"/>
    <w:rsid w:val="00BC522C"/>
    <w:rsid w:val="00BC5371"/>
    <w:rsid w:val="00BC5BF9"/>
    <w:rsid w:val="00BC5DEA"/>
    <w:rsid w:val="00BC61D4"/>
    <w:rsid w:val="00BC66EB"/>
    <w:rsid w:val="00BC6AED"/>
    <w:rsid w:val="00BD09B8"/>
    <w:rsid w:val="00BD0FD9"/>
    <w:rsid w:val="00BD1855"/>
    <w:rsid w:val="00BD1E5B"/>
    <w:rsid w:val="00BD28AA"/>
    <w:rsid w:val="00BD28C9"/>
    <w:rsid w:val="00BD2B9E"/>
    <w:rsid w:val="00BD31E5"/>
    <w:rsid w:val="00BD3D86"/>
    <w:rsid w:val="00BD4286"/>
    <w:rsid w:val="00BD46E5"/>
    <w:rsid w:val="00BD47E7"/>
    <w:rsid w:val="00BD5071"/>
    <w:rsid w:val="00BD53B3"/>
    <w:rsid w:val="00BD5A6E"/>
    <w:rsid w:val="00BD6186"/>
    <w:rsid w:val="00BD64B1"/>
    <w:rsid w:val="00BD64DC"/>
    <w:rsid w:val="00BD6544"/>
    <w:rsid w:val="00BD6654"/>
    <w:rsid w:val="00BD6749"/>
    <w:rsid w:val="00BD6CF9"/>
    <w:rsid w:val="00BE08FA"/>
    <w:rsid w:val="00BE2677"/>
    <w:rsid w:val="00BE31DE"/>
    <w:rsid w:val="00BE3741"/>
    <w:rsid w:val="00BE3F0A"/>
    <w:rsid w:val="00BE4ACA"/>
    <w:rsid w:val="00BE4CC5"/>
    <w:rsid w:val="00BE54EB"/>
    <w:rsid w:val="00BE5801"/>
    <w:rsid w:val="00BE79AF"/>
    <w:rsid w:val="00BE7CF1"/>
    <w:rsid w:val="00BE7DDC"/>
    <w:rsid w:val="00BF0E22"/>
    <w:rsid w:val="00BF13AD"/>
    <w:rsid w:val="00BF174F"/>
    <w:rsid w:val="00BF2210"/>
    <w:rsid w:val="00BF287B"/>
    <w:rsid w:val="00BF2C92"/>
    <w:rsid w:val="00BF3629"/>
    <w:rsid w:val="00BF3883"/>
    <w:rsid w:val="00BF4042"/>
    <w:rsid w:val="00BF4491"/>
    <w:rsid w:val="00BF4826"/>
    <w:rsid w:val="00BF4ECF"/>
    <w:rsid w:val="00BF586E"/>
    <w:rsid w:val="00BF5A35"/>
    <w:rsid w:val="00BF6A5A"/>
    <w:rsid w:val="00BF7942"/>
    <w:rsid w:val="00C0099B"/>
    <w:rsid w:val="00C00D78"/>
    <w:rsid w:val="00C015F6"/>
    <w:rsid w:val="00C01D75"/>
    <w:rsid w:val="00C01F56"/>
    <w:rsid w:val="00C02880"/>
    <w:rsid w:val="00C02C66"/>
    <w:rsid w:val="00C0372F"/>
    <w:rsid w:val="00C0385F"/>
    <w:rsid w:val="00C038A9"/>
    <w:rsid w:val="00C041B1"/>
    <w:rsid w:val="00C0490C"/>
    <w:rsid w:val="00C049A2"/>
    <w:rsid w:val="00C04A8B"/>
    <w:rsid w:val="00C04ABD"/>
    <w:rsid w:val="00C05F65"/>
    <w:rsid w:val="00C06028"/>
    <w:rsid w:val="00C062D2"/>
    <w:rsid w:val="00C06623"/>
    <w:rsid w:val="00C06631"/>
    <w:rsid w:val="00C06A15"/>
    <w:rsid w:val="00C06CD9"/>
    <w:rsid w:val="00C07995"/>
    <w:rsid w:val="00C10181"/>
    <w:rsid w:val="00C10F26"/>
    <w:rsid w:val="00C11624"/>
    <w:rsid w:val="00C1194F"/>
    <w:rsid w:val="00C1200A"/>
    <w:rsid w:val="00C12268"/>
    <w:rsid w:val="00C12567"/>
    <w:rsid w:val="00C12B62"/>
    <w:rsid w:val="00C13CC1"/>
    <w:rsid w:val="00C13E3E"/>
    <w:rsid w:val="00C14819"/>
    <w:rsid w:val="00C149AA"/>
    <w:rsid w:val="00C15182"/>
    <w:rsid w:val="00C15C47"/>
    <w:rsid w:val="00C16493"/>
    <w:rsid w:val="00C164FF"/>
    <w:rsid w:val="00C17970"/>
    <w:rsid w:val="00C17AB1"/>
    <w:rsid w:val="00C17CA9"/>
    <w:rsid w:val="00C200EB"/>
    <w:rsid w:val="00C201B8"/>
    <w:rsid w:val="00C20858"/>
    <w:rsid w:val="00C20B4C"/>
    <w:rsid w:val="00C21402"/>
    <w:rsid w:val="00C2143E"/>
    <w:rsid w:val="00C21558"/>
    <w:rsid w:val="00C21E9B"/>
    <w:rsid w:val="00C221E1"/>
    <w:rsid w:val="00C223AB"/>
    <w:rsid w:val="00C228CF"/>
    <w:rsid w:val="00C22DC7"/>
    <w:rsid w:val="00C2366F"/>
    <w:rsid w:val="00C23810"/>
    <w:rsid w:val="00C23C37"/>
    <w:rsid w:val="00C24470"/>
    <w:rsid w:val="00C248C9"/>
    <w:rsid w:val="00C25414"/>
    <w:rsid w:val="00C255AB"/>
    <w:rsid w:val="00C26840"/>
    <w:rsid w:val="00C26C31"/>
    <w:rsid w:val="00C26CFC"/>
    <w:rsid w:val="00C26DAA"/>
    <w:rsid w:val="00C27714"/>
    <w:rsid w:val="00C279D4"/>
    <w:rsid w:val="00C30096"/>
    <w:rsid w:val="00C30178"/>
    <w:rsid w:val="00C30368"/>
    <w:rsid w:val="00C30FC3"/>
    <w:rsid w:val="00C3112D"/>
    <w:rsid w:val="00C311D5"/>
    <w:rsid w:val="00C31DC2"/>
    <w:rsid w:val="00C3255F"/>
    <w:rsid w:val="00C32A16"/>
    <w:rsid w:val="00C34A13"/>
    <w:rsid w:val="00C34D58"/>
    <w:rsid w:val="00C35945"/>
    <w:rsid w:val="00C35AF2"/>
    <w:rsid w:val="00C35D81"/>
    <w:rsid w:val="00C3605C"/>
    <w:rsid w:val="00C3614A"/>
    <w:rsid w:val="00C36466"/>
    <w:rsid w:val="00C374E6"/>
    <w:rsid w:val="00C40310"/>
    <w:rsid w:val="00C41987"/>
    <w:rsid w:val="00C41A21"/>
    <w:rsid w:val="00C41F45"/>
    <w:rsid w:val="00C430EC"/>
    <w:rsid w:val="00C432E6"/>
    <w:rsid w:val="00C437BA"/>
    <w:rsid w:val="00C43EC5"/>
    <w:rsid w:val="00C4418F"/>
    <w:rsid w:val="00C441CD"/>
    <w:rsid w:val="00C443A5"/>
    <w:rsid w:val="00C46416"/>
    <w:rsid w:val="00C46A91"/>
    <w:rsid w:val="00C47B42"/>
    <w:rsid w:val="00C47FF4"/>
    <w:rsid w:val="00C50E0E"/>
    <w:rsid w:val="00C50FE6"/>
    <w:rsid w:val="00C51117"/>
    <w:rsid w:val="00C5127F"/>
    <w:rsid w:val="00C52725"/>
    <w:rsid w:val="00C52CE8"/>
    <w:rsid w:val="00C5319C"/>
    <w:rsid w:val="00C53BA7"/>
    <w:rsid w:val="00C53DE4"/>
    <w:rsid w:val="00C543FE"/>
    <w:rsid w:val="00C5444D"/>
    <w:rsid w:val="00C54BE5"/>
    <w:rsid w:val="00C54EE5"/>
    <w:rsid w:val="00C558E2"/>
    <w:rsid w:val="00C55E03"/>
    <w:rsid w:val="00C56549"/>
    <w:rsid w:val="00C565D4"/>
    <w:rsid w:val="00C56965"/>
    <w:rsid w:val="00C56B7D"/>
    <w:rsid w:val="00C60738"/>
    <w:rsid w:val="00C60B41"/>
    <w:rsid w:val="00C6326A"/>
    <w:rsid w:val="00C63474"/>
    <w:rsid w:val="00C635DD"/>
    <w:rsid w:val="00C638A6"/>
    <w:rsid w:val="00C639A2"/>
    <w:rsid w:val="00C65A53"/>
    <w:rsid w:val="00C65EDA"/>
    <w:rsid w:val="00C671E0"/>
    <w:rsid w:val="00C67AD5"/>
    <w:rsid w:val="00C67D60"/>
    <w:rsid w:val="00C67DA4"/>
    <w:rsid w:val="00C67E7D"/>
    <w:rsid w:val="00C67FC2"/>
    <w:rsid w:val="00C700A9"/>
    <w:rsid w:val="00C702A6"/>
    <w:rsid w:val="00C70D6F"/>
    <w:rsid w:val="00C71E0A"/>
    <w:rsid w:val="00C7217F"/>
    <w:rsid w:val="00C73B75"/>
    <w:rsid w:val="00C74278"/>
    <w:rsid w:val="00C75DC1"/>
    <w:rsid w:val="00C760E0"/>
    <w:rsid w:val="00C762F7"/>
    <w:rsid w:val="00C7692E"/>
    <w:rsid w:val="00C77374"/>
    <w:rsid w:val="00C77405"/>
    <w:rsid w:val="00C77BC2"/>
    <w:rsid w:val="00C77C7E"/>
    <w:rsid w:val="00C8009D"/>
    <w:rsid w:val="00C802A7"/>
    <w:rsid w:val="00C80B6D"/>
    <w:rsid w:val="00C813C4"/>
    <w:rsid w:val="00C81515"/>
    <w:rsid w:val="00C8174E"/>
    <w:rsid w:val="00C81A1C"/>
    <w:rsid w:val="00C827DA"/>
    <w:rsid w:val="00C8340A"/>
    <w:rsid w:val="00C835AD"/>
    <w:rsid w:val="00C83637"/>
    <w:rsid w:val="00C839D4"/>
    <w:rsid w:val="00C84722"/>
    <w:rsid w:val="00C84774"/>
    <w:rsid w:val="00C84E5B"/>
    <w:rsid w:val="00C85256"/>
    <w:rsid w:val="00C852FE"/>
    <w:rsid w:val="00C863DA"/>
    <w:rsid w:val="00C86F93"/>
    <w:rsid w:val="00C873A1"/>
    <w:rsid w:val="00C8744F"/>
    <w:rsid w:val="00C904F2"/>
    <w:rsid w:val="00C9088E"/>
    <w:rsid w:val="00C90A50"/>
    <w:rsid w:val="00C90CDB"/>
    <w:rsid w:val="00C91AAF"/>
    <w:rsid w:val="00C9247A"/>
    <w:rsid w:val="00C94398"/>
    <w:rsid w:val="00C94BDE"/>
    <w:rsid w:val="00C94E4D"/>
    <w:rsid w:val="00C94EDB"/>
    <w:rsid w:val="00C94EDE"/>
    <w:rsid w:val="00C952CA"/>
    <w:rsid w:val="00C95474"/>
    <w:rsid w:val="00C9648F"/>
    <w:rsid w:val="00C966A3"/>
    <w:rsid w:val="00C97118"/>
    <w:rsid w:val="00CA0598"/>
    <w:rsid w:val="00CA0E90"/>
    <w:rsid w:val="00CA12A1"/>
    <w:rsid w:val="00CA1B58"/>
    <w:rsid w:val="00CA21CF"/>
    <w:rsid w:val="00CA254B"/>
    <w:rsid w:val="00CA3587"/>
    <w:rsid w:val="00CA3F0B"/>
    <w:rsid w:val="00CA4729"/>
    <w:rsid w:val="00CA4F01"/>
    <w:rsid w:val="00CA5226"/>
    <w:rsid w:val="00CA5DD2"/>
    <w:rsid w:val="00CA6011"/>
    <w:rsid w:val="00CA6393"/>
    <w:rsid w:val="00CA7488"/>
    <w:rsid w:val="00CA748B"/>
    <w:rsid w:val="00CA7824"/>
    <w:rsid w:val="00CB0627"/>
    <w:rsid w:val="00CB0BAD"/>
    <w:rsid w:val="00CB0C42"/>
    <w:rsid w:val="00CB1455"/>
    <w:rsid w:val="00CB1A32"/>
    <w:rsid w:val="00CB1FD4"/>
    <w:rsid w:val="00CB21AB"/>
    <w:rsid w:val="00CB22F7"/>
    <w:rsid w:val="00CB246E"/>
    <w:rsid w:val="00CB24A9"/>
    <w:rsid w:val="00CB351C"/>
    <w:rsid w:val="00CB42DE"/>
    <w:rsid w:val="00CB454E"/>
    <w:rsid w:val="00CB46C7"/>
    <w:rsid w:val="00CB46EC"/>
    <w:rsid w:val="00CB535E"/>
    <w:rsid w:val="00CB56E8"/>
    <w:rsid w:val="00CB641F"/>
    <w:rsid w:val="00CB6BBF"/>
    <w:rsid w:val="00CB6F75"/>
    <w:rsid w:val="00CB7875"/>
    <w:rsid w:val="00CB7F16"/>
    <w:rsid w:val="00CC08A1"/>
    <w:rsid w:val="00CC0B47"/>
    <w:rsid w:val="00CC1652"/>
    <w:rsid w:val="00CC1F9E"/>
    <w:rsid w:val="00CC2230"/>
    <w:rsid w:val="00CC4DDA"/>
    <w:rsid w:val="00CC6DA0"/>
    <w:rsid w:val="00CC6DF7"/>
    <w:rsid w:val="00CC7806"/>
    <w:rsid w:val="00CC7C7A"/>
    <w:rsid w:val="00CD09B6"/>
    <w:rsid w:val="00CD13E8"/>
    <w:rsid w:val="00CD150F"/>
    <w:rsid w:val="00CD15D0"/>
    <w:rsid w:val="00CD18BD"/>
    <w:rsid w:val="00CD28EA"/>
    <w:rsid w:val="00CD2CA3"/>
    <w:rsid w:val="00CD353F"/>
    <w:rsid w:val="00CD3922"/>
    <w:rsid w:val="00CD3A7E"/>
    <w:rsid w:val="00CD3BD3"/>
    <w:rsid w:val="00CD3F6D"/>
    <w:rsid w:val="00CD465B"/>
    <w:rsid w:val="00CD4C6F"/>
    <w:rsid w:val="00CD4C99"/>
    <w:rsid w:val="00CD5089"/>
    <w:rsid w:val="00CD58D3"/>
    <w:rsid w:val="00CD6067"/>
    <w:rsid w:val="00CD6070"/>
    <w:rsid w:val="00CD60EE"/>
    <w:rsid w:val="00CD6497"/>
    <w:rsid w:val="00CD72DF"/>
    <w:rsid w:val="00CD76C1"/>
    <w:rsid w:val="00CD7809"/>
    <w:rsid w:val="00CD7E27"/>
    <w:rsid w:val="00CE0333"/>
    <w:rsid w:val="00CE064A"/>
    <w:rsid w:val="00CE09B9"/>
    <w:rsid w:val="00CE1355"/>
    <w:rsid w:val="00CE1686"/>
    <w:rsid w:val="00CE16CA"/>
    <w:rsid w:val="00CE1895"/>
    <w:rsid w:val="00CE1AB0"/>
    <w:rsid w:val="00CE20AD"/>
    <w:rsid w:val="00CE20F1"/>
    <w:rsid w:val="00CE2864"/>
    <w:rsid w:val="00CE29FF"/>
    <w:rsid w:val="00CE3060"/>
    <w:rsid w:val="00CE3761"/>
    <w:rsid w:val="00CE406C"/>
    <w:rsid w:val="00CE41F0"/>
    <w:rsid w:val="00CE4E9F"/>
    <w:rsid w:val="00CE55A3"/>
    <w:rsid w:val="00CE55D8"/>
    <w:rsid w:val="00CE59F6"/>
    <w:rsid w:val="00CE6256"/>
    <w:rsid w:val="00CE7A03"/>
    <w:rsid w:val="00CF0481"/>
    <w:rsid w:val="00CF0AEB"/>
    <w:rsid w:val="00CF0E2B"/>
    <w:rsid w:val="00CF1F8A"/>
    <w:rsid w:val="00CF201D"/>
    <w:rsid w:val="00CF2BAC"/>
    <w:rsid w:val="00CF2E59"/>
    <w:rsid w:val="00CF2F0B"/>
    <w:rsid w:val="00CF2F1B"/>
    <w:rsid w:val="00CF2F29"/>
    <w:rsid w:val="00CF3A81"/>
    <w:rsid w:val="00CF3AE5"/>
    <w:rsid w:val="00CF3C87"/>
    <w:rsid w:val="00CF3F3A"/>
    <w:rsid w:val="00CF4892"/>
    <w:rsid w:val="00CF5B8C"/>
    <w:rsid w:val="00CF616E"/>
    <w:rsid w:val="00CF6572"/>
    <w:rsid w:val="00CF66B4"/>
    <w:rsid w:val="00CF6EE4"/>
    <w:rsid w:val="00CF7593"/>
    <w:rsid w:val="00CF7EB4"/>
    <w:rsid w:val="00D00493"/>
    <w:rsid w:val="00D00A22"/>
    <w:rsid w:val="00D016B5"/>
    <w:rsid w:val="00D027A5"/>
    <w:rsid w:val="00D02A26"/>
    <w:rsid w:val="00D0410B"/>
    <w:rsid w:val="00D0586D"/>
    <w:rsid w:val="00D05EEE"/>
    <w:rsid w:val="00D060A1"/>
    <w:rsid w:val="00D06183"/>
    <w:rsid w:val="00D06C74"/>
    <w:rsid w:val="00D06F4B"/>
    <w:rsid w:val="00D1029F"/>
    <w:rsid w:val="00D1045E"/>
    <w:rsid w:val="00D1054D"/>
    <w:rsid w:val="00D1098F"/>
    <w:rsid w:val="00D10D7C"/>
    <w:rsid w:val="00D112AD"/>
    <w:rsid w:val="00D113C6"/>
    <w:rsid w:val="00D1275E"/>
    <w:rsid w:val="00D12DD4"/>
    <w:rsid w:val="00D131FC"/>
    <w:rsid w:val="00D13554"/>
    <w:rsid w:val="00D138EF"/>
    <w:rsid w:val="00D13AEB"/>
    <w:rsid w:val="00D13DA1"/>
    <w:rsid w:val="00D14612"/>
    <w:rsid w:val="00D15087"/>
    <w:rsid w:val="00D15FFE"/>
    <w:rsid w:val="00D1686C"/>
    <w:rsid w:val="00D16A9B"/>
    <w:rsid w:val="00D16D8A"/>
    <w:rsid w:val="00D17499"/>
    <w:rsid w:val="00D179B5"/>
    <w:rsid w:val="00D17CFA"/>
    <w:rsid w:val="00D20A31"/>
    <w:rsid w:val="00D21078"/>
    <w:rsid w:val="00D215F7"/>
    <w:rsid w:val="00D21D63"/>
    <w:rsid w:val="00D223C6"/>
    <w:rsid w:val="00D224DC"/>
    <w:rsid w:val="00D224F3"/>
    <w:rsid w:val="00D23050"/>
    <w:rsid w:val="00D23B19"/>
    <w:rsid w:val="00D23C05"/>
    <w:rsid w:val="00D24CCF"/>
    <w:rsid w:val="00D25846"/>
    <w:rsid w:val="00D25C36"/>
    <w:rsid w:val="00D2679C"/>
    <w:rsid w:val="00D26ABD"/>
    <w:rsid w:val="00D26AE1"/>
    <w:rsid w:val="00D26B72"/>
    <w:rsid w:val="00D26FAF"/>
    <w:rsid w:val="00D2715B"/>
    <w:rsid w:val="00D30B55"/>
    <w:rsid w:val="00D319EF"/>
    <w:rsid w:val="00D31A6F"/>
    <w:rsid w:val="00D31ED3"/>
    <w:rsid w:val="00D336D5"/>
    <w:rsid w:val="00D3393E"/>
    <w:rsid w:val="00D34CB4"/>
    <w:rsid w:val="00D35FEC"/>
    <w:rsid w:val="00D361BE"/>
    <w:rsid w:val="00D37717"/>
    <w:rsid w:val="00D37786"/>
    <w:rsid w:val="00D377AD"/>
    <w:rsid w:val="00D37D40"/>
    <w:rsid w:val="00D409FA"/>
    <w:rsid w:val="00D40C4D"/>
    <w:rsid w:val="00D417A5"/>
    <w:rsid w:val="00D42045"/>
    <w:rsid w:val="00D42E3F"/>
    <w:rsid w:val="00D43433"/>
    <w:rsid w:val="00D435E9"/>
    <w:rsid w:val="00D437D2"/>
    <w:rsid w:val="00D43AD1"/>
    <w:rsid w:val="00D4447E"/>
    <w:rsid w:val="00D46011"/>
    <w:rsid w:val="00D465CA"/>
    <w:rsid w:val="00D46AA6"/>
    <w:rsid w:val="00D46DFA"/>
    <w:rsid w:val="00D46FA6"/>
    <w:rsid w:val="00D47FB2"/>
    <w:rsid w:val="00D50A0B"/>
    <w:rsid w:val="00D512C8"/>
    <w:rsid w:val="00D51A17"/>
    <w:rsid w:val="00D51F6F"/>
    <w:rsid w:val="00D520D5"/>
    <w:rsid w:val="00D52110"/>
    <w:rsid w:val="00D5225A"/>
    <w:rsid w:val="00D5258D"/>
    <w:rsid w:val="00D52C54"/>
    <w:rsid w:val="00D539DF"/>
    <w:rsid w:val="00D54403"/>
    <w:rsid w:val="00D54DB0"/>
    <w:rsid w:val="00D54E8A"/>
    <w:rsid w:val="00D5574E"/>
    <w:rsid w:val="00D56011"/>
    <w:rsid w:val="00D56A11"/>
    <w:rsid w:val="00D56C35"/>
    <w:rsid w:val="00D56DAF"/>
    <w:rsid w:val="00D57A78"/>
    <w:rsid w:val="00D57F3D"/>
    <w:rsid w:val="00D57F99"/>
    <w:rsid w:val="00D6033F"/>
    <w:rsid w:val="00D60636"/>
    <w:rsid w:val="00D60713"/>
    <w:rsid w:val="00D60E12"/>
    <w:rsid w:val="00D61106"/>
    <w:rsid w:val="00D61959"/>
    <w:rsid w:val="00D62334"/>
    <w:rsid w:val="00D63243"/>
    <w:rsid w:val="00D636C0"/>
    <w:rsid w:val="00D64378"/>
    <w:rsid w:val="00D644F7"/>
    <w:rsid w:val="00D64700"/>
    <w:rsid w:val="00D647EE"/>
    <w:rsid w:val="00D649D8"/>
    <w:rsid w:val="00D6575C"/>
    <w:rsid w:val="00D65A15"/>
    <w:rsid w:val="00D65DF7"/>
    <w:rsid w:val="00D661D7"/>
    <w:rsid w:val="00D6640B"/>
    <w:rsid w:val="00D66CD8"/>
    <w:rsid w:val="00D67047"/>
    <w:rsid w:val="00D67A5A"/>
    <w:rsid w:val="00D70371"/>
    <w:rsid w:val="00D70E19"/>
    <w:rsid w:val="00D7108D"/>
    <w:rsid w:val="00D711D2"/>
    <w:rsid w:val="00D71E07"/>
    <w:rsid w:val="00D73816"/>
    <w:rsid w:val="00D738B2"/>
    <w:rsid w:val="00D73B09"/>
    <w:rsid w:val="00D73EFC"/>
    <w:rsid w:val="00D74190"/>
    <w:rsid w:val="00D74D5F"/>
    <w:rsid w:val="00D754E9"/>
    <w:rsid w:val="00D7661F"/>
    <w:rsid w:val="00D7668C"/>
    <w:rsid w:val="00D76767"/>
    <w:rsid w:val="00D76F58"/>
    <w:rsid w:val="00D77171"/>
    <w:rsid w:val="00D778FC"/>
    <w:rsid w:val="00D77B43"/>
    <w:rsid w:val="00D77E9B"/>
    <w:rsid w:val="00D8029E"/>
    <w:rsid w:val="00D8051E"/>
    <w:rsid w:val="00D80A5D"/>
    <w:rsid w:val="00D80D1C"/>
    <w:rsid w:val="00D826C4"/>
    <w:rsid w:val="00D83B2D"/>
    <w:rsid w:val="00D84094"/>
    <w:rsid w:val="00D845D5"/>
    <w:rsid w:val="00D84AA7"/>
    <w:rsid w:val="00D85735"/>
    <w:rsid w:val="00D860DC"/>
    <w:rsid w:val="00D8653D"/>
    <w:rsid w:val="00D86609"/>
    <w:rsid w:val="00D86F4D"/>
    <w:rsid w:val="00D873D6"/>
    <w:rsid w:val="00D873E9"/>
    <w:rsid w:val="00D878FB"/>
    <w:rsid w:val="00D90033"/>
    <w:rsid w:val="00D90576"/>
    <w:rsid w:val="00D906EA"/>
    <w:rsid w:val="00D914DD"/>
    <w:rsid w:val="00D9193F"/>
    <w:rsid w:val="00D922F2"/>
    <w:rsid w:val="00D92AC5"/>
    <w:rsid w:val="00D93774"/>
    <w:rsid w:val="00D9480F"/>
    <w:rsid w:val="00D94ADF"/>
    <w:rsid w:val="00D97880"/>
    <w:rsid w:val="00D97A68"/>
    <w:rsid w:val="00DA0475"/>
    <w:rsid w:val="00DA0568"/>
    <w:rsid w:val="00DA09EB"/>
    <w:rsid w:val="00DA12A7"/>
    <w:rsid w:val="00DA1B45"/>
    <w:rsid w:val="00DA224C"/>
    <w:rsid w:val="00DA2804"/>
    <w:rsid w:val="00DA3517"/>
    <w:rsid w:val="00DA3731"/>
    <w:rsid w:val="00DA38A5"/>
    <w:rsid w:val="00DA3C40"/>
    <w:rsid w:val="00DA3DA8"/>
    <w:rsid w:val="00DA5556"/>
    <w:rsid w:val="00DA5A04"/>
    <w:rsid w:val="00DA5B18"/>
    <w:rsid w:val="00DA5B8A"/>
    <w:rsid w:val="00DA5C08"/>
    <w:rsid w:val="00DA6186"/>
    <w:rsid w:val="00DA6DB6"/>
    <w:rsid w:val="00DA6EE0"/>
    <w:rsid w:val="00DA6F65"/>
    <w:rsid w:val="00DA7639"/>
    <w:rsid w:val="00DA77C7"/>
    <w:rsid w:val="00DA7D2D"/>
    <w:rsid w:val="00DB0188"/>
    <w:rsid w:val="00DB0697"/>
    <w:rsid w:val="00DB0E36"/>
    <w:rsid w:val="00DB1112"/>
    <w:rsid w:val="00DB13E0"/>
    <w:rsid w:val="00DB1990"/>
    <w:rsid w:val="00DB25C0"/>
    <w:rsid w:val="00DB2DB2"/>
    <w:rsid w:val="00DB4264"/>
    <w:rsid w:val="00DB44FA"/>
    <w:rsid w:val="00DB4602"/>
    <w:rsid w:val="00DB4CF7"/>
    <w:rsid w:val="00DB507A"/>
    <w:rsid w:val="00DB55EB"/>
    <w:rsid w:val="00DB6E8F"/>
    <w:rsid w:val="00DC0332"/>
    <w:rsid w:val="00DC045F"/>
    <w:rsid w:val="00DC062E"/>
    <w:rsid w:val="00DC0B58"/>
    <w:rsid w:val="00DC15DD"/>
    <w:rsid w:val="00DC1D59"/>
    <w:rsid w:val="00DC2437"/>
    <w:rsid w:val="00DC308F"/>
    <w:rsid w:val="00DC3172"/>
    <w:rsid w:val="00DC33EA"/>
    <w:rsid w:val="00DC352A"/>
    <w:rsid w:val="00DC3B09"/>
    <w:rsid w:val="00DC41C0"/>
    <w:rsid w:val="00DC44DB"/>
    <w:rsid w:val="00DC5287"/>
    <w:rsid w:val="00DC55F9"/>
    <w:rsid w:val="00DC58D8"/>
    <w:rsid w:val="00DC59FD"/>
    <w:rsid w:val="00DC632B"/>
    <w:rsid w:val="00DC682C"/>
    <w:rsid w:val="00DC78F2"/>
    <w:rsid w:val="00DD07F4"/>
    <w:rsid w:val="00DD081F"/>
    <w:rsid w:val="00DD0F3B"/>
    <w:rsid w:val="00DD1307"/>
    <w:rsid w:val="00DD1558"/>
    <w:rsid w:val="00DD1946"/>
    <w:rsid w:val="00DD1CAC"/>
    <w:rsid w:val="00DD1EE0"/>
    <w:rsid w:val="00DD24A4"/>
    <w:rsid w:val="00DD26E8"/>
    <w:rsid w:val="00DD3082"/>
    <w:rsid w:val="00DD3224"/>
    <w:rsid w:val="00DD323C"/>
    <w:rsid w:val="00DD384F"/>
    <w:rsid w:val="00DD3EBA"/>
    <w:rsid w:val="00DD43B4"/>
    <w:rsid w:val="00DD4FE3"/>
    <w:rsid w:val="00DD50A9"/>
    <w:rsid w:val="00DD51F1"/>
    <w:rsid w:val="00DD5919"/>
    <w:rsid w:val="00DD74F1"/>
    <w:rsid w:val="00DD7796"/>
    <w:rsid w:val="00DD7935"/>
    <w:rsid w:val="00DD79EB"/>
    <w:rsid w:val="00DD7ECE"/>
    <w:rsid w:val="00DE0ABA"/>
    <w:rsid w:val="00DE0D1F"/>
    <w:rsid w:val="00DE1AAD"/>
    <w:rsid w:val="00DE2F04"/>
    <w:rsid w:val="00DE2FCB"/>
    <w:rsid w:val="00DE3CAD"/>
    <w:rsid w:val="00DE4457"/>
    <w:rsid w:val="00DE5064"/>
    <w:rsid w:val="00DE53DD"/>
    <w:rsid w:val="00DE635B"/>
    <w:rsid w:val="00DE682C"/>
    <w:rsid w:val="00DE698C"/>
    <w:rsid w:val="00DE6BE8"/>
    <w:rsid w:val="00DF01E2"/>
    <w:rsid w:val="00DF0E8D"/>
    <w:rsid w:val="00DF1004"/>
    <w:rsid w:val="00DF151F"/>
    <w:rsid w:val="00DF1946"/>
    <w:rsid w:val="00DF2139"/>
    <w:rsid w:val="00DF258F"/>
    <w:rsid w:val="00DF28D7"/>
    <w:rsid w:val="00DF3F70"/>
    <w:rsid w:val="00DF3FF0"/>
    <w:rsid w:val="00DF431E"/>
    <w:rsid w:val="00DF468D"/>
    <w:rsid w:val="00DF4D64"/>
    <w:rsid w:val="00DF513D"/>
    <w:rsid w:val="00DF528D"/>
    <w:rsid w:val="00DF53E1"/>
    <w:rsid w:val="00DF5E4A"/>
    <w:rsid w:val="00DF68A7"/>
    <w:rsid w:val="00DF6FB4"/>
    <w:rsid w:val="00DF7202"/>
    <w:rsid w:val="00DF74BA"/>
    <w:rsid w:val="00E000D5"/>
    <w:rsid w:val="00E01B0A"/>
    <w:rsid w:val="00E03966"/>
    <w:rsid w:val="00E03B8E"/>
    <w:rsid w:val="00E03BE1"/>
    <w:rsid w:val="00E03C39"/>
    <w:rsid w:val="00E03E30"/>
    <w:rsid w:val="00E0401F"/>
    <w:rsid w:val="00E051EF"/>
    <w:rsid w:val="00E05386"/>
    <w:rsid w:val="00E05D3C"/>
    <w:rsid w:val="00E05D5F"/>
    <w:rsid w:val="00E06765"/>
    <w:rsid w:val="00E0798B"/>
    <w:rsid w:val="00E101A9"/>
    <w:rsid w:val="00E10967"/>
    <w:rsid w:val="00E10C3E"/>
    <w:rsid w:val="00E110C4"/>
    <w:rsid w:val="00E111C2"/>
    <w:rsid w:val="00E1294C"/>
    <w:rsid w:val="00E12A9F"/>
    <w:rsid w:val="00E1328E"/>
    <w:rsid w:val="00E134D4"/>
    <w:rsid w:val="00E14811"/>
    <w:rsid w:val="00E149AC"/>
    <w:rsid w:val="00E14BAE"/>
    <w:rsid w:val="00E14E6C"/>
    <w:rsid w:val="00E151EA"/>
    <w:rsid w:val="00E15B61"/>
    <w:rsid w:val="00E16220"/>
    <w:rsid w:val="00E167F0"/>
    <w:rsid w:val="00E16AE8"/>
    <w:rsid w:val="00E16CFC"/>
    <w:rsid w:val="00E16F1C"/>
    <w:rsid w:val="00E16F90"/>
    <w:rsid w:val="00E17091"/>
    <w:rsid w:val="00E17218"/>
    <w:rsid w:val="00E17884"/>
    <w:rsid w:val="00E1797B"/>
    <w:rsid w:val="00E17D53"/>
    <w:rsid w:val="00E200DC"/>
    <w:rsid w:val="00E20492"/>
    <w:rsid w:val="00E20C4B"/>
    <w:rsid w:val="00E216C4"/>
    <w:rsid w:val="00E219EC"/>
    <w:rsid w:val="00E21F83"/>
    <w:rsid w:val="00E234F0"/>
    <w:rsid w:val="00E23CFF"/>
    <w:rsid w:val="00E2458D"/>
    <w:rsid w:val="00E246E7"/>
    <w:rsid w:val="00E25238"/>
    <w:rsid w:val="00E2572A"/>
    <w:rsid w:val="00E2639B"/>
    <w:rsid w:val="00E2698E"/>
    <w:rsid w:val="00E26C9F"/>
    <w:rsid w:val="00E27CC3"/>
    <w:rsid w:val="00E3009C"/>
    <w:rsid w:val="00E3056A"/>
    <w:rsid w:val="00E3061B"/>
    <w:rsid w:val="00E30644"/>
    <w:rsid w:val="00E30D9E"/>
    <w:rsid w:val="00E3236B"/>
    <w:rsid w:val="00E3282A"/>
    <w:rsid w:val="00E32F3D"/>
    <w:rsid w:val="00E34040"/>
    <w:rsid w:val="00E343BB"/>
    <w:rsid w:val="00E3480A"/>
    <w:rsid w:val="00E35411"/>
    <w:rsid w:val="00E35FEA"/>
    <w:rsid w:val="00E36C9C"/>
    <w:rsid w:val="00E37570"/>
    <w:rsid w:val="00E3791C"/>
    <w:rsid w:val="00E37D6B"/>
    <w:rsid w:val="00E40033"/>
    <w:rsid w:val="00E400C8"/>
    <w:rsid w:val="00E4061B"/>
    <w:rsid w:val="00E40898"/>
    <w:rsid w:val="00E408A7"/>
    <w:rsid w:val="00E409E9"/>
    <w:rsid w:val="00E414B1"/>
    <w:rsid w:val="00E424D1"/>
    <w:rsid w:val="00E429F5"/>
    <w:rsid w:val="00E452EA"/>
    <w:rsid w:val="00E45899"/>
    <w:rsid w:val="00E46C14"/>
    <w:rsid w:val="00E46C5B"/>
    <w:rsid w:val="00E4747F"/>
    <w:rsid w:val="00E476CD"/>
    <w:rsid w:val="00E508FE"/>
    <w:rsid w:val="00E50A24"/>
    <w:rsid w:val="00E50EEC"/>
    <w:rsid w:val="00E50F41"/>
    <w:rsid w:val="00E5103B"/>
    <w:rsid w:val="00E511B2"/>
    <w:rsid w:val="00E51295"/>
    <w:rsid w:val="00E514B9"/>
    <w:rsid w:val="00E51F9C"/>
    <w:rsid w:val="00E5238D"/>
    <w:rsid w:val="00E52BC9"/>
    <w:rsid w:val="00E53003"/>
    <w:rsid w:val="00E537ED"/>
    <w:rsid w:val="00E53B34"/>
    <w:rsid w:val="00E53C8F"/>
    <w:rsid w:val="00E54009"/>
    <w:rsid w:val="00E543A6"/>
    <w:rsid w:val="00E55186"/>
    <w:rsid w:val="00E5532C"/>
    <w:rsid w:val="00E55A88"/>
    <w:rsid w:val="00E5682C"/>
    <w:rsid w:val="00E56E25"/>
    <w:rsid w:val="00E575CB"/>
    <w:rsid w:val="00E5793A"/>
    <w:rsid w:val="00E607BD"/>
    <w:rsid w:val="00E609AD"/>
    <w:rsid w:val="00E60AD5"/>
    <w:rsid w:val="00E60D6C"/>
    <w:rsid w:val="00E62757"/>
    <w:rsid w:val="00E62C9E"/>
    <w:rsid w:val="00E632B0"/>
    <w:rsid w:val="00E63795"/>
    <w:rsid w:val="00E63D9B"/>
    <w:rsid w:val="00E63FBD"/>
    <w:rsid w:val="00E641D2"/>
    <w:rsid w:val="00E64470"/>
    <w:rsid w:val="00E64DA8"/>
    <w:rsid w:val="00E64F9C"/>
    <w:rsid w:val="00E65723"/>
    <w:rsid w:val="00E664C1"/>
    <w:rsid w:val="00E66D76"/>
    <w:rsid w:val="00E67480"/>
    <w:rsid w:val="00E70599"/>
    <w:rsid w:val="00E70635"/>
    <w:rsid w:val="00E706E7"/>
    <w:rsid w:val="00E70CC0"/>
    <w:rsid w:val="00E71195"/>
    <w:rsid w:val="00E727B2"/>
    <w:rsid w:val="00E72A4D"/>
    <w:rsid w:val="00E731BD"/>
    <w:rsid w:val="00E7346E"/>
    <w:rsid w:val="00E740A7"/>
    <w:rsid w:val="00E74720"/>
    <w:rsid w:val="00E75726"/>
    <w:rsid w:val="00E75776"/>
    <w:rsid w:val="00E75973"/>
    <w:rsid w:val="00E76252"/>
    <w:rsid w:val="00E76B6B"/>
    <w:rsid w:val="00E76C1F"/>
    <w:rsid w:val="00E801D6"/>
    <w:rsid w:val="00E815E2"/>
    <w:rsid w:val="00E82860"/>
    <w:rsid w:val="00E8301D"/>
    <w:rsid w:val="00E83054"/>
    <w:rsid w:val="00E83A39"/>
    <w:rsid w:val="00E840ED"/>
    <w:rsid w:val="00E8509B"/>
    <w:rsid w:val="00E85385"/>
    <w:rsid w:val="00E878F1"/>
    <w:rsid w:val="00E87BE7"/>
    <w:rsid w:val="00E87F6C"/>
    <w:rsid w:val="00E90658"/>
    <w:rsid w:val="00E91081"/>
    <w:rsid w:val="00E91099"/>
    <w:rsid w:val="00E91F32"/>
    <w:rsid w:val="00E93139"/>
    <w:rsid w:val="00E93332"/>
    <w:rsid w:val="00E93467"/>
    <w:rsid w:val="00E93B27"/>
    <w:rsid w:val="00E946CC"/>
    <w:rsid w:val="00E94C59"/>
    <w:rsid w:val="00E94DBE"/>
    <w:rsid w:val="00E97186"/>
    <w:rsid w:val="00E97654"/>
    <w:rsid w:val="00E97C3B"/>
    <w:rsid w:val="00E97DB8"/>
    <w:rsid w:val="00E97EFE"/>
    <w:rsid w:val="00EA04E0"/>
    <w:rsid w:val="00EA0D7D"/>
    <w:rsid w:val="00EA131B"/>
    <w:rsid w:val="00EA1D51"/>
    <w:rsid w:val="00EA1FE2"/>
    <w:rsid w:val="00EA2435"/>
    <w:rsid w:val="00EA2A30"/>
    <w:rsid w:val="00EA3536"/>
    <w:rsid w:val="00EA37F3"/>
    <w:rsid w:val="00EA4ED0"/>
    <w:rsid w:val="00EA5513"/>
    <w:rsid w:val="00EA5692"/>
    <w:rsid w:val="00EA6D48"/>
    <w:rsid w:val="00EA7626"/>
    <w:rsid w:val="00EA7A60"/>
    <w:rsid w:val="00EA7A8C"/>
    <w:rsid w:val="00EB00F6"/>
    <w:rsid w:val="00EB025A"/>
    <w:rsid w:val="00EB030F"/>
    <w:rsid w:val="00EB0B2B"/>
    <w:rsid w:val="00EB1304"/>
    <w:rsid w:val="00EB176C"/>
    <w:rsid w:val="00EB1A0C"/>
    <w:rsid w:val="00EB1EC9"/>
    <w:rsid w:val="00EB27E7"/>
    <w:rsid w:val="00EB2A09"/>
    <w:rsid w:val="00EB2DFC"/>
    <w:rsid w:val="00EB2E64"/>
    <w:rsid w:val="00EB346C"/>
    <w:rsid w:val="00EB35BC"/>
    <w:rsid w:val="00EB3962"/>
    <w:rsid w:val="00EB4FF8"/>
    <w:rsid w:val="00EB7780"/>
    <w:rsid w:val="00EC043F"/>
    <w:rsid w:val="00EC16E4"/>
    <w:rsid w:val="00EC1FF1"/>
    <w:rsid w:val="00EC2D22"/>
    <w:rsid w:val="00EC3368"/>
    <w:rsid w:val="00EC386B"/>
    <w:rsid w:val="00EC3F12"/>
    <w:rsid w:val="00EC4083"/>
    <w:rsid w:val="00EC4174"/>
    <w:rsid w:val="00EC504E"/>
    <w:rsid w:val="00EC551B"/>
    <w:rsid w:val="00EC59F5"/>
    <w:rsid w:val="00EC5BD6"/>
    <w:rsid w:val="00EC641D"/>
    <w:rsid w:val="00EC675B"/>
    <w:rsid w:val="00EC6DF4"/>
    <w:rsid w:val="00EC71CF"/>
    <w:rsid w:val="00EC7926"/>
    <w:rsid w:val="00EC7C4B"/>
    <w:rsid w:val="00ED0651"/>
    <w:rsid w:val="00ED0B64"/>
    <w:rsid w:val="00ED1BE8"/>
    <w:rsid w:val="00ED1C49"/>
    <w:rsid w:val="00ED1F29"/>
    <w:rsid w:val="00ED2016"/>
    <w:rsid w:val="00ED2122"/>
    <w:rsid w:val="00ED2956"/>
    <w:rsid w:val="00ED2A26"/>
    <w:rsid w:val="00ED3682"/>
    <w:rsid w:val="00ED368B"/>
    <w:rsid w:val="00ED3792"/>
    <w:rsid w:val="00ED4608"/>
    <w:rsid w:val="00ED4772"/>
    <w:rsid w:val="00ED4BA4"/>
    <w:rsid w:val="00ED4BC5"/>
    <w:rsid w:val="00ED56CB"/>
    <w:rsid w:val="00ED5C3E"/>
    <w:rsid w:val="00ED5E94"/>
    <w:rsid w:val="00ED6782"/>
    <w:rsid w:val="00ED67BE"/>
    <w:rsid w:val="00ED68B1"/>
    <w:rsid w:val="00ED6CED"/>
    <w:rsid w:val="00ED787F"/>
    <w:rsid w:val="00ED7EBE"/>
    <w:rsid w:val="00EE025B"/>
    <w:rsid w:val="00EE077F"/>
    <w:rsid w:val="00EE0A47"/>
    <w:rsid w:val="00EE0AE3"/>
    <w:rsid w:val="00EE0F76"/>
    <w:rsid w:val="00EE130E"/>
    <w:rsid w:val="00EE156E"/>
    <w:rsid w:val="00EE2273"/>
    <w:rsid w:val="00EE3211"/>
    <w:rsid w:val="00EE3538"/>
    <w:rsid w:val="00EE3F05"/>
    <w:rsid w:val="00EE42D5"/>
    <w:rsid w:val="00EE46FA"/>
    <w:rsid w:val="00EE4D13"/>
    <w:rsid w:val="00EE4F57"/>
    <w:rsid w:val="00EE5A6D"/>
    <w:rsid w:val="00EE6A9C"/>
    <w:rsid w:val="00EE79E3"/>
    <w:rsid w:val="00EF0B0F"/>
    <w:rsid w:val="00EF0DB0"/>
    <w:rsid w:val="00EF1B10"/>
    <w:rsid w:val="00EF2F69"/>
    <w:rsid w:val="00EF32C0"/>
    <w:rsid w:val="00EF36A6"/>
    <w:rsid w:val="00EF37F5"/>
    <w:rsid w:val="00EF3D1D"/>
    <w:rsid w:val="00EF4919"/>
    <w:rsid w:val="00EF5024"/>
    <w:rsid w:val="00EF584E"/>
    <w:rsid w:val="00EF623F"/>
    <w:rsid w:val="00EF62CE"/>
    <w:rsid w:val="00EF66A7"/>
    <w:rsid w:val="00EF7D4A"/>
    <w:rsid w:val="00EF7DFB"/>
    <w:rsid w:val="00F002FB"/>
    <w:rsid w:val="00F012EC"/>
    <w:rsid w:val="00F01D3E"/>
    <w:rsid w:val="00F0285C"/>
    <w:rsid w:val="00F02A84"/>
    <w:rsid w:val="00F02B97"/>
    <w:rsid w:val="00F0384A"/>
    <w:rsid w:val="00F03BD5"/>
    <w:rsid w:val="00F03D40"/>
    <w:rsid w:val="00F041B0"/>
    <w:rsid w:val="00F04B81"/>
    <w:rsid w:val="00F068DE"/>
    <w:rsid w:val="00F0740A"/>
    <w:rsid w:val="00F10ACD"/>
    <w:rsid w:val="00F11077"/>
    <w:rsid w:val="00F114CD"/>
    <w:rsid w:val="00F11991"/>
    <w:rsid w:val="00F11B7C"/>
    <w:rsid w:val="00F12079"/>
    <w:rsid w:val="00F1208F"/>
    <w:rsid w:val="00F138B6"/>
    <w:rsid w:val="00F13CA8"/>
    <w:rsid w:val="00F1411E"/>
    <w:rsid w:val="00F149D1"/>
    <w:rsid w:val="00F15B88"/>
    <w:rsid w:val="00F167F6"/>
    <w:rsid w:val="00F16CB8"/>
    <w:rsid w:val="00F175CD"/>
    <w:rsid w:val="00F17F17"/>
    <w:rsid w:val="00F20867"/>
    <w:rsid w:val="00F20ED8"/>
    <w:rsid w:val="00F210E2"/>
    <w:rsid w:val="00F21C28"/>
    <w:rsid w:val="00F22515"/>
    <w:rsid w:val="00F22A59"/>
    <w:rsid w:val="00F23E92"/>
    <w:rsid w:val="00F23F16"/>
    <w:rsid w:val="00F24243"/>
    <w:rsid w:val="00F24363"/>
    <w:rsid w:val="00F24DF0"/>
    <w:rsid w:val="00F2526C"/>
    <w:rsid w:val="00F259EA"/>
    <w:rsid w:val="00F26163"/>
    <w:rsid w:val="00F261AF"/>
    <w:rsid w:val="00F261EC"/>
    <w:rsid w:val="00F26B34"/>
    <w:rsid w:val="00F26B89"/>
    <w:rsid w:val="00F271E8"/>
    <w:rsid w:val="00F27EAB"/>
    <w:rsid w:val="00F31B7B"/>
    <w:rsid w:val="00F32297"/>
    <w:rsid w:val="00F32D06"/>
    <w:rsid w:val="00F330B6"/>
    <w:rsid w:val="00F33854"/>
    <w:rsid w:val="00F339D9"/>
    <w:rsid w:val="00F34120"/>
    <w:rsid w:val="00F343C4"/>
    <w:rsid w:val="00F3465C"/>
    <w:rsid w:val="00F34C54"/>
    <w:rsid w:val="00F34CD9"/>
    <w:rsid w:val="00F352C4"/>
    <w:rsid w:val="00F3538E"/>
    <w:rsid w:val="00F357F7"/>
    <w:rsid w:val="00F35CAB"/>
    <w:rsid w:val="00F35F36"/>
    <w:rsid w:val="00F36576"/>
    <w:rsid w:val="00F37304"/>
    <w:rsid w:val="00F37606"/>
    <w:rsid w:val="00F40095"/>
    <w:rsid w:val="00F40174"/>
    <w:rsid w:val="00F401D2"/>
    <w:rsid w:val="00F41E5B"/>
    <w:rsid w:val="00F42820"/>
    <w:rsid w:val="00F44262"/>
    <w:rsid w:val="00F442A7"/>
    <w:rsid w:val="00F442C5"/>
    <w:rsid w:val="00F44A7D"/>
    <w:rsid w:val="00F44AD3"/>
    <w:rsid w:val="00F450D0"/>
    <w:rsid w:val="00F4513A"/>
    <w:rsid w:val="00F46391"/>
    <w:rsid w:val="00F463B7"/>
    <w:rsid w:val="00F46D5C"/>
    <w:rsid w:val="00F47570"/>
    <w:rsid w:val="00F507AA"/>
    <w:rsid w:val="00F509CC"/>
    <w:rsid w:val="00F50D56"/>
    <w:rsid w:val="00F51220"/>
    <w:rsid w:val="00F51887"/>
    <w:rsid w:val="00F519A2"/>
    <w:rsid w:val="00F51DE1"/>
    <w:rsid w:val="00F52C0A"/>
    <w:rsid w:val="00F52C42"/>
    <w:rsid w:val="00F52DD9"/>
    <w:rsid w:val="00F52F3E"/>
    <w:rsid w:val="00F53040"/>
    <w:rsid w:val="00F5390C"/>
    <w:rsid w:val="00F5404C"/>
    <w:rsid w:val="00F54483"/>
    <w:rsid w:val="00F550B2"/>
    <w:rsid w:val="00F55344"/>
    <w:rsid w:val="00F5560A"/>
    <w:rsid w:val="00F55BC6"/>
    <w:rsid w:val="00F561B2"/>
    <w:rsid w:val="00F56741"/>
    <w:rsid w:val="00F57388"/>
    <w:rsid w:val="00F60307"/>
    <w:rsid w:val="00F60502"/>
    <w:rsid w:val="00F6057B"/>
    <w:rsid w:val="00F609E5"/>
    <w:rsid w:val="00F60FF6"/>
    <w:rsid w:val="00F61730"/>
    <w:rsid w:val="00F61975"/>
    <w:rsid w:val="00F61A0C"/>
    <w:rsid w:val="00F62818"/>
    <w:rsid w:val="00F62F7A"/>
    <w:rsid w:val="00F632C4"/>
    <w:rsid w:val="00F63400"/>
    <w:rsid w:val="00F63E8D"/>
    <w:rsid w:val="00F6413C"/>
    <w:rsid w:val="00F6441A"/>
    <w:rsid w:val="00F64570"/>
    <w:rsid w:val="00F653E6"/>
    <w:rsid w:val="00F656C4"/>
    <w:rsid w:val="00F65A4F"/>
    <w:rsid w:val="00F65FF1"/>
    <w:rsid w:val="00F66B2D"/>
    <w:rsid w:val="00F67B66"/>
    <w:rsid w:val="00F7013F"/>
    <w:rsid w:val="00F70B94"/>
    <w:rsid w:val="00F7131B"/>
    <w:rsid w:val="00F71873"/>
    <w:rsid w:val="00F71E27"/>
    <w:rsid w:val="00F71E2F"/>
    <w:rsid w:val="00F72395"/>
    <w:rsid w:val="00F72722"/>
    <w:rsid w:val="00F727A7"/>
    <w:rsid w:val="00F73140"/>
    <w:rsid w:val="00F7339D"/>
    <w:rsid w:val="00F73DE4"/>
    <w:rsid w:val="00F74874"/>
    <w:rsid w:val="00F74EDA"/>
    <w:rsid w:val="00F7576B"/>
    <w:rsid w:val="00F75876"/>
    <w:rsid w:val="00F76165"/>
    <w:rsid w:val="00F76294"/>
    <w:rsid w:val="00F768C5"/>
    <w:rsid w:val="00F76AA4"/>
    <w:rsid w:val="00F772E6"/>
    <w:rsid w:val="00F7748B"/>
    <w:rsid w:val="00F776F9"/>
    <w:rsid w:val="00F77A84"/>
    <w:rsid w:val="00F77EAD"/>
    <w:rsid w:val="00F8053F"/>
    <w:rsid w:val="00F80B8C"/>
    <w:rsid w:val="00F811E4"/>
    <w:rsid w:val="00F81D73"/>
    <w:rsid w:val="00F82287"/>
    <w:rsid w:val="00F82442"/>
    <w:rsid w:val="00F8318C"/>
    <w:rsid w:val="00F833CF"/>
    <w:rsid w:val="00F8344F"/>
    <w:rsid w:val="00F83656"/>
    <w:rsid w:val="00F847DE"/>
    <w:rsid w:val="00F85851"/>
    <w:rsid w:val="00F8599F"/>
    <w:rsid w:val="00F85CC2"/>
    <w:rsid w:val="00F85E9C"/>
    <w:rsid w:val="00F868DF"/>
    <w:rsid w:val="00F87655"/>
    <w:rsid w:val="00F879B6"/>
    <w:rsid w:val="00F87A1E"/>
    <w:rsid w:val="00F87A21"/>
    <w:rsid w:val="00F87B50"/>
    <w:rsid w:val="00F90347"/>
    <w:rsid w:val="00F90724"/>
    <w:rsid w:val="00F91909"/>
    <w:rsid w:val="00F9190C"/>
    <w:rsid w:val="00F92B8F"/>
    <w:rsid w:val="00F93030"/>
    <w:rsid w:val="00F9311D"/>
    <w:rsid w:val="00F93753"/>
    <w:rsid w:val="00F9396E"/>
    <w:rsid w:val="00F939F6"/>
    <w:rsid w:val="00F94900"/>
    <w:rsid w:val="00F94BB5"/>
    <w:rsid w:val="00F94DF5"/>
    <w:rsid w:val="00F95636"/>
    <w:rsid w:val="00F959F3"/>
    <w:rsid w:val="00F95DEC"/>
    <w:rsid w:val="00F96084"/>
    <w:rsid w:val="00F973B1"/>
    <w:rsid w:val="00F97AFA"/>
    <w:rsid w:val="00F97E55"/>
    <w:rsid w:val="00FA0DA9"/>
    <w:rsid w:val="00FA135A"/>
    <w:rsid w:val="00FA1BD7"/>
    <w:rsid w:val="00FA2410"/>
    <w:rsid w:val="00FA2B43"/>
    <w:rsid w:val="00FA2ED4"/>
    <w:rsid w:val="00FA2EE2"/>
    <w:rsid w:val="00FA3F68"/>
    <w:rsid w:val="00FA561E"/>
    <w:rsid w:val="00FA5E35"/>
    <w:rsid w:val="00FA6065"/>
    <w:rsid w:val="00FA66B8"/>
    <w:rsid w:val="00FA6B69"/>
    <w:rsid w:val="00FA7C6C"/>
    <w:rsid w:val="00FA7DAB"/>
    <w:rsid w:val="00FB024F"/>
    <w:rsid w:val="00FB070F"/>
    <w:rsid w:val="00FB0860"/>
    <w:rsid w:val="00FB0B06"/>
    <w:rsid w:val="00FB14B1"/>
    <w:rsid w:val="00FB1BFE"/>
    <w:rsid w:val="00FB205F"/>
    <w:rsid w:val="00FB25FE"/>
    <w:rsid w:val="00FB2BC1"/>
    <w:rsid w:val="00FB2D4D"/>
    <w:rsid w:val="00FB3F7B"/>
    <w:rsid w:val="00FB4C5F"/>
    <w:rsid w:val="00FB4EDB"/>
    <w:rsid w:val="00FB6618"/>
    <w:rsid w:val="00FB6B3D"/>
    <w:rsid w:val="00FB7573"/>
    <w:rsid w:val="00FB7AD2"/>
    <w:rsid w:val="00FB7D9D"/>
    <w:rsid w:val="00FB7FCD"/>
    <w:rsid w:val="00FC032F"/>
    <w:rsid w:val="00FC08F4"/>
    <w:rsid w:val="00FC0FF3"/>
    <w:rsid w:val="00FC274B"/>
    <w:rsid w:val="00FC27F9"/>
    <w:rsid w:val="00FC2EA5"/>
    <w:rsid w:val="00FC3CFE"/>
    <w:rsid w:val="00FC3E91"/>
    <w:rsid w:val="00FC52D9"/>
    <w:rsid w:val="00FC5532"/>
    <w:rsid w:val="00FC6951"/>
    <w:rsid w:val="00FC7E67"/>
    <w:rsid w:val="00FD0A2F"/>
    <w:rsid w:val="00FD0B26"/>
    <w:rsid w:val="00FD0E78"/>
    <w:rsid w:val="00FD1333"/>
    <w:rsid w:val="00FD24B9"/>
    <w:rsid w:val="00FD26D5"/>
    <w:rsid w:val="00FD2E86"/>
    <w:rsid w:val="00FD2FA5"/>
    <w:rsid w:val="00FD3BB5"/>
    <w:rsid w:val="00FD3D4E"/>
    <w:rsid w:val="00FD4197"/>
    <w:rsid w:val="00FD4770"/>
    <w:rsid w:val="00FD4C71"/>
    <w:rsid w:val="00FD563D"/>
    <w:rsid w:val="00FD686E"/>
    <w:rsid w:val="00FD69CC"/>
    <w:rsid w:val="00FD6CA3"/>
    <w:rsid w:val="00FD78C4"/>
    <w:rsid w:val="00FE0320"/>
    <w:rsid w:val="00FE037A"/>
    <w:rsid w:val="00FE0E1A"/>
    <w:rsid w:val="00FE12B8"/>
    <w:rsid w:val="00FE15E9"/>
    <w:rsid w:val="00FE292C"/>
    <w:rsid w:val="00FE3789"/>
    <w:rsid w:val="00FE3A08"/>
    <w:rsid w:val="00FE3C12"/>
    <w:rsid w:val="00FE4304"/>
    <w:rsid w:val="00FE4461"/>
    <w:rsid w:val="00FE4C2F"/>
    <w:rsid w:val="00FE4DA4"/>
    <w:rsid w:val="00FE5909"/>
    <w:rsid w:val="00FE5CBB"/>
    <w:rsid w:val="00FE5EA7"/>
    <w:rsid w:val="00FE66BF"/>
    <w:rsid w:val="00FE7206"/>
    <w:rsid w:val="00FE7D66"/>
    <w:rsid w:val="00FF01BA"/>
    <w:rsid w:val="00FF0DB8"/>
    <w:rsid w:val="00FF1FBF"/>
    <w:rsid w:val="00FF2345"/>
    <w:rsid w:val="00FF26F1"/>
    <w:rsid w:val="00FF2C9A"/>
    <w:rsid w:val="00FF2E88"/>
    <w:rsid w:val="00FF30BF"/>
    <w:rsid w:val="00FF3359"/>
    <w:rsid w:val="00FF3934"/>
    <w:rsid w:val="00FF3B33"/>
    <w:rsid w:val="00FF4298"/>
    <w:rsid w:val="00FF42D1"/>
    <w:rsid w:val="00FF458D"/>
    <w:rsid w:val="00FF4BAC"/>
    <w:rsid w:val="00FF5786"/>
    <w:rsid w:val="00FF5B98"/>
    <w:rsid w:val="00FF5D41"/>
    <w:rsid w:val="00FF67E2"/>
    <w:rsid w:val="00FF6D81"/>
    <w:rsid w:val="00FF7D7B"/>
    <w:rsid w:val="00FF7D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Normal Indent" w:unhideWhenUsed="1"/>
    <w:lsdException w:name="footnote text" w:uiPriority="0"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5BD8"/>
    <w:rPr>
      <w:rFonts w:ascii="Arial" w:hAnsi="Arial"/>
      <w:sz w:val="24"/>
      <w:szCs w:val="24"/>
      <w:lang w:eastAsia="en-US"/>
    </w:rPr>
  </w:style>
  <w:style w:type="paragraph" w:styleId="Heading1">
    <w:name w:val="heading 1"/>
    <w:aliases w:val="CHEAD1,CHEAD11,CHEAD12,CHEAD111,CHEAD13,CHEAD14,CHEAD112"/>
    <w:basedOn w:val="Normal"/>
    <w:next w:val="Normal"/>
    <w:link w:val="Heading1Char"/>
    <w:uiPriority w:val="99"/>
    <w:qFormat/>
    <w:rsid w:val="005B102C"/>
    <w:pPr>
      <w:keepNext/>
      <w:outlineLvl w:val="0"/>
    </w:pPr>
    <w:rPr>
      <w:b/>
    </w:rPr>
  </w:style>
  <w:style w:type="paragraph" w:styleId="Heading2">
    <w:name w:val="heading 2"/>
    <w:aliases w:val="CHEAD2,CHEAD21,CHEAD22,CHEAD23"/>
    <w:basedOn w:val="Normal"/>
    <w:next w:val="Normal"/>
    <w:link w:val="Heading2Char"/>
    <w:uiPriority w:val="99"/>
    <w:qFormat/>
    <w:rsid w:val="005B102C"/>
    <w:pPr>
      <w:keepNext/>
      <w:outlineLvl w:val="1"/>
    </w:pPr>
    <w:rPr>
      <w:b/>
      <w:sz w:val="20"/>
    </w:rPr>
  </w:style>
  <w:style w:type="paragraph" w:styleId="Heading3">
    <w:name w:val="heading 3"/>
    <w:basedOn w:val="Normal"/>
    <w:next w:val="Normal"/>
    <w:link w:val="Heading3Char"/>
    <w:uiPriority w:val="99"/>
    <w:qFormat/>
    <w:rsid w:val="005B102C"/>
    <w:pPr>
      <w:keepNext/>
      <w:jc w:val="center"/>
      <w:outlineLvl w:val="2"/>
    </w:pPr>
    <w:rPr>
      <w:rFonts w:cs="Arial"/>
      <w:b/>
      <w:bCs/>
      <w:color w:val="FFFFFF"/>
      <w:sz w:val="18"/>
      <w:szCs w:val="15"/>
    </w:rPr>
  </w:style>
  <w:style w:type="paragraph" w:styleId="Heading4">
    <w:name w:val="heading 4"/>
    <w:basedOn w:val="Normal"/>
    <w:next w:val="Normal"/>
    <w:link w:val="Heading4Char"/>
    <w:uiPriority w:val="99"/>
    <w:qFormat/>
    <w:rsid w:val="005B102C"/>
    <w:pPr>
      <w:keepNext/>
      <w:jc w:val="center"/>
      <w:outlineLvl w:val="3"/>
    </w:pPr>
    <w:rPr>
      <w:b/>
      <w:bCs/>
      <w:color w:val="000000"/>
      <w:sz w:val="21"/>
      <w:szCs w:val="21"/>
    </w:rPr>
  </w:style>
  <w:style w:type="paragraph" w:styleId="Heading5">
    <w:name w:val="heading 5"/>
    <w:basedOn w:val="Normal"/>
    <w:next w:val="Normal"/>
    <w:link w:val="Heading5Char"/>
    <w:uiPriority w:val="99"/>
    <w:qFormat/>
    <w:rsid w:val="005B102C"/>
    <w:pPr>
      <w:keepNext/>
      <w:outlineLvl w:val="4"/>
    </w:pPr>
    <w:rPr>
      <w:rFonts w:cs="Arial"/>
      <w:b/>
      <w:bCs/>
      <w:color w:val="000000"/>
      <w:sz w:val="21"/>
      <w:szCs w:val="21"/>
    </w:rPr>
  </w:style>
  <w:style w:type="paragraph" w:styleId="Heading6">
    <w:name w:val="heading 6"/>
    <w:basedOn w:val="Normal"/>
    <w:next w:val="Normal"/>
    <w:link w:val="Heading6Char"/>
    <w:uiPriority w:val="99"/>
    <w:qFormat/>
    <w:rsid w:val="005B102C"/>
    <w:pPr>
      <w:keepNext/>
      <w:outlineLvl w:val="5"/>
    </w:pPr>
    <w:rPr>
      <w:b/>
      <w:bCs/>
      <w:sz w:val="21"/>
    </w:rPr>
  </w:style>
  <w:style w:type="paragraph" w:styleId="Heading7">
    <w:name w:val="heading 7"/>
    <w:basedOn w:val="Normal"/>
    <w:next w:val="Normal"/>
    <w:link w:val="Heading7Char"/>
    <w:uiPriority w:val="99"/>
    <w:qFormat/>
    <w:rsid w:val="005B102C"/>
    <w:pPr>
      <w:keepNext/>
      <w:jc w:val="center"/>
      <w:outlineLvl w:val="6"/>
    </w:pPr>
    <w:rPr>
      <w:b/>
      <w:color w:val="000000"/>
      <w:sz w:val="20"/>
      <w:szCs w:val="21"/>
    </w:rPr>
  </w:style>
  <w:style w:type="paragraph" w:styleId="Heading8">
    <w:name w:val="heading 8"/>
    <w:basedOn w:val="Normal"/>
    <w:next w:val="Normal"/>
    <w:link w:val="Heading8Char"/>
    <w:uiPriority w:val="99"/>
    <w:qFormat/>
    <w:rsid w:val="005B102C"/>
    <w:pPr>
      <w:keepNext/>
      <w:jc w:val="right"/>
      <w:outlineLvl w:val="7"/>
    </w:pPr>
    <w:rPr>
      <w:b/>
      <w:sz w:val="48"/>
    </w:rPr>
  </w:style>
  <w:style w:type="paragraph" w:styleId="Heading9">
    <w:name w:val="heading 9"/>
    <w:basedOn w:val="Normal"/>
    <w:next w:val="Normal"/>
    <w:link w:val="Heading9Char"/>
    <w:uiPriority w:val="99"/>
    <w:qFormat/>
    <w:rsid w:val="005B102C"/>
    <w:pPr>
      <w:numPr>
        <w:numId w:val="8"/>
      </w:numPr>
      <w:tabs>
        <w:tab w:val="num" w:pos="1004"/>
      </w:tabs>
      <w:ind w:left="1004"/>
      <w:outlineLvl w:val="8"/>
    </w:pPr>
    <w:rPr>
      <w:rFonts w:ascii="Univers (W1)" w:hAnsi="Univers (W1)"/>
      <w:i/>
      <w:vanish/>
      <w:sz w:val="1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EAD1 Char,CHEAD11 Char,CHEAD12 Char,CHEAD111 Char,CHEAD13 Char,CHEAD14 Char,CHEAD112 Char"/>
    <w:link w:val="Heading1"/>
    <w:uiPriority w:val="99"/>
    <w:locked/>
    <w:rsid w:val="00CB246E"/>
    <w:rPr>
      <w:rFonts w:ascii="Cambria" w:hAnsi="Cambria" w:cs="Times New Roman"/>
      <w:b/>
      <w:bCs/>
      <w:kern w:val="32"/>
      <w:sz w:val="32"/>
      <w:szCs w:val="32"/>
      <w:lang w:val="x-none" w:eastAsia="en-US"/>
    </w:rPr>
  </w:style>
  <w:style w:type="character" w:customStyle="1" w:styleId="Heading2Char">
    <w:name w:val="Heading 2 Char"/>
    <w:aliases w:val="CHEAD2 Char,CHEAD21 Char,CHEAD22 Char,CHEAD23 Char"/>
    <w:link w:val="Heading2"/>
    <w:uiPriority w:val="99"/>
    <w:semiHidden/>
    <w:locked/>
    <w:rsid w:val="00CB246E"/>
    <w:rPr>
      <w:rFonts w:ascii="Cambria" w:hAnsi="Cambria" w:cs="Times New Roman"/>
      <w:b/>
      <w:bCs/>
      <w:i/>
      <w:iCs/>
      <w:sz w:val="28"/>
      <w:szCs w:val="28"/>
      <w:lang w:val="x-none" w:eastAsia="en-US"/>
    </w:rPr>
  </w:style>
  <w:style w:type="character" w:customStyle="1" w:styleId="Heading3Char">
    <w:name w:val="Heading 3 Char"/>
    <w:link w:val="Heading3"/>
    <w:uiPriority w:val="99"/>
    <w:semiHidden/>
    <w:locked/>
    <w:rsid w:val="00CB246E"/>
    <w:rPr>
      <w:rFonts w:ascii="Cambria" w:hAnsi="Cambria" w:cs="Times New Roman"/>
      <w:b/>
      <w:bCs/>
      <w:sz w:val="26"/>
      <w:szCs w:val="26"/>
      <w:lang w:val="x-none" w:eastAsia="en-US"/>
    </w:rPr>
  </w:style>
  <w:style w:type="character" w:customStyle="1" w:styleId="Heading4Char">
    <w:name w:val="Heading 4 Char"/>
    <w:link w:val="Heading4"/>
    <w:uiPriority w:val="99"/>
    <w:semiHidden/>
    <w:locked/>
    <w:rsid w:val="00CB246E"/>
    <w:rPr>
      <w:rFonts w:ascii="Calibri" w:hAnsi="Calibri" w:cs="Times New Roman"/>
      <w:b/>
      <w:bCs/>
      <w:sz w:val="28"/>
      <w:szCs w:val="28"/>
      <w:lang w:val="x-none" w:eastAsia="en-US"/>
    </w:rPr>
  </w:style>
  <w:style w:type="character" w:customStyle="1" w:styleId="Heading5Char">
    <w:name w:val="Heading 5 Char"/>
    <w:link w:val="Heading5"/>
    <w:uiPriority w:val="99"/>
    <w:semiHidden/>
    <w:locked/>
    <w:rsid w:val="00CB246E"/>
    <w:rPr>
      <w:rFonts w:ascii="Calibri" w:hAnsi="Calibri" w:cs="Times New Roman"/>
      <w:b/>
      <w:bCs/>
      <w:i/>
      <w:iCs/>
      <w:sz w:val="26"/>
      <w:szCs w:val="26"/>
      <w:lang w:val="x-none" w:eastAsia="en-US"/>
    </w:rPr>
  </w:style>
  <w:style w:type="character" w:customStyle="1" w:styleId="Heading6Char">
    <w:name w:val="Heading 6 Char"/>
    <w:link w:val="Heading6"/>
    <w:uiPriority w:val="99"/>
    <w:semiHidden/>
    <w:locked/>
    <w:rsid w:val="00CB246E"/>
    <w:rPr>
      <w:rFonts w:ascii="Calibri" w:hAnsi="Calibri" w:cs="Times New Roman"/>
      <w:b/>
      <w:bCs/>
      <w:sz w:val="22"/>
      <w:szCs w:val="22"/>
      <w:lang w:val="x-none" w:eastAsia="en-US"/>
    </w:rPr>
  </w:style>
  <w:style w:type="character" w:customStyle="1" w:styleId="Heading7Char">
    <w:name w:val="Heading 7 Char"/>
    <w:link w:val="Heading7"/>
    <w:uiPriority w:val="99"/>
    <w:semiHidden/>
    <w:locked/>
    <w:rsid w:val="00CB246E"/>
    <w:rPr>
      <w:rFonts w:ascii="Calibri" w:hAnsi="Calibri" w:cs="Times New Roman"/>
      <w:sz w:val="24"/>
      <w:szCs w:val="24"/>
      <w:lang w:val="x-none" w:eastAsia="en-US"/>
    </w:rPr>
  </w:style>
  <w:style w:type="character" w:customStyle="1" w:styleId="Heading8Char">
    <w:name w:val="Heading 8 Char"/>
    <w:link w:val="Heading8"/>
    <w:uiPriority w:val="99"/>
    <w:semiHidden/>
    <w:locked/>
    <w:rsid w:val="00CB246E"/>
    <w:rPr>
      <w:rFonts w:ascii="Calibri" w:hAnsi="Calibri" w:cs="Times New Roman"/>
      <w:i/>
      <w:iCs/>
      <w:sz w:val="24"/>
      <w:szCs w:val="24"/>
      <w:lang w:val="x-none" w:eastAsia="en-US"/>
    </w:rPr>
  </w:style>
  <w:style w:type="character" w:customStyle="1" w:styleId="Heading9Char">
    <w:name w:val="Heading 9 Char"/>
    <w:link w:val="Heading9"/>
    <w:uiPriority w:val="99"/>
    <w:locked/>
    <w:rsid w:val="00CB246E"/>
    <w:rPr>
      <w:rFonts w:ascii="Univers (W1)" w:hAnsi="Univers (W1)"/>
      <w:i/>
      <w:vanish/>
      <w:sz w:val="10"/>
      <w:szCs w:val="24"/>
      <w:lang w:eastAsia="en-US"/>
    </w:rPr>
  </w:style>
  <w:style w:type="paragraph" w:styleId="BodyText">
    <w:name w:val="Body Text"/>
    <w:aliases w:val="Body Text Note indent"/>
    <w:basedOn w:val="Normal"/>
    <w:link w:val="BodyTextChar"/>
    <w:uiPriority w:val="99"/>
    <w:rsid w:val="005B102C"/>
    <w:rPr>
      <w:sz w:val="20"/>
    </w:rPr>
  </w:style>
  <w:style w:type="character" w:customStyle="1" w:styleId="BodyTextChar">
    <w:name w:val="Body Text Char"/>
    <w:aliases w:val="Body Text Note indent Char"/>
    <w:link w:val="BodyText"/>
    <w:uiPriority w:val="99"/>
    <w:semiHidden/>
    <w:locked/>
    <w:rsid w:val="00CB246E"/>
    <w:rPr>
      <w:rFonts w:ascii="Arial" w:hAnsi="Arial" w:cs="Times New Roman"/>
      <w:sz w:val="24"/>
      <w:szCs w:val="24"/>
      <w:lang w:val="x-none" w:eastAsia="en-US"/>
    </w:rPr>
  </w:style>
  <w:style w:type="paragraph" w:styleId="BodyTextIndent">
    <w:name w:val="Body Text Indent"/>
    <w:basedOn w:val="Normal"/>
    <w:link w:val="BodyTextIndentChar"/>
    <w:uiPriority w:val="99"/>
    <w:rsid w:val="005B102C"/>
    <w:pPr>
      <w:ind w:left="-374"/>
    </w:pPr>
  </w:style>
  <w:style w:type="character" w:customStyle="1" w:styleId="BodyTextIndentChar">
    <w:name w:val="Body Text Indent Char"/>
    <w:link w:val="BodyTextIndent"/>
    <w:uiPriority w:val="99"/>
    <w:semiHidden/>
    <w:locked/>
    <w:rsid w:val="00CB246E"/>
    <w:rPr>
      <w:rFonts w:ascii="Arial" w:hAnsi="Arial" w:cs="Times New Roman"/>
      <w:sz w:val="24"/>
      <w:szCs w:val="24"/>
      <w:lang w:val="x-none" w:eastAsia="en-US"/>
    </w:rPr>
  </w:style>
  <w:style w:type="paragraph" w:styleId="BodyTextIndent2">
    <w:name w:val="Body Text Indent 2"/>
    <w:basedOn w:val="Normal"/>
    <w:link w:val="BodyTextIndent2Char"/>
    <w:uiPriority w:val="99"/>
    <w:rsid w:val="005B102C"/>
    <w:pPr>
      <w:ind w:left="561" w:hanging="561"/>
    </w:pPr>
  </w:style>
  <w:style w:type="character" w:customStyle="1" w:styleId="BodyTextIndent2Char">
    <w:name w:val="Body Text Indent 2 Char"/>
    <w:link w:val="BodyTextIndent2"/>
    <w:uiPriority w:val="99"/>
    <w:semiHidden/>
    <w:locked/>
    <w:rsid w:val="00CB246E"/>
    <w:rPr>
      <w:rFonts w:ascii="Arial" w:hAnsi="Arial" w:cs="Times New Roman"/>
      <w:sz w:val="24"/>
      <w:szCs w:val="24"/>
      <w:lang w:val="x-none" w:eastAsia="en-US"/>
    </w:rPr>
  </w:style>
  <w:style w:type="paragraph" w:styleId="BodyTextIndent3">
    <w:name w:val="Body Text Indent 3"/>
    <w:basedOn w:val="Normal"/>
    <w:link w:val="BodyTextIndent3Char"/>
    <w:uiPriority w:val="99"/>
    <w:rsid w:val="005B102C"/>
    <w:pPr>
      <w:tabs>
        <w:tab w:val="left" w:pos="561"/>
      </w:tabs>
      <w:ind w:left="555" w:hanging="555"/>
    </w:pPr>
  </w:style>
  <w:style w:type="character" w:customStyle="1" w:styleId="BodyTextIndent3Char">
    <w:name w:val="Body Text Indent 3 Char"/>
    <w:link w:val="BodyTextIndent3"/>
    <w:uiPriority w:val="99"/>
    <w:semiHidden/>
    <w:locked/>
    <w:rsid w:val="00CB246E"/>
    <w:rPr>
      <w:rFonts w:ascii="Arial" w:hAnsi="Arial" w:cs="Times New Roman"/>
      <w:sz w:val="16"/>
      <w:szCs w:val="16"/>
      <w:lang w:val="x-none" w:eastAsia="en-US"/>
    </w:rPr>
  </w:style>
  <w:style w:type="paragraph" w:styleId="Header">
    <w:name w:val="header"/>
    <w:aliases w:val=" Char"/>
    <w:basedOn w:val="Normal"/>
    <w:link w:val="HeaderChar"/>
    <w:uiPriority w:val="99"/>
    <w:rsid w:val="005B102C"/>
    <w:pPr>
      <w:tabs>
        <w:tab w:val="center" w:pos="4320"/>
        <w:tab w:val="right" w:pos="8640"/>
      </w:tabs>
    </w:pPr>
  </w:style>
  <w:style w:type="character" w:customStyle="1" w:styleId="HeaderChar">
    <w:name w:val="Header Char"/>
    <w:aliases w:val=" Char Char"/>
    <w:link w:val="Header"/>
    <w:uiPriority w:val="99"/>
    <w:semiHidden/>
    <w:locked/>
    <w:rsid w:val="00CB246E"/>
    <w:rPr>
      <w:rFonts w:ascii="Arial" w:hAnsi="Arial" w:cs="Times New Roman"/>
      <w:sz w:val="24"/>
      <w:szCs w:val="24"/>
      <w:lang w:val="x-none" w:eastAsia="en-US"/>
    </w:rPr>
  </w:style>
  <w:style w:type="character" w:styleId="PageNumber">
    <w:name w:val="page number"/>
    <w:rsid w:val="005B102C"/>
    <w:rPr>
      <w:rFonts w:cs="Times New Roman"/>
    </w:rPr>
  </w:style>
  <w:style w:type="paragraph" w:customStyle="1" w:styleId="BulletBody1">
    <w:name w:val="Bullet Body1"/>
    <w:basedOn w:val="Normal"/>
    <w:uiPriority w:val="99"/>
    <w:rsid w:val="005B102C"/>
    <w:pPr>
      <w:numPr>
        <w:numId w:val="1"/>
      </w:numPr>
      <w:tabs>
        <w:tab w:val="left" w:pos="284"/>
      </w:tabs>
      <w:spacing w:before="120" w:line="240" w:lineRule="atLeast"/>
    </w:pPr>
    <w:rPr>
      <w:rFonts w:ascii="Times New Roman" w:hAnsi="Times New Roman"/>
      <w:sz w:val="21"/>
      <w:szCs w:val="20"/>
    </w:rPr>
  </w:style>
  <w:style w:type="paragraph" w:customStyle="1" w:styleId="BulletBody2">
    <w:name w:val="Bullet Body2"/>
    <w:basedOn w:val="BodyCopy"/>
    <w:uiPriority w:val="99"/>
    <w:rsid w:val="005B102C"/>
    <w:pPr>
      <w:numPr>
        <w:numId w:val="2"/>
      </w:numPr>
      <w:tabs>
        <w:tab w:val="left" w:pos="283"/>
      </w:tabs>
    </w:pPr>
    <w:rPr>
      <w:color w:val="auto"/>
    </w:rPr>
  </w:style>
  <w:style w:type="paragraph" w:customStyle="1" w:styleId="BodyCopy">
    <w:name w:val="Body Copy"/>
    <w:rsid w:val="005B102C"/>
    <w:pPr>
      <w:spacing w:before="120" w:line="240" w:lineRule="atLeast"/>
      <w:jc w:val="both"/>
    </w:pPr>
    <w:rPr>
      <w:color w:val="000000"/>
      <w:sz w:val="21"/>
      <w:lang w:val="en-US" w:eastAsia="en-US"/>
    </w:rPr>
  </w:style>
  <w:style w:type="paragraph" w:customStyle="1" w:styleId="bullettextindent">
    <w:name w:val="bullettext indent"/>
    <w:basedOn w:val="Normal"/>
    <w:uiPriority w:val="99"/>
    <w:rsid w:val="005B102C"/>
    <w:pPr>
      <w:numPr>
        <w:numId w:val="3"/>
      </w:numPr>
    </w:pPr>
    <w:rPr>
      <w:rFonts w:ascii="Times New Roman" w:hAnsi="Times New Roman"/>
      <w:szCs w:val="20"/>
    </w:rPr>
  </w:style>
  <w:style w:type="paragraph" w:customStyle="1" w:styleId="RedBullet1">
    <w:name w:val="Red Bullet1"/>
    <w:basedOn w:val="BulletBody"/>
    <w:uiPriority w:val="99"/>
    <w:rsid w:val="005B102C"/>
    <w:pPr>
      <w:numPr>
        <w:numId w:val="4"/>
      </w:numPr>
    </w:pPr>
    <w:rPr>
      <w:i/>
      <w:iCs/>
      <w:color w:val="009999"/>
    </w:rPr>
  </w:style>
  <w:style w:type="paragraph" w:customStyle="1" w:styleId="BulletBody">
    <w:name w:val="Bullet Body"/>
    <w:basedOn w:val="Normal"/>
    <w:uiPriority w:val="99"/>
    <w:rsid w:val="005B102C"/>
    <w:pPr>
      <w:widowControl w:val="0"/>
      <w:numPr>
        <w:numId w:val="6"/>
      </w:numPr>
      <w:tabs>
        <w:tab w:val="left" w:pos="283"/>
      </w:tabs>
      <w:spacing w:before="120"/>
      <w:jc w:val="both"/>
    </w:pPr>
    <w:rPr>
      <w:rFonts w:ascii="Times New Roman" w:hAnsi="Times New Roman"/>
      <w:szCs w:val="20"/>
    </w:rPr>
  </w:style>
  <w:style w:type="paragraph" w:customStyle="1" w:styleId="redbodyd">
    <w:name w:val="red body d"/>
    <w:basedOn w:val="RedBody4"/>
    <w:uiPriority w:val="99"/>
    <w:rsid w:val="005B102C"/>
    <w:pPr>
      <w:numPr>
        <w:numId w:val="5"/>
      </w:numPr>
    </w:pPr>
  </w:style>
  <w:style w:type="paragraph" w:customStyle="1" w:styleId="RedBody4">
    <w:name w:val="Red Body4"/>
    <w:basedOn w:val="BodyCopy"/>
    <w:uiPriority w:val="99"/>
    <w:rsid w:val="005B102C"/>
    <w:rPr>
      <w:i/>
      <w:iCs/>
      <w:color w:val="009999"/>
    </w:rPr>
  </w:style>
  <w:style w:type="paragraph" w:customStyle="1" w:styleId="RedBulletIndented">
    <w:name w:val="Red Bullet Indented"/>
    <w:basedOn w:val="RedBullet"/>
    <w:uiPriority w:val="99"/>
    <w:rsid w:val="005B102C"/>
    <w:pPr>
      <w:tabs>
        <w:tab w:val="clear" w:pos="510"/>
        <w:tab w:val="num" w:pos="360"/>
        <w:tab w:val="left" w:pos="714"/>
      </w:tabs>
      <w:spacing w:before="40"/>
      <w:ind w:left="360" w:hanging="360"/>
    </w:pPr>
  </w:style>
  <w:style w:type="paragraph" w:customStyle="1" w:styleId="RedBullet">
    <w:name w:val="Red Bullet"/>
    <w:basedOn w:val="Redbody"/>
    <w:uiPriority w:val="99"/>
    <w:rsid w:val="005B102C"/>
    <w:pPr>
      <w:numPr>
        <w:numId w:val="7"/>
      </w:numPr>
    </w:pPr>
  </w:style>
  <w:style w:type="paragraph" w:customStyle="1" w:styleId="Redbody">
    <w:name w:val="Red body"/>
    <w:basedOn w:val="Normal"/>
    <w:uiPriority w:val="99"/>
    <w:rsid w:val="005B102C"/>
    <w:pPr>
      <w:spacing w:after="60"/>
    </w:pPr>
    <w:rPr>
      <w:rFonts w:ascii="Times New Roman" w:hAnsi="Times New Roman"/>
      <w:color w:val="008080"/>
      <w:sz w:val="21"/>
    </w:rPr>
  </w:style>
  <w:style w:type="paragraph" w:styleId="BodyText2">
    <w:name w:val="Body Text 2"/>
    <w:basedOn w:val="Normal"/>
    <w:link w:val="BodyText2Char"/>
    <w:uiPriority w:val="99"/>
    <w:rsid w:val="005B102C"/>
    <w:rPr>
      <w:rFonts w:cs="Arial"/>
      <w:color w:val="FFFFFF"/>
      <w:sz w:val="18"/>
    </w:rPr>
  </w:style>
  <w:style w:type="character" w:customStyle="1" w:styleId="BodyText2Char">
    <w:name w:val="Body Text 2 Char"/>
    <w:link w:val="BodyText2"/>
    <w:uiPriority w:val="99"/>
    <w:semiHidden/>
    <w:locked/>
    <w:rsid w:val="00CB246E"/>
    <w:rPr>
      <w:rFonts w:ascii="Arial" w:hAnsi="Arial" w:cs="Times New Roman"/>
      <w:sz w:val="24"/>
      <w:szCs w:val="24"/>
      <w:lang w:val="x-none" w:eastAsia="en-US"/>
    </w:rPr>
  </w:style>
  <w:style w:type="paragraph" w:customStyle="1" w:styleId="TextPara">
    <w:name w:val="Text Para"/>
    <w:basedOn w:val="Normal"/>
    <w:rsid w:val="005B102C"/>
    <w:pPr>
      <w:autoSpaceDE w:val="0"/>
      <w:autoSpaceDN w:val="0"/>
      <w:adjustRightInd w:val="0"/>
    </w:pPr>
    <w:rPr>
      <w:sz w:val="20"/>
      <w:szCs w:val="20"/>
    </w:rPr>
  </w:style>
  <w:style w:type="paragraph" w:styleId="BodyText3">
    <w:name w:val="Body Text 3"/>
    <w:basedOn w:val="Normal"/>
    <w:link w:val="BodyText3Char"/>
    <w:uiPriority w:val="99"/>
    <w:rsid w:val="005B102C"/>
    <w:rPr>
      <w:rFonts w:cs="Arial"/>
      <w:b/>
      <w:bCs/>
      <w:color w:val="000000"/>
      <w:sz w:val="21"/>
      <w:szCs w:val="21"/>
    </w:rPr>
  </w:style>
  <w:style w:type="character" w:customStyle="1" w:styleId="BodyText3Char">
    <w:name w:val="Body Text 3 Char"/>
    <w:link w:val="BodyText3"/>
    <w:uiPriority w:val="99"/>
    <w:semiHidden/>
    <w:locked/>
    <w:rsid w:val="00CB246E"/>
    <w:rPr>
      <w:rFonts w:ascii="Arial" w:hAnsi="Arial" w:cs="Times New Roman"/>
      <w:sz w:val="16"/>
      <w:szCs w:val="16"/>
      <w:lang w:val="x-none" w:eastAsia="en-US"/>
    </w:rPr>
  </w:style>
  <w:style w:type="paragraph" w:styleId="BalloonText">
    <w:name w:val="Balloon Text"/>
    <w:basedOn w:val="Normal"/>
    <w:link w:val="BalloonTextChar"/>
    <w:uiPriority w:val="99"/>
    <w:semiHidden/>
    <w:rsid w:val="00F330B6"/>
    <w:rPr>
      <w:rFonts w:ascii="Tahoma" w:hAnsi="Tahoma" w:cs="Tahoma"/>
      <w:sz w:val="16"/>
      <w:szCs w:val="16"/>
    </w:rPr>
  </w:style>
  <w:style w:type="character" w:customStyle="1" w:styleId="BalloonTextChar">
    <w:name w:val="Balloon Text Char"/>
    <w:link w:val="BalloonText"/>
    <w:uiPriority w:val="99"/>
    <w:semiHidden/>
    <w:locked/>
    <w:rsid w:val="00CB246E"/>
    <w:rPr>
      <w:rFonts w:cs="Times New Roman"/>
      <w:sz w:val="2"/>
      <w:lang w:val="x-none" w:eastAsia="en-US"/>
    </w:rPr>
  </w:style>
  <w:style w:type="table" w:styleId="TableGrid">
    <w:name w:val="Table Grid"/>
    <w:basedOn w:val="TableNormal"/>
    <w:uiPriority w:val="99"/>
    <w:rsid w:val="006E5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ara0">
    <w:name w:val="textpara"/>
    <w:basedOn w:val="Normal"/>
    <w:rsid w:val="005B0273"/>
    <w:pPr>
      <w:autoSpaceDE w:val="0"/>
      <w:autoSpaceDN w:val="0"/>
    </w:pPr>
    <w:rPr>
      <w:rFonts w:cs="Arial"/>
      <w:sz w:val="20"/>
      <w:szCs w:val="20"/>
      <w:lang w:eastAsia="en-AU"/>
    </w:rPr>
  </w:style>
  <w:style w:type="paragraph" w:styleId="Footer">
    <w:name w:val="footer"/>
    <w:basedOn w:val="Normal"/>
    <w:link w:val="FooterChar"/>
    <w:uiPriority w:val="99"/>
    <w:rsid w:val="00232B92"/>
    <w:pPr>
      <w:tabs>
        <w:tab w:val="center" w:pos="4153"/>
        <w:tab w:val="right" w:pos="8306"/>
      </w:tabs>
    </w:pPr>
  </w:style>
  <w:style w:type="character" w:customStyle="1" w:styleId="FooterChar">
    <w:name w:val="Footer Char"/>
    <w:link w:val="Footer"/>
    <w:uiPriority w:val="99"/>
    <w:locked/>
    <w:rsid w:val="00CB246E"/>
    <w:rPr>
      <w:rFonts w:ascii="Arial" w:hAnsi="Arial" w:cs="Times New Roman"/>
      <w:sz w:val="24"/>
      <w:szCs w:val="24"/>
      <w:lang w:val="x-none" w:eastAsia="en-US"/>
    </w:rPr>
  </w:style>
  <w:style w:type="character" w:styleId="Hyperlink">
    <w:name w:val="Hyperlink"/>
    <w:uiPriority w:val="99"/>
    <w:rsid w:val="00D60636"/>
    <w:rPr>
      <w:rFonts w:cs="Times New Roman"/>
      <w:color w:val="0000FF"/>
      <w:u w:val="single"/>
    </w:rPr>
  </w:style>
  <w:style w:type="character" w:styleId="CommentReference">
    <w:name w:val="annotation reference"/>
    <w:rsid w:val="00AA1F15"/>
    <w:rPr>
      <w:sz w:val="16"/>
      <w:szCs w:val="16"/>
    </w:rPr>
  </w:style>
  <w:style w:type="paragraph" w:styleId="CommentText">
    <w:name w:val="annotation text"/>
    <w:basedOn w:val="Normal"/>
    <w:link w:val="CommentTextChar"/>
    <w:rsid w:val="00AA1F15"/>
    <w:rPr>
      <w:sz w:val="20"/>
      <w:szCs w:val="20"/>
    </w:rPr>
  </w:style>
  <w:style w:type="paragraph" w:styleId="CommentSubject">
    <w:name w:val="annotation subject"/>
    <w:basedOn w:val="CommentText"/>
    <w:next w:val="CommentText"/>
    <w:semiHidden/>
    <w:rsid w:val="00AA1F15"/>
    <w:rPr>
      <w:b/>
      <w:bCs/>
    </w:rPr>
  </w:style>
  <w:style w:type="paragraph" w:styleId="NormalWeb">
    <w:name w:val="Normal (Web)"/>
    <w:basedOn w:val="Normal"/>
    <w:uiPriority w:val="99"/>
    <w:rsid w:val="00EB1EC9"/>
    <w:pPr>
      <w:spacing w:before="100" w:beforeAutospacing="1" w:after="100" w:afterAutospacing="1"/>
    </w:pPr>
    <w:rPr>
      <w:rFonts w:eastAsia="Arial Unicode MS" w:cs="Arial"/>
      <w:color w:val="666666"/>
      <w:sz w:val="20"/>
      <w:szCs w:val="20"/>
      <w:lang w:val="en-US"/>
    </w:rPr>
  </w:style>
  <w:style w:type="paragraph" w:customStyle="1" w:styleId="Bodycopybullet">
    <w:name w:val="Body copy bullet"/>
    <w:basedOn w:val="BodyCopy"/>
    <w:rsid w:val="00EC551B"/>
    <w:pPr>
      <w:numPr>
        <w:numId w:val="15"/>
      </w:numPr>
      <w:spacing w:before="20" w:line="210" w:lineRule="exact"/>
      <w:jc w:val="left"/>
    </w:pPr>
    <w:rPr>
      <w:rFonts w:ascii="Arial" w:hAnsi="Arial" w:cs="Arial"/>
      <w:sz w:val="17"/>
      <w:szCs w:val="17"/>
      <w:lang w:val="en-AU"/>
    </w:rPr>
  </w:style>
  <w:style w:type="paragraph" w:styleId="ListParagraph">
    <w:name w:val="List Paragraph"/>
    <w:basedOn w:val="Normal"/>
    <w:uiPriority w:val="34"/>
    <w:qFormat/>
    <w:rsid w:val="00EC551B"/>
    <w:pPr>
      <w:ind w:left="720"/>
      <w:contextualSpacing/>
    </w:pPr>
    <w:rPr>
      <w:rFonts w:ascii="Times New Roman" w:hAnsi="Times New Roman"/>
    </w:rPr>
  </w:style>
  <w:style w:type="paragraph" w:customStyle="1" w:styleId="List21">
    <w:name w:val="List 21"/>
    <w:basedOn w:val="Normal"/>
    <w:rsid w:val="00965856"/>
    <w:pPr>
      <w:numPr>
        <w:numId w:val="18"/>
      </w:numPr>
      <w:ind w:left="284" w:hanging="284"/>
    </w:pPr>
    <w:rPr>
      <w:rFonts w:ascii="Times New Roman" w:eastAsia="Calibri" w:hAnsi="Times New Roman"/>
      <w:sz w:val="20"/>
      <w:szCs w:val="20"/>
    </w:rPr>
  </w:style>
  <w:style w:type="paragraph" w:styleId="Revision">
    <w:name w:val="Revision"/>
    <w:hidden/>
    <w:uiPriority w:val="99"/>
    <w:semiHidden/>
    <w:rsid w:val="00C22DC7"/>
    <w:rPr>
      <w:rFonts w:ascii="Arial" w:hAnsi="Arial"/>
      <w:sz w:val="24"/>
      <w:szCs w:val="24"/>
      <w:lang w:eastAsia="en-US"/>
    </w:rPr>
  </w:style>
  <w:style w:type="character" w:customStyle="1" w:styleId="CommentTextChar">
    <w:name w:val="Comment Text Char"/>
    <w:link w:val="CommentText"/>
    <w:rsid w:val="009E14BE"/>
    <w:rPr>
      <w:rFonts w:ascii="Arial" w:hAnsi="Arial"/>
      <w:lang w:eastAsia="en-US"/>
    </w:rPr>
  </w:style>
  <w:style w:type="character" w:styleId="FollowedHyperlink">
    <w:name w:val="FollowedHyperlink"/>
    <w:uiPriority w:val="99"/>
    <w:semiHidden/>
    <w:unhideWhenUsed/>
    <w:rsid w:val="00D2715B"/>
    <w:rPr>
      <w:color w:val="800080"/>
      <w:u w:val="single"/>
    </w:rPr>
  </w:style>
  <w:style w:type="paragraph" w:styleId="PlainText">
    <w:name w:val="Plain Text"/>
    <w:basedOn w:val="Normal"/>
    <w:link w:val="PlainTextChar"/>
    <w:uiPriority w:val="99"/>
    <w:semiHidden/>
    <w:unhideWhenUsed/>
    <w:rsid w:val="00611F27"/>
    <w:rPr>
      <w:rFonts w:ascii="Calibri" w:hAnsi="Calibri"/>
      <w:sz w:val="22"/>
      <w:szCs w:val="21"/>
    </w:rPr>
  </w:style>
  <w:style w:type="character" w:customStyle="1" w:styleId="PlainTextChar">
    <w:name w:val="Plain Text Char"/>
    <w:link w:val="PlainText"/>
    <w:uiPriority w:val="99"/>
    <w:semiHidden/>
    <w:rsid w:val="00611F27"/>
    <w:rPr>
      <w:rFonts w:ascii="Calibri" w:hAnsi="Calibri"/>
      <w:sz w:val="22"/>
      <w:szCs w:val="21"/>
      <w:lang w:eastAsia="en-US"/>
    </w:rPr>
  </w:style>
  <w:style w:type="paragraph" w:customStyle="1" w:styleId="Dividerline">
    <w:name w:val="Divider line"/>
    <w:basedOn w:val="Normal"/>
    <w:rsid w:val="007B5E21"/>
    <w:rPr>
      <w:rFonts w:cs="Courier New"/>
      <w:sz w:val="15"/>
      <w:szCs w:val="15"/>
    </w:rPr>
  </w:style>
  <w:style w:type="character" w:customStyle="1" w:styleId="AddressdetailsChar">
    <w:name w:val="Address details Char"/>
    <w:link w:val="Addressdetails"/>
    <w:locked/>
    <w:rsid w:val="007B5E21"/>
    <w:rPr>
      <w:rFonts w:ascii="Arial" w:hAnsi="Arial" w:cs="Arial"/>
      <w:color w:val="000000"/>
      <w:sz w:val="15"/>
      <w:szCs w:val="15"/>
    </w:rPr>
  </w:style>
  <w:style w:type="paragraph" w:customStyle="1" w:styleId="Addressdetails">
    <w:name w:val="Address details"/>
    <w:basedOn w:val="Normal"/>
    <w:link w:val="AddressdetailsChar"/>
    <w:rsid w:val="007B5E21"/>
    <w:pPr>
      <w:tabs>
        <w:tab w:val="center" w:pos="4153"/>
        <w:tab w:val="right" w:pos="9120"/>
      </w:tabs>
      <w:spacing w:before="85" w:line="180" w:lineRule="exact"/>
    </w:pPr>
    <w:rPr>
      <w:rFonts w:cs="Arial"/>
      <w:color w:val="000000"/>
      <w:sz w:val="15"/>
      <w:szCs w:val="15"/>
      <w:lang w:eastAsia="en-AU"/>
    </w:rPr>
  </w:style>
  <w:style w:type="paragraph" w:customStyle="1" w:styleId="Body">
    <w:name w:val="Body"/>
    <w:basedOn w:val="Normal"/>
    <w:rsid w:val="007B5E21"/>
    <w:rPr>
      <w:rFonts w:ascii="Times New Roman" w:hAnsi="Times New Roman"/>
      <w:sz w:val="22"/>
      <w:szCs w:val="20"/>
    </w:rPr>
  </w:style>
  <w:style w:type="paragraph" w:customStyle="1" w:styleId="Legalstatement">
    <w:name w:val="Legal statement"/>
    <w:basedOn w:val="Footer"/>
    <w:rsid w:val="007B5E21"/>
    <w:pPr>
      <w:tabs>
        <w:tab w:val="clear" w:pos="4153"/>
        <w:tab w:val="clear" w:pos="8306"/>
      </w:tabs>
    </w:pPr>
    <w:rPr>
      <w:rFonts w:ascii="Times New Roman" w:hAnsi="Times New Roman" w:cs="Arial"/>
      <w:color w:val="000000"/>
      <w:sz w:val="16"/>
      <w:szCs w:val="16"/>
    </w:rPr>
  </w:style>
  <w:style w:type="character" w:styleId="FootnoteReference">
    <w:name w:val="footnote reference"/>
    <w:uiPriority w:val="99"/>
    <w:semiHidden/>
    <w:unhideWhenUsed/>
    <w:rsid w:val="007B5E21"/>
    <w:rPr>
      <w:vertAlign w:val="superscript"/>
    </w:rPr>
  </w:style>
  <w:style w:type="character" w:customStyle="1" w:styleId="BodycopyCharChar">
    <w:name w:val="Body copy Char Char"/>
    <w:link w:val="Bodycopy0"/>
    <w:locked/>
    <w:rsid w:val="006D6085"/>
    <w:rPr>
      <w:rFonts w:ascii="Arial" w:hAnsi="Arial" w:cs="Arial"/>
      <w:color w:val="000000"/>
      <w:lang w:eastAsia="en-US"/>
    </w:rPr>
  </w:style>
  <w:style w:type="paragraph" w:customStyle="1" w:styleId="Bodycopy0">
    <w:name w:val="Body copy"/>
    <w:basedOn w:val="Normal"/>
    <w:link w:val="BodycopyCharChar"/>
    <w:rsid w:val="006D6085"/>
    <w:pPr>
      <w:spacing w:before="20" w:line="210" w:lineRule="exact"/>
    </w:pPr>
    <w:rPr>
      <w:rFonts w:cs="Arial"/>
      <w:color w:val="000000"/>
      <w:sz w:val="20"/>
      <w:szCs w:val="20"/>
    </w:rPr>
  </w:style>
  <w:style w:type="character" w:customStyle="1" w:styleId="charsubdno">
    <w:name w:val="charsubdno"/>
    <w:rsid w:val="006D6085"/>
  </w:style>
  <w:style w:type="paragraph" w:customStyle="1" w:styleId="bodycopyindent">
    <w:name w:val="body copy indent"/>
    <w:basedOn w:val="Normal"/>
    <w:link w:val="bodycopyindentChar"/>
    <w:rsid w:val="00652048"/>
    <w:pPr>
      <w:spacing w:before="20" w:line="210" w:lineRule="exact"/>
      <w:ind w:left="510"/>
    </w:pPr>
    <w:rPr>
      <w:rFonts w:cs="Arial"/>
      <w:color w:val="000000"/>
      <w:sz w:val="17"/>
      <w:szCs w:val="17"/>
    </w:rPr>
  </w:style>
  <w:style w:type="character" w:customStyle="1" w:styleId="bodycopyindentChar">
    <w:name w:val="body copy indent Char"/>
    <w:basedOn w:val="DefaultParagraphFont"/>
    <w:link w:val="bodycopyindent"/>
    <w:rsid w:val="00652048"/>
    <w:rPr>
      <w:rFonts w:ascii="Arial" w:hAnsi="Arial" w:cs="Arial"/>
      <w:color w:val="000000"/>
      <w:sz w:val="17"/>
      <w:szCs w:val="17"/>
      <w:lang w:eastAsia="en-US"/>
    </w:rPr>
  </w:style>
  <w:style w:type="paragraph" w:styleId="FootnoteText">
    <w:name w:val="footnote text"/>
    <w:basedOn w:val="Normal"/>
    <w:link w:val="FootnoteTextChar"/>
    <w:unhideWhenUsed/>
    <w:rsid w:val="00652048"/>
    <w:rPr>
      <w:rFonts w:asciiTheme="minorHAnsi" w:hAnsiTheme="minorHAnsi" w:cstheme="minorBidi"/>
      <w:sz w:val="20"/>
      <w:szCs w:val="20"/>
      <w:lang w:eastAsia="en-AU"/>
    </w:rPr>
  </w:style>
  <w:style w:type="character" w:customStyle="1" w:styleId="FootnoteTextChar">
    <w:name w:val="Footnote Text Char"/>
    <w:basedOn w:val="DefaultParagraphFont"/>
    <w:link w:val="FootnoteText"/>
    <w:rsid w:val="00652048"/>
    <w:rPr>
      <w:rFonts w:asciiTheme="minorHAnsi" w:eastAsiaTheme="minorEastAsia" w:hAnsiTheme="minorHAnsi" w:cstheme="minorBidi"/>
    </w:rPr>
  </w:style>
  <w:style w:type="paragraph" w:customStyle="1" w:styleId="sourceref">
    <w:name w:val="source ref"/>
    <w:basedOn w:val="Normal"/>
    <w:link w:val="sourcerefChar"/>
    <w:rsid w:val="00652048"/>
    <w:pPr>
      <w:spacing w:before="40" w:line="190" w:lineRule="exact"/>
    </w:pPr>
    <w:rPr>
      <w:rFonts w:eastAsia="PMingLiU" w:cs="Courier New"/>
      <w:color w:val="003399"/>
      <w:sz w:val="15"/>
      <w:szCs w:val="15"/>
    </w:rPr>
  </w:style>
  <w:style w:type="paragraph" w:customStyle="1" w:styleId="Bodycopyindentbullet">
    <w:name w:val="Body copy indent bullet"/>
    <w:rsid w:val="00652048"/>
    <w:pPr>
      <w:tabs>
        <w:tab w:val="num" w:pos="1021"/>
      </w:tabs>
      <w:spacing w:before="20" w:line="210" w:lineRule="exact"/>
      <w:ind w:left="1021" w:hanging="511"/>
    </w:pPr>
    <w:rPr>
      <w:rFonts w:ascii="Arial" w:eastAsia="PMingLiU" w:hAnsi="Arial" w:cs="Arial"/>
      <w:color w:val="000000"/>
      <w:sz w:val="17"/>
      <w:szCs w:val="17"/>
      <w:lang w:eastAsia="zh-CN"/>
    </w:rPr>
  </w:style>
  <w:style w:type="character" w:customStyle="1" w:styleId="sourcerefChar">
    <w:name w:val="source ref Char"/>
    <w:basedOn w:val="DefaultParagraphFont"/>
    <w:link w:val="sourceref"/>
    <w:rsid w:val="00652048"/>
    <w:rPr>
      <w:rFonts w:ascii="Arial" w:eastAsia="PMingLiU" w:hAnsi="Arial" w:cs="Courier New"/>
      <w:color w:val="003399"/>
      <w:sz w:val="15"/>
      <w:szCs w:val="15"/>
      <w:lang w:eastAsia="en-US"/>
    </w:rPr>
  </w:style>
  <w:style w:type="character" w:styleId="Emphasis">
    <w:name w:val="Emphasis"/>
    <w:basedOn w:val="DefaultParagraphFont"/>
    <w:qFormat/>
    <w:locked/>
    <w:rsid w:val="00585F7A"/>
    <w:rPr>
      <w:i/>
      <w:iCs/>
    </w:rPr>
  </w:style>
  <w:style w:type="paragraph" w:styleId="TOCHeading">
    <w:name w:val="TOC Heading"/>
    <w:basedOn w:val="Heading1"/>
    <w:next w:val="Normal"/>
    <w:uiPriority w:val="39"/>
    <w:unhideWhenUsed/>
    <w:qFormat/>
    <w:rsid w:val="00BF287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locked/>
    <w:rsid w:val="00BF287B"/>
    <w:pPr>
      <w:spacing w:after="100"/>
    </w:pPr>
  </w:style>
  <w:style w:type="paragraph" w:styleId="TOC2">
    <w:name w:val="toc 2"/>
    <w:basedOn w:val="Normal"/>
    <w:next w:val="Normal"/>
    <w:autoRedefine/>
    <w:uiPriority w:val="39"/>
    <w:locked/>
    <w:rsid w:val="00BF287B"/>
    <w:pPr>
      <w:spacing w:after="100"/>
      <w:ind w:left="240"/>
    </w:pPr>
  </w:style>
  <w:style w:type="paragraph" w:styleId="TOC3">
    <w:name w:val="toc 3"/>
    <w:basedOn w:val="Normal"/>
    <w:next w:val="Normal"/>
    <w:autoRedefine/>
    <w:uiPriority w:val="39"/>
    <w:locked/>
    <w:rsid w:val="00BF287B"/>
    <w:pPr>
      <w:spacing w:after="100"/>
      <w:ind w:left="480"/>
    </w:pPr>
  </w:style>
  <w:style w:type="paragraph" w:styleId="TOC4">
    <w:name w:val="toc 4"/>
    <w:basedOn w:val="Normal"/>
    <w:next w:val="Normal"/>
    <w:autoRedefine/>
    <w:uiPriority w:val="39"/>
    <w:unhideWhenUsed/>
    <w:locked/>
    <w:rsid w:val="00BF287B"/>
    <w:pPr>
      <w:spacing w:after="100" w:line="276" w:lineRule="auto"/>
      <w:ind w:left="660"/>
    </w:pPr>
    <w:rPr>
      <w:rFonts w:asciiTheme="minorHAnsi" w:hAnsiTheme="minorHAnsi" w:cstheme="minorBidi"/>
      <w:sz w:val="22"/>
      <w:szCs w:val="22"/>
      <w:lang w:eastAsia="en-AU"/>
    </w:rPr>
  </w:style>
  <w:style w:type="paragraph" w:styleId="TOC5">
    <w:name w:val="toc 5"/>
    <w:basedOn w:val="Normal"/>
    <w:next w:val="Normal"/>
    <w:autoRedefine/>
    <w:uiPriority w:val="39"/>
    <w:unhideWhenUsed/>
    <w:locked/>
    <w:rsid w:val="00BF287B"/>
    <w:pPr>
      <w:spacing w:after="100" w:line="276" w:lineRule="auto"/>
      <w:ind w:left="880"/>
    </w:pPr>
    <w:rPr>
      <w:rFonts w:asciiTheme="minorHAnsi" w:hAnsiTheme="minorHAnsi" w:cstheme="minorBidi"/>
      <w:sz w:val="22"/>
      <w:szCs w:val="22"/>
      <w:lang w:eastAsia="en-AU"/>
    </w:rPr>
  </w:style>
  <w:style w:type="paragraph" w:styleId="TOC6">
    <w:name w:val="toc 6"/>
    <w:basedOn w:val="Normal"/>
    <w:next w:val="Normal"/>
    <w:autoRedefine/>
    <w:uiPriority w:val="39"/>
    <w:unhideWhenUsed/>
    <w:locked/>
    <w:rsid w:val="00BF287B"/>
    <w:pPr>
      <w:spacing w:after="100" w:line="276" w:lineRule="auto"/>
      <w:ind w:left="1100"/>
    </w:pPr>
    <w:rPr>
      <w:rFonts w:asciiTheme="minorHAnsi" w:hAnsiTheme="minorHAnsi" w:cstheme="minorBidi"/>
      <w:sz w:val="22"/>
      <w:szCs w:val="22"/>
      <w:lang w:eastAsia="en-AU"/>
    </w:rPr>
  </w:style>
  <w:style w:type="paragraph" w:styleId="TOC7">
    <w:name w:val="toc 7"/>
    <w:basedOn w:val="Normal"/>
    <w:next w:val="Normal"/>
    <w:autoRedefine/>
    <w:uiPriority w:val="39"/>
    <w:unhideWhenUsed/>
    <w:locked/>
    <w:rsid w:val="00BF287B"/>
    <w:pPr>
      <w:spacing w:after="100" w:line="276" w:lineRule="auto"/>
      <w:ind w:left="1320"/>
    </w:pPr>
    <w:rPr>
      <w:rFonts w:asciiTheme="minorHAnsi" w:hAnsiTheme="minorHAnsi" w:cstheme="minorBidi"/>
      <w:sz w:val="22"/>
      <w:szCs w:val="22"/>
      <w:lang w:eastAsia="en-AU"/>
    </w:rPr>
  </w:style>
  <w:style w:type="paragraph" w:styleId="TOC8">
    <w:name w:val="toc 8"/>
    <w:basedOn w:val="Normal"/>
    <w:next w:val="Normal"/>
    <w:autoRedefine/>
    <w:uiPriority w:val="39"/>
    <w:unhideWhenUsed/>
    <w:locked/>
    <w:rsid w:val="00BF287B"/>
    <w:pPr>
      <w:spacing w:after="100" w:line="276" w:lineRule="auto"/>
      <w:ind w:left="1540"/>
    </w:pPr>
    <w:rPr>
      <w:rFonts w:asciiTheme="minorHAnsi" w:hAnsiTheme="minorHAnsi" w:cstheme="minorBidi"/>
      <w:sz w:val="22"/>
      <w:szCs w:val="22"/>
      <w:lang w:eastAsia="en-AU"/>
    </w:rPr>
  </w:style>
  <w:style w:type="paragraph" w:styleId="TOC9">
    <w:name w:val="toc 9"/>
    <w:basedOn w:val="Normal"/>
    <w:next w:val="Normal"/>
    <w:autoRedefine/>
    <w:uiPriority w:val="39"/>
    <w:unhideWhenUsed/>
    <w:locked/>
    <w:rsid w:val="00BF287B"/>
    <w:pPr>
      <w:spacing w:after="100" w:line="276" w:lineRule="auto"/>
      <w:ind w:left="1760"/>
    </w:pPr>
    <w:rPr>
      <w:rFonts w:asciiTheme="minorHAnsi" w:hAnsiTheme="minorHAnsi" w:cstheme="minorBidi"/>
      <w:sz w:val="22"/>
      <w:szCs w:val="22"/>
      <w:lang w:eastAsia="en-AU"/>
    </w:rPr>
  </w:style>
  <w:style w:type="character" w:styleId="IntenseEmphasis">
    <w:name w:val="Intense Emphasis"/>
    <w:basedOn w:val="DefaultParagraphFont"/>
    <w:uiPriority w:val="21"/>
    <w:qFormat/>
    <w:rsid w:val="00BF287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Normal Indent" w:unhideWhenUsed="1"/>
    <w:lsdException w:name="footnote text" w:uiPriority="0" w:unhideWhenUsed="1"/>
    <w:lsdException w:name="annotation text" w:uiPriority="0"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5BD8"/>
    <w:rPr>
      <w:rFonts w:ascii="Arial" w:hAnsi="Arial"/>
      <w:sz w:val="24"/>
      <w:szCs w:val="24"/>
      <w:lang w:eastAsia="en-US"/>
    </w:rPr>
  </w:style>
  <w:style w:type="paragraph" w:styleId="Heading1">
    <w:name w:val="heading 1"/>
    <w:aliases w:val="CHEAD1,CHEAD11,CHEAD12,CHEAD111,CHEAD13,CHEAD14,CHEAD112"/>
    <w:basedOn w:val="Normal"/>
    <w:next w:val="Normal"/>
    <w:link w:val="Heading1Char"/>
    <w:uiPriority w:val="99"/>
    <w:qFormat/>
    <w:rsid w:val="005B102C"/>
    <w:pPr>
      <w:keepNext/>
      <w:outlineLvl w:val="0"/>
    </w:pPr>
    <w:rPr>
      <w:b/>
    </w:rPr>
  </w:style>
  <w:style w:type="paragraph" w:styleId="Heading2">
    <w:name w:val="heading 2"/>
    <w:aliases w:val="CHEAD2,CHEAD21,CHEAD22,CHEAD23"/>
    <w:basedOn w:val="Normal"/>
    <w:next w:val="Normal"/>
    <w:link w:val="Heading2Char"/>
    <w:uiPriority w:val="99"/>
    <w:qFormat/>
    <w:rsid w:val="005B102C"/>
    <w:pPr>
      <w:keepNext/>
      <w:outlineLvl w:val="1"/>
    </w:pPr>
    <w:rPr>
      <w:b/>
      <w:sz w:val="20"/>
    </w:rPr>
  </w:style>
  <w:style w:type="paragraph" w:styleId="Heading3">
    <w:name w:val="heading 3"/>
    <w:basedOn w:val="Normal"/>
    <w:next w:val="Normal"/>
    <w:link w:val="Heading3Char"/>
    <w:uiPriority w:val="99"/>
    <w:qFormat/>
    <w:rsid w:val="005B102C"/>
    <w:pPr>
      <w:keepNext/>
      <w:jc w:val="center"/>
      <w:outlineLvl w:val="2"/>
    </w:pPr>
    <w:rPr>
      <w:rFonts w:cs="Arial"/>
      <w:b/>
      <w:bCs/>
      <w:color w:val="FFFFFF"/>
      <w:sz w:val="18"/>
      <w:szCs w:val="15"/>
    </w:rPr>
  </w:style>
  <w:style w:type="paragraph" w:styleId="Heading4">
    <w:name w:val="heading 4"/>
    <w:basedOn w:val="Normal"/>
    <w:next w:val="Normal"/>
    <w:link w:val="Heading4Char"/>
    <w:uiPriority w:val="99"/>
    <w:qFormat/>
    <w:rsid w:val="005B102C"/>
    <w:pPr>
      <w:keepNext/>
      <w:jc w:val="center"/>
      <w:outlineLvl w:val="3"/>
    </w:pPr>
    <w:rPr>
      <w:b/>
      <w:bCs/>
      <w:color w:val="000000"/>
      <w:sz w:val="21"/>
      <w:szCs w:val="21"/>
    </w:rPr>
  </w:style>
  <w:style w:type="paragraph" w:styleId="Heading5">
    <w:name w:val="heading 5"/>
    <w:basedOn w:val="Normal"/>
    <w:next w:val="Normal"/>
    <w:link w:val="Heading5Char"/>
    <w:uiPriority w:val="99"/>
    <w:qFormat/>
    <w:rsid w:val="005B102C"/>
    <w:pPr>
      <w:keepNext/>
      <w:outlineLvl w:val="4"/>
    </w:pPr>
    <w:rPr>
      <w:rFonts w:cs="Arial"/>
      <w:b/>
      <w:bCs/>
      <w:color w:val="000000"/>
      <w:sz w:val="21"/>
      <w:szCs w:val="21"/>
    </w:rPr>
  </w:style>
  <w:style w:type="paragraph" w:styleId="Heading6">
    <w:name w:val="heading 6"/>
    <w:basedOn w:val="Normal"/>
    <w:next w:val="Normal"/>
    <w:link w:val="Heading6Char"/>
    <w:uiPriority w:val="99"/>
    <w:qFormat/>
    <w:rsid w:val="005B102C"/>
    <w:pPr>
      <w:keepNext/>
      <w:outlineLvl w:val="5"/>
    </w:pPr>
    <w:rPr>
      <w:b/>
      <w:bCs/>
      <w:sz w:val="21"/>
    </w:rPr>
  </w:style>
  <w:style w:type="paragraph" w:styleId="Heading7">
    <w:name w:val="heading 7"/>
    <w:basedOn w:val="Normal"/>
    <w:next w:val="Normal"/>
    <w:link w:val="Heading7Char"/>
    <w:uiPriority w:val="99"/>
    <w:qFormat/>
    <w:rsid w:val="005B102C"/>
    <w:pPr>
      <w:keepNext/>
      <w:jc w:val="center"/>
      <w:outlineLvl w:val="6"/>
    </w:pPr>
    <w:rPr>
      <w:b/>
      <w:color w:val="000000"/>
      <w:sz w:val="20"/>
      <w:szCs w:val="21"/>
    </w:rPr>
  </w:style>
  <w:style w:type="paragraph" w:styleId="Heading8">
    <w:name w:val="heading 8"/>
    <w:basedOn w:val="Normal"/>
    <w:next w:val="Normal"/>
    <w:link w:val="Heading8Char"/>
    <w:uiPriority w:val="99"/>
    <w:qFormat/>
    <w:rsid w:val="005B102C"/>
    <w:pPr>
      <w:keepNext/>
      <w:jc w:val="right"/>
      <w:outlineLvl w:val="7"/>
    </w:pPr>
    <w:rPr>
      <w:b/>
      <w:sz w:val="48"/>
    </w:rPr>
  </w:style>
  <w:style w:type="paragraph" w:styleId="Heading9">
    <w:name w:val="heading 9"/>
    <w:basedOn w:val="Normal"/>
    <w:next w:val="Normal"/>
    <w:link w:val="Heading9Char"/>
    <w:uiPriority w:val="99"/>
    <w:qFormat/>
    <w:rsid w:val="005B102C"/>
    <w:pPr>
      <w:numPr>
        <w:numId w:val="8"/>
      </w:numPr>
      <w:tabs>
        <w:tab w:val="num" w:pos="1004"/>
      </w:tabs>
      <w:ind w:left="1004"/>
      <w:outlineLvl w:val="8"/>
    </w:pPr>
    <w:rPr>
      <w:rFonts w:ascii="Univers (W1)" w:hAnsi="Univers (W1)"/>
      <w:i/>
      <w:vanish/>
      <w:sz w:val="1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EAD1 Char,CHEAD11 Char,CHEAD12 Char,CHEAD111 Char,CHEAD13 Char,CHEAD14 Char,CHEAD112 Char"/>
    <w:link w:val="Heading1"/>
    <w:uiPriority w:val="99"/>
    <w:locked/>
    <w:rsid w:val="00CB246E"/>
    <w:rPr>
      <w:rFonts w:ascii="Cambria" w:hAnsi="Cambria" w:cs="Times New Roman"/>
      <w:b/>
      <w:bCs/>
      <w:kern w:val="32"/>
      <w:sz w:val="32"/>
      <w:szCs w:val="32"/>
      <w:lang w:val="x-none" w:eastAsia="en-US"/>
    </w:rPr>
  </w:style>
  <w:style w:type="character" w:customStyle="1" w:styleId="Heading2Char">
    <w:name w:val="Heading 2 Char"/>
    <w:aliases w:val="CHEAD2 Char,CHEAD21 Char,CHEAD22 Char,CHEAD23 Char"/>
    <w:link w:val="Heading2"/>
    <w:uiPriority w:val="99"/>
    <w:semiHidden/>
    <w:locked/>
    <w:rsid w:val="00CB246E"/>
    <w:rPr>
      <w:rFonts w:ascii="Cambria" w:hAnsi="Cambria" w:cs="Times New Roman"/>
      <w:b/>
      <w:bCs/>
      <w:i/>
      <w:iCs/>
      <w:sz w:val="28"/>
      <w:szCs w:val="28"/>
      <w:lang w:val="x-none" w:eastAsia="en-US"/>
    </w:rPr>
  </w:style>
  <w:style w:type="character" w:customStyle="1" w:styleId="Heading3Char">
    <w:name w:val="Heading 3 Char"/>
    <w:link w:val="Heading3"/>
    <w:uiPriority w:val="99"/>
    <w:semiHidden/>
    <w:locked/>
    <w:rsid w:val="00CB246E"/>
    <w:rPr>
      <w:rFonts w:ascii="Cambria" w:hAnsi="Cambria" w:cs="Times New Roman"/>
      <w:b/>
      <w:bCs/>
      <w:sz w:val="26"/>
      <w:szCs w:val="26"/>
      <w:lang w:val="x-none" w:eastAsia="en-US"/>
    </w:rPr>
  </w:style>
  <w:style w:type="character" w:customStyle="1" w:styleId="Heading4Char">
    <w:name w:val="Heading 4 Char"/>
    <w:link w:val="Heading4"/>
    <w:uiPriority w:val="99"/>
    <w:semiHidden/>
    <w:locked/>
    <w:rsid w:val="00CB246E"/>
    <w:rPr>
      <w:rFonts w:ascii="Calibri" w:hAnsi="Calibri" w:cs="Times New Roman"/>
      <w:b/>
      <w:bCs/>
      <w:sz w:val="28"/>
      <w:szCs w:val="28"/>
      <w:lang w:val="x-none" w:eastAsia="en-US"/>
    </w:rPr>
  </w:style>
  <w:style w:type="character" w:customStyle="1" w:styleId="Heading5Char">
    <w:name w:val="Heading 5 Char"/>
    <w:link w:val="Heading5"/>
    <w:uiPriority w:val="99"/>
    <w:semiHidden/>
    <w:locked/>
    <w:rsid w:val="00CB246E"/>
    <w:rPr>
      <w:rFonts w:ascii="Calibri" w:hAnsi="Calibri" w:cs="Times New Roman"/>
      <w:b/>
      <w:bCs/>
      <w:i/>
      <w:iCs/>
      <w:sz w:val="26"/>
      <w:szCs w:val="26"/>
      <w:lang w:val="x-none" w:eastAsia="en-US"/>
    </w:rPr>
  </w:style>
  <w:style w:type="character" w:customStyle="1" w:styleId="Heading6Char">
    <w:name w:val="Heading 6 Char"/>
    <w:link w:val="Heading6"/>
    <w:uiPriority w:val="99"/>
    <w:semiHidden/>
    <w:locked/>
    <w:rsid w:val="00CB246E"/>
    <w:rPr>
      <w:rFonts w:ascii="Calibri" w:hAnsi="Calibri" w:cs="Times New Roman"/>
      <w:b/>
      <w:bCs/>
      <w:sz w:val="22"/>
      <w:szCs w:val="22"/>
      <w:lang w:val="x-none" w:eastAsia="en-US"/>
    </w:rPr>
  </w:style>
  <w:style w:type="character" w:customStyle="1" w:styleId="Heading7Char">
    <w:name w:val="Heading 7 Char"/>
    <w:link w:val="Heading7"/>
    <w:uiPriority w:val="99"/>
    <w:semiHidden/>
    <w:locked/>
    <w:rsid w:val="00CB246E"/>
    <w:rPr>
      <w:rFonts w:ascii="Calibri" w:hAnsi="Calibri" w:cs="Times New Roman"/>
      <w:sz w:val="24"/>
      <w:szCs w:val="24"/>
      <w:lang w:val="x-none" w:eastAsia="en-US"/>
    </w:rPr>
  </w:style>
  <w:style w:type="character" w:customStyle="1" w:styleId="Heading8Char">
    <w:name w:val="Heading 8 Char"/>
    <w:link w:val="Heading8"/>
    <w:uiPriority w:val="99"/>
    <w:semiHidden/>
    <w:locked/>
    <w:rsid w:val="00CB246E"/>
    <w:rPr>
      <w:rFonts w:ascii="Calibri" w:hAnsi="Calibri" w:cs="Times New Roman"/>
      <w:i/>
      <w:iCs/>
      <w:sz w:val="24"/>
      <w:szCs w:val="24"/>
      <w:lang w:val="x-none" w:eastAsia="en-US"/>
    </w:rPr>
  </w:style>
  <w:style w:type="character" w:customStyle="1" w:styleId="Heading9Char">
    <w:name w:val="Heading 9 Char"/>
    <w:link w:val="Heading9"/>
    <w:uiPriority w:val="99"/>
    <w:locked/>
    <w:rsid w:val="00CB246E"/>
    <w:rPr>
      <w:rFonts w:ascii="Univers (W1)" w:hAnsi="Univers (W1)"/>
      <w:i/>
      <w:vanish/>
      <w:sz w:val="10"/>
      <w:szCs w:val="24"/>
      <w:lang w:eastAsia="en-US"/>
    </w:rPr>
  </w:style>
  <w:style w:type="paragraph" w:styleId="BodyText">
    <w:name w:val="Body Text"/>
    <w:aliases w:val="Body Text Note indent"/>
    <w:basedOn w:val="Normal"/>
    <w:link w:val="BodyTextChar"/>
    <w:uiPriority w:val="99"/>
    <w:rsid w:val="005B102C"/>
    <w:rPr>
      <w:sz w:val="20"/>
    </w:rPr>
  </w:style>
  <w:style w:type="character" w:customStyle="1" w:styleId="BodyTextChar">
    <w:name w:val="Body Text Char"/>
    <w:aliases w:val="Body Text Note indent Char"/>
    <w:link w:val="BodyText"/>
    <w:uiPriority w:val="99"/>
    <w:semiHidden/>
    <w:locked/>
    <w:rsid w:val="00CB246E"/>
    <w:rPr>
      <w:rFonts w:ascii="Arial" w:hAnsi="Arial" w:cs="Times New Roman"/>
      <w:sz w:val="24"/>
      <w:szCs w:val="24"/>
      <w:lang w:val="x-none" w:eastAsia="en-US"/>
    </w:rPr>
  </w:style>
  <w:style w:type="paragraph" w:styleId="BodyTextIndent">
    <w:name w:val="Body Text Indent"/>
    <w:basedOn w:val="Normal"/>
    <w:link w:val="BodyTextIndentChar"/>
    <w:uiPriority w:val="99"/>
    <w:rsid w:val="005B102C"/>
    <w:pPr>
      <w:ind w:left="-374"/>
    </w:pPr>
  </w:style>
  <w:style w:type="character" w:customStyle="1" w:styleId="BodyTextIndentChar">
    <w:name w:val="Body Text Indent Char"/>
    <w:link w:val="BodyTextIndent"/>
    <w:uiPriority w:val="99"/>
    <w:semiHidden/>
    <w:locked/>
    <w:rsid w:val="00CB246E"/>
    <w:rPr>
      <w:rFonts w:ascii="Arial" w:hAnsi="Arial" w:cs="Times New Roman"/>
      <w:sz w:val="24"/>
      <w:szCs w:val="24"/>
      <w:lang w:val="x-none" w:eastAsia="en-US"/>
    </w:rPr>
  </w:style>
  <w:style w:type="paragraph" w:styleId="BodyTextIndent2">
    <w:name w:val="Body Text Indent 2"/>
    <w:basedOn w:val="Normal"/>
    <w:link w:val="BodyTextIndent2Char"/>
    <w:uiPriority w:val="99"/>
    <w:rsid w:val="005B102C"/>
    <w:pPr>
      <w:ind w:left="561" w:hanging="561"/>
    </w:pPr>
  </w:style>
  <w:style w:type="character" w:customStyle="1" w:styleId="BodyTextIndent2Char">
    <w:name w:val="Body Text Indent 2 Char"/>
    <w:link w:val="BodyTextIndent2"/>
    <w:uiPriority w:val="99"/>
    <w:semiHidden/>
    <w:locked/>
    <w:rsid w:val="00CB246E"/>
    <w:rPr>
      <w:rFonts w:ascii="Arial" w:hAnsi="Arial" w:cs="Times New Roman"/>
      <w:sz w:val="24"/>
      <w:szCs w:val="24"/>
      <w:lang w:val="x-none" w:eastAsia="en-US"/>
    </w:rPr>
  </w:style>
  <w:style w:type="paragraph" w:styleId="BodyTextIndent3">
    <w:name w:val="Body Text Indent 3"/>
    <w:basedOn w:val="Normal"/>
    <w:link w:val="BodyTextIndent3Char"/>
    <w:uiPriority w:val="99"/>
    <w:rsid w:val="005B102C"/>
    <w:pPr>
      <w:tabs>
        <w:tab w:val="left" w:pos="561"/>
      </w:tabs>
      <w:ind w:left="555" w:hanging="555"/>
    </w:pPr>
  </w:style>
  <w:style w:type="character" w:customStyle="1" w:styleId="BodyTextIndent3Char">
    <w:name w:val="Body Text Indent 3 Char"/>
    <w:link w:val="BodyTextIndent3"/>
    <w:uiPriority w:val="99"/>
    <w:semiHidden/>
    <w:locked/>
    <w:rsid w:val="00CB246E"/>
    <w:rPr>
      <w:rFonts w:ascii="Arial" w:hAnsi="Arial" w:cs="Times New Roman"/>
      <w:sz w:val="16"/>
      <w:szCs w:val="16"/>
      <w:lang w:val="x-none" w:eastAsia="en-US"/>
    </w:rPr>
  </w:style>
  <w:style w:type="paragraph" w:styleId="Header">
    <w:name w:val="header"/>
    <w:aliases w:val=" Char"/>
    <w:basedOn w:val="Normal"/>
    <w:link w:val="HeaderChar"/>
    <w:uiPriority w:val="99"/>
    <w:rsid w:val="005B102C"/>
    <w:pPr>
      <w:tabs>
        <w:tab w:val="center" w:pos="4320"/>
        <w:tab w:val="right" w:pos="8640"/>
      </w:tabs>
    </w:pPr>
  </w:style>
  <w:style w:type="character" w:customStyle="1" w:styleId="HeaderChar">
    <w:name w:val="Header Char"/>
    <w:aliases w:val=" Char Char"/>
    <w:link w:val="Header"/>
    <w:uiPriority w:val="99"/>
    <w:semiHidden/>
    <w:locked/>
    <w:rsid w:val="00CB246E"/>
    <w:rPr>
      <w:rFonts w:ascii="Arial" w:hAnsi="Arial" w:cs="Times New Roman"/>
      <w:sz w:val="24"/>
      <w:szCs w:val="24"/>
      <w:lang w:val="x-none" w:eastAsia="en-US"/>
    </w:rPr>
  </w:style>
  <w:style w:type="character" w:styleId="PageNumber">
    <w:name w:val="page number"/>
    <w:rsid w:val="005B102C"/>
    <w:rPr>
      <w:rFonts w:cs="Times New Roman"/>
    </w:rPr>
  </w:style>
  <w:style w:type="paragraph" w:customStyle="1" w:styleId="BulletBody1">
    <w:name w:val="Bullet Body1"/>
    <w:basedOn w:val="Normal"/>
    <w:uiPriority w:val="99"/>
    <w:rsid w:val="005B102C"/>
    <w:pPr>
      <w:numPr>
        <w:numId w:val="1"/>
      </w:numPr>
      <w:tabs>
        <w:tab w:val="left" w:pos="284"/>
      </w:tabs>
      <w:spacing w:before="120" w:line="240" w:lineRule="atLeast"/>
    </w:pPr>
    <w:rPr>
      <w:rFonts w:ascii="Times New Roman" w:hAnsi="Times New Roman"/>
      <w:sz w:val="21"/>
      <w:szCs w:val="20"/>
    </w:rPr>
  </w:style>
  <w:style w:type="paragraph" w:customStyle="1" w:styleId="BulletBody2">
    <w:name w:val="Bullet Body2"/>
    <w:basedOn w:val="BodyCopy"/>
    <w:uiPriority w:val="99"/>
    <w:rsid w:val="005B102C"/>
    <w:pPr>
      <w:numPr>
        <w:numId w:val="2"/>
      </w:numPr>
      <w:tabs>
        <w:tab w:val="left" w:pos="283"/>
      </w:tabs>
    </w:pPr>
    <w:rPr>
      <w:color w:val="auto"/>
    </w:rPr>
  </w:style>
  <w:style w:type="paragraph" w:customStyle="1" w:styleId="BodyCopy">
    <w:name w:val="Body Copy"/>
    <w:rsid w:val="005B102C"/>
    <w:pPr>
      <w:spacing w:before="120" w:line="240" w:lineRule="atLeast"/>
      <w:jc w:val="both"/>
    </w:pPr>
    <w:rPr>
      <w:color w:val="000000"/>
      <w:sz w:val="21"/>
      <w:lang w:val="en-US" w:eastAsia="en-US"/>
    </w:rPr>
  </w:style>
  <w:style w:type="paragraph" w:customStyle="1" w:styleId="bullettextindent">
    <w:name w:val="bullettext indent"/>
    <w:basedOn w:val="Normal"/>
    <w:uiPriority w:val="99"/>
    <w:rsid w:val="005B102C"/>
    <w:pPr>
      <w:numPr>
        <w:numId w:val="3"/>
      </w:numPr>
    </w:pPr>
    <w:rPr>
      <w:rFonts w:ascii="Times New Roman" w:hAnsi="Times New Roman"/>
      <w:szCs w:val="20"/>
    </w:rPr>
  </w:style>
  <w:style w:type="paragraph" w:customStyle="1" w:styleId="RedBullet1">
    <w:name w:val="Red Bullet1"/>
    <w:basedOn w:val="BulletBody"/>
    <w:uiPriority w:val="99"/>
    <w:rsid w:val="005B102C"/>
    <w:pPr>
      <w:numPr>
        <w:numId w:val="4"/>
      </w:numPr>
    </w:pPr>
    <w:rPr>
      <w:i/>
      <w:iCs/>
      <w:color w:val="009999"/>
    </w:rPr>
  </w:style>
  <w:style w:type="paragraph" w:customStyle="1" w:styleId="BulletBody">
    <w:name w:val="Bullet Body"/>
    <w:basedOn w:val="Normal"/>
    <w:uiPriority w:val="99"/>
    <w:rsid w:val="005B102C"/>
    <w:pPr>
      <w:widowControl w:val="0"/>
      <w:numPr>
        <w:numId w:val="6"/>
      </w:numPr>
      <w:tabs>
        <w:tab w:val="left" w:pos="283"/>
      </w:tabs>
      <w:spacing w:before="120"/>
      <w:jc w:val="both"/>
    </w:pPr>
    <w:rPr>
      <w:rFonts w:ascii="Times New Roman" w:hAnsi="Times New Roman"/>
      <w:szCs w:val="20"/>
    </w:rPr>
  </w:style>
  <w:style w:type="paragraph" w:customStyle="1" w:styleId="redbodyd">
    <w:name w:val="red body d"/>
    <w:basedOn w:val="RedBody4"/>
    <w:uiPriority w:val="99"/>
    <w:rsid w:val="005B102C"/>
    <w:pPr>
      <w:numPr>
        <w:numId w:val="5"/>
      </w:numPr>
    </w:pPr>
  </w:style>
  <w:style w:type="paragraph" w:customStyle="1" w:styleId="RedBody4">
    <w:name w:val="Red Body4"/>
    <w:basedOn w:val="BodyCopy"/>
    <w:uiPriority w:val="99"/>
    <w:rsid w:val="005B102C"/>
    <w:rPr>
      <w:i/>
      <w:iCs/>
      <w:color w:val="009999"/>
    </w:rPr>
  </w:style>
  <w:style w:type="paragraph" w:customStyle="1" w:styleId="RedBulletIndented">
    <w:name w:val="Red Bullet Indented"/>
    <w:basedOn w:val="RedBullet"/>
    <w:uiPriority w:val="99"/>
    <w:rsid w:val="005B102C"/>
    <w:pPr>
      <w:tabs>
        <w:tab w:val="clear" w:pos="510"/>
        <w:tab w:val="num" w:pos="360"/>
        <w:tab w:val="left" w:pos="714"/>
      </w:tabs>
      <w:spacing w:before="40"/>
      <w:ind w:left="360" w:hanging="360"/>
    </w:pPr>
  </w:style>
  <w:style w:type="paragraph" w:customStyle="1" w:styleId="RedBullet">
    <w:name w:val="Red Bullet"/>
    <w:basedOn w:val="Redbody"/>
    <w:uiPriority w:val="99"/>
    <w:rsid w:val="005B102C"/>
    <w:pPr>
      <w:numPr>
        <w:numId w:val="7"/>
      </w:numPr>
    </w:pPr>
  </w:style>
  <w:style w:type="paragraph" w:customStyle="1" w:styleId="Redbody">
    <w:name w:val="Red body"/>
    <w:basedOn w:val="Normal"/>
    <w:uiPriority w:val="99"/>
    <w:rsid w:val="005B102C"/>
    <w:pPr>
      <w:spacing w:after="60"/>
    </w:pPr>
    <w:rPr>
      <w:rFonts w:ascii="Times New Roman" w:hAnsi="Times New Roman"/>
      <w:color w:val="008080"/>
      <w:sz w:val="21"/>
    </w:rPr>
  </w:style>
  <w:style w:type="paragraph" w:styleId="BodyText2">
    <w:name w:val="Body Text 2"/>
    <w:basedOn w:val="Normal"/>
    <w:link w:val="BodyText2Char"/>
    <w:uiPriority w:val="99"/>
    <w:rsid w:val="005B102C"/>
    <w:rPr>
      <w:rFonts w:cs="Arial"/>
      <w:color w:val="FFFFFF"/>
      <w:sz w:val="18"/>
    </w:rPr>
  </w:style>
  <w:style w:type="character" w:customStyle="1" w:styleId="BodyText2Char">
    <w:name w:val="Body Text 2 Char"/>
    <w:link w:val="BodyText2"/>
    <w:uiPriority w:val="99"/>
    <w:semiHidden/>
    <w:locked/>
    <w:rsid w:val="00CB246E"/>
    <w:rPr>
      <w:rFonts w:ascii="Arial" w:hAnsi="Arial" w:cs="Times New Roman"/>
      <w:sz w:val="24"/>
      <w:szCs w:val="24"/>
      <w:lang w:val="x-none" w:eastAsia="en-US"/>
    </w:rPr>
  </w:style>
  <w:style w:type="paragraph" w:customStyle="1" w:styleId="TextPara">
    <w:name w:val="Text Para"/>
    <w:basedOn w:val="Normal"/>
    <w:rsid w:val="005B102C"/>
    <w:pPr>
      <w:autoSpaceDE w:val="0"/>
      <w:autoSpaceDN w:val="0"/>
      <w:adjustRightInd w:val="0"/>
    </w:pPr>
    <w:rPr>
      <w:sz w:val="20"/>
      <w:szCs w:val="20"/>
    </w:rPr>
  </w:style>
  <w:style w:type="paragraph" w:styleId="BodyText3">
    <w:name w:val="Body Text 3"/>
    <w:basedOn w:val="Normal"/>
    <w:link w:val="BodyText3Char"/>
    <w:uiPriority w:val="99"/>
    <w:rsid w:val="005B102C"/>
    <w:rPr>
      <w:rFonts w:cs="Arial"/>
      <w:b/>
      <w:bCs/>
      <w:color w:val="000000"/>
      <w:sz w:val="21"/>
      <w:szCs w:val="21"/>
    </w:rPr>
  </w:style>
  <w:style w:type="character" w:customStyle="1" w:styleId="BodyText3Char">
    <w:name w:val="Body Text 3 Char"/>
    <w:link w:val="BodyText3"/>
    <w:uiPriority w:val="99"/>
    <w:semiHidden/>
    <w:locked/>
    <w:rsid w:val="00CB246E"/>
    <w:rPr>
      <w:rFonts w:ascii="Arial" w:hAnsi="Arial" w:cs="Times New Roman"/>
      <w:sz w:val="16"/>
      <w:szCs w:val="16"/>
      <w:lang w:val="x-none" w:eastAsia="en-US"/>
    </w:rPr>
  </w:style>
  <w:style w:type="paragraph" w:styleId="BalloonText">
    <w:name w:val="Balloon Text"/>
    <w:basedOn w:val="Normal"/>
    <w:link w:val="BalloonTextChar"/>
    <w:uiPriority w:val="99"/>
    <w:semiHidden/>
    <w:rsid w:val="00F330B6"/>
    <w:rPr>
      <w:rFonts w:ascii="Tahoma" w:hAnsi="Tahoma" w:cs="Tahoma"/>
      <w:sz w:val="16"/>
      <w:szCs w:val="16"/>
    </w:rPr>
  </w:style>
  <w:style w:type="character" w:customStyle="1" w:styleId="BalloonTextChar">
    <w:name w:val="Balloon Text Char"/>
    <w:link w:val="BalloonText"/>
    <w:uiPriority w:val="99"/>
    <w:semiHidden/>
    <w:locked/>
    <w:rsid w:val="00CB246E"/>
    <w:rPr>
      <w:rFonts w:cs="Times New Roman"/>
      <w:sz w:val="2"/>
      <w:lang w:val="x-none" w:eastAsia="en-US"/>
    </w:rPr>
  </w:style>
  <w:style w:type="table" w:styleId="TableGrid">
    <w:name w:val="Table Grid"/>
    <w:basedOn w:val="TableNormal"/>
    <w:uiPriority w:val="99"/>
    <w:rsid w:val="006E5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ara0">
    <w:name w:val="textpara"/>
    <w:basedOn w:val="Normal"/>
    <w:rsid w:val="005B0273"/>
    <w:pPr>
      <w:autoSpaceDE w:val="0"/>
      <w:autoSpaceDN w:val="0"/>
    </w:pPr>
    <w:rPr>
      <w:rFonts w:cs="Arial"/>
      <w:sz w:val="20"/>
      <w:szCs w:val="20"/>
      <w:lang w:eastAsia="en-AU"/>
    </w:rPr>
  </w:style>
  <w:style w:type="paragraph" w:styleId="Footer">
    <w:name w:val="footer"/>
    <w:basedOn w:val="Normal"/>
    <w:link w:val="FooterChar"/>
    <w:uiPriority w:val="99"/>
    <w:rsid w:val="00232B92"/>
    <w:pPr>
      <w:tabs>
        <w:tab w:val="center" w:pos="4153"/>
        <w:tab w:val="right" w:pos="8306"/>
      </w:tabs>
    </w:pPr>
  </w:style>
  <w:style w:type="character" w:customStyle="1" w:styleId="FooterChar">
    <w:name w:val="Footer Char"/>
    <w:link w:val="Footer"/>
    <w:uiPriority w:val="99"/>
    <w:locked/>
    <w:rsid w:val="00CB246E"/>
    <w:rPr>
      <w:rFonts w:ascii="Arial" w:hAnsi="Arial" w:cs="Times New Roman"/>
      <w:sz w:val="24"/>
      <w:szCs w:val="24"/>
      <w:lang w:val="x-none" w:eastAsia="en-US"/>
    </w:rPr>
  </w:style>
  <w:style w:type="character" w:styleId="Hyperlink">
    <w:name w:val="Hyperlink"/>
    <w:uiPriority w:val="99"/>
    <w:rsid w:val="00D60636"/>
    <w:rPr>
      <w:rFonts w:cs="Times New Roman"/>
      <w:color w:val="0000FF"/>
      <w:u w:val="single"/>
    </w:rPr>
  </w:style>
  <w:style w:type="character" w:styleId="CommentReference">
    <w:name w:val="annotation reference"/>
    <w:rsid w:val="00AA1F15"/>
    <w:rPr>
      <w:sz w:val="16"/>
      <w:szCs w:val="16"/>
    </w:rPr>
  </w:style>
  <w:style w:type="paragraph" w:styleId="CommentText">
    <w:name w:val="annotation text"/>
    <w:basedOn w:val="Normal"/>
    <w:link w:val="CommentTextChar"/>
    <w:rsid w:val="00AA1F15"/>
    <w:rPr>
      <w:sz w:val="20"/>
      <w:szCs w:val="20"/>
    </w:rPr>
  </w:style>
  <w:style w:type="paragraph" w:styleId="CommentSubject">
    <w:name w:val="annotation subject"/>
    <w:basedOn w:val="CommentText"/>
    <w:next w:val="CommentText"/>
    <w:semiHidden/>
    <w:rsid w:val="00AA1F15"/>
    <w:rPr>
      <w:b/>
      <w:bCs/>
    </w:rPr>
  </w:style>
  <w:style w:type="paragraph" w:styleId="NormalWeb">
    <w:name w:val="Normal (Web)"/>
    <w:basedOn w:val="Normal"/>
    <w:uiPriority w:val="99"/>
    <w:rsid w:val="00EB1EC9"/>
    <w:pPr>
      <w:spacing w:before="100" w:beforeAutospacing="1" w:after="100" w:afterAutospacing="1"/>
    </w:pPr>
    <w:rPr>
      <w:rFonts w:eastAsia="Arial Unicode MS" w:cs="Arial"/>
      <w:color w:val="666666"/>
      <w:sz w:val="20"/>
      <w:szCs w:val="20"/>
      <w:lang w:val="en-US"/>
    </w:rPr>
  </w:style>
  <w:style w:type="paragraph" w:customStyle="1" w:styleId="Bodycopybullet">
    <w:name w:val="Body copy bullet"/>
    <w:basedOn w:val="BodyCopy"/>
    <w:rsid w:val="00EC551B"/>
    <w:pPr>
      <w:numPr>
        <w:numId w:val="15"/>
      </w:numPr>
      <w:spacing w:before="20" w:line="210" w:lineRule="exact"/>
      <w:jc w:val="left"/>
    </w:pPr>
    <w:rPr>
      <w:rFonts w:ascii="Arial" w:hAnsi="Arial" w:cs="Arial"/>
      <w:sz w:val="17"/>
      <w:szCs w:val="17"/>
      <w:lang w:val="en-AU"/>
    </w:rPr>
  </w:style>
  <w:style w:type="paragraph" w:styleId="ListParagraph">
    <w:name w:val="List Paragraph"/>
    <w:basedOn w:val="Normal"/>
    <w:uiPriority w:val="34"/>
    <w:qFormat/>
    <w:rsid w:val="00EC551B"/>
    <w:pPr>
      <w:ind w:left="720"/>
      <w:contextualSpacing/>
    </w:pPr>
    <w:rPr>
      <w:rFonts w:ascii="Times New Roman" w:hAnsi="Times New Roman"/>
    </w:rPr>
  </w:style>
  <w:style w:type="paragraph" w:customStyle="1" w:styleId="List21">
    <w:name w:val="List 21"/>
    <w:basedOn w:val="Normal"/>
    <w:rsid w:val="00965856"/>
    <w:pPr>
      <w:numPr>
        <w:numId w:val="18"/>
      </w:numPr>
      <w:ind w:left="284" w:hanging="284"/>
    </w:pPr>
    <w:rPr>
      <w:rFonts w:ascii="Times New Roman" w:eastAsia="Calibri" w:hAnsi="Times New Roman"/>
      <w:sz w:val="20"/>
      <w:szCs w:val="20"/>
    </w:rPr>
  </w:style>
  <w:style w:type="paragraph" w:styleId="Revision">
    <w:name w:val="Revision"/>
    <w:hidden/>
    <w:uiPriority w:val="99"/>
    <w:semiHidden/>
    <w:rsid w:val="00C22DC7"/>
    <w:rPr>
      <w:rFonts w:ascii="Arial" w:hAnsi="Arial"/>
      <w:sz w:val="24"/>
      <w:szCs w:val="24"/>
      <w:lang w:eastAsia="en-US"/>
    </w:rPr>
  </w:style>
  <w:style w:type="character" w:customStyle="1" w:styleId="CommentTextChar">
    <w:name w:val="Comment Text Char"/>
    <w:link w:val="CommentText"/>
    <w:rsid w:val="009E14BE"/>
    <w:rPr>
      <w:rFonts w:ascii="Arial" w:hAnsi="Arial"/>
      <w:lang w:eastAsia="en-US"/>
    </w:rPr>
  </w:style>
  <w:style w:type="character" w:styleId="FollowedHyperlink">
    <w:name w:val="FollowedHyperlink"/>
    <w:uiPriority w:val="99"/>
    <w:semiHidden/>
    <w:unhideWhenUsed/>
    <w:rsid w:val="00D2715B"/>
    <w:rPr>
      <w:color w:val="800080"/>
      <w:u w:val="single"/>
    </w:rPr>
  </w:style>
  <w:style w:type="paragraph" w:styleId="PlainText">
    <w:name w:val="Plain Text"/>
    <w:basedOn w:val="Normal"/>
    <w:link w:val="PlainTextChar"/>
    <w:uiPriority w:val="99"/>
    <w:semiHidden/>
    <w:unhideWhenUsed/>
    <w:rsid w:val="00611F27"/>
    <w:rPr>
      <w:rFonts w:ascii="Calibri" w:hAnsi="Calibri"/>
      <w:sz w:val="22"/>
      <w:szCs w:val="21"/>
    </w:rPr>
  </w:style>
  <w:style w:type="character" w:customStyle="1" w:styleId="PlainTextChar">
    <w:name w:val="Plain Text Char"/>
    <w:link w:val="PlainText"/>
    <w:uiPriority w:val="99"/>
    <w:semiHidden/>
    <w:rsid w:val="00611F27"/>
    <w:rPr>
      <w:rFonts w:ascii="Calibri" w:hAnsi="Calibri"/>
      <w:sz w:val="22"/>
      <w:szCs w:val="21"/>
      <w:lang w:eastAsia="en-US"/>
    </w:rPr>
  </w:style>
  <w:style w:type="paragraph" w:customStyle="1" w:styleId="Dividerline">
    <w:name w:val="Divider line"/>
    <w:basedOn w:val="Normal"/>
    <w:rsid w:val="007B5E21"/>
    <w:rPr>
      <w:rFonts w:cs="Courier New"/>
      <w:sz w:val="15"/>
      <w:szCs w:val="15"/>
    </w:rPr>
  </w:style>
  <w:style w:type="character" w:customStyle="1" w:styleId="AddressdetailsChar">
    <w:name w:val="Address details Char"/>
    <w:link w:val="Addressdetails"/>
    <w:locked/>
    <w:rsid w:val="007B5E21"/>
    <w:rPr>
      <w:rFonts w:ascii="Arial" w:hAnsi="Arial" w:cs="Arial"/>
      <w:color w:val="000000"/>
      <w:sz w:val="15"/>
      <w:szCs w:val="15"/>
    </w:rPr>
  </w:style>
  <w:style w:type="paragraph" w:customStyle="1" w:styleId="Addressdetails">
    <w:name w:val="Address details"/>
    <w:basedOn w:val="Normal"/>
    <w:link w:val="AddressdetailsChar"/>
    <w:rsid w:val="007B5E21"/>
    <w:pPr>
      <w:tabs>
        <w:tab w:val="center" w:pos="4153"/>
        <w:tab w:val="right" w:pos="9120"/>
      </w:tabs>
      <w:spacing w:before="85" w:line="180" w:lineRule="exact"/>
    </w:pPr>
    <w:rPr>
      <w:rFonts w:cs="Arial"/>
      <w:color w:val="000000"/>
      <w:sz w:val="15"/>
      <w:szCs w:val="15"/>
      <w:lang w:eastAsia="en-AU"/>
    </w:rPr>
  </w:style>
  <w:style w:type="paragraph" w:customStyle="1" w:styleId="Body">
    <w:name w:val="Body"/>
    <w:basedOn w:val="Normal"/>
    <w:rsid w:val="007B5E21"/>
    <w:rPr>
      <w:rFonts w:ascii="Times New Roman" w:hAnsi="Times New Roman"/>
      <w:sz w:val="22"/>
      <w:szCs w:val="20"/>
    </w:rPr>
  </w:style>
  <w:style w:type="paragraph" w:customStyle="1" w:styleId="Legalstatement">
    <w:name w:val="Legal statement"/>
    <w:basedOn w:val="Footer"/>
    <w:rsid w:val="007B5E21"/>
    <w:pPr>
      <w:tabs>
        <w:tab w:val="clear" w:pos="4153"/>
        <w:tab w:val="clear" w:pos="8306"/>
      </w:tabs>
    </w:pPr>
    <w:rPr>
      <w:rFonts w:ascii="Times New Roman" w:hAnsi="Times New Roman" w:cs="Arial"/>
      <w:color w:val="000000"/>
      <w:sz w:val="16"/>
      <w:szCs w:val="16"/>
    </w:rPr>
  </w:style>
  <w:style w:type="character" w:styleId="FootnoteReference">
    <w:name w:val="footnote reference"/>
    <w:uiPriority w:val="99"/>
    <w:semiHidden/>
    <w:unhideWhenUsed/>
    <w:rsid w:val="007B5E21"/>
    <w:rPr>
      <w:vertAlign w:val="superscript"/>
    </w:rPr>
  </w:style>
  <w:style w:type="character" w:customStyle="1" w:styleId="BodycopyCharChar">
    <w:name w:val="Body copy Char Char"/>
    <w:link w:val="Bodycopy0"/>
    <w:locked/>
    <w:rsid w:val="006D6085"/>
    <w:rPr>
      <w:rFonts w:ascii="Arial" w:hAnsi="Arial" w:cs="Arial"/>
      <w:color w:val="000000"/>
      <w:lang w:eastAsia="en-US"/>
    </w:rPr>
  </w:style>
  <w:style w:type="paragraph" w:customStyle="1" w:styleId="Bodycopy0">
    <w:name w:val="Body copy"/>
    <w:basedOn w:val="Normal"/>
    <w:link w:val="BodycopyCharChar"/>
    <w:rsid w:val="006D6085"/>
    <w:pPr>
      <w:spacing w:before="20" w:line="210" w:lineRule="exact"/>
    </w:pPr>
    <w:rPr>
      <w:rFonts w:cs="Arial"/>
      <w:color w:val="000000"/>
      <w:sz w:val="20"/>
      <w:szCs w:val="20"/>
    </w:rPr>
  </w:style>
  <w:style w:type="character" w:customStyle="1" w:styleId="charsubdno">
    <w:name w:val="charsubdno"/>
    <w:rsid w:val="006D6085"/>
  </w:style>
  <w:style w:type="paragraph" w:customStyle="1" w:styleId="bodycopyindent">
    <w:name w:val="body copy indent"/>
    <w:basedOn w:val="Normal"/>
    <w:link w:val="bodycopyindentChar"/>
    <w:rsid w:val="00652048"/>
    <w:pPr>
      <w:spacing w:before="20" w:line="210" w:lineRule="exact"/>
      <w:ind w:left="510"/>
    </w:pPr>
    <w:rPr>
      <w:rFonts w:cs="Arial"/>
      <w:color w:val="000000"/>
      <w:sz w:val="17"/>
      <w:szCs w:val="17"/>
    </w:rPr>
  </w:style>
  <w:style w:type="character" w:customStyle="1" w:styleId="bodycopyindentChar">
    <w:name w:val="body copy indent Char"/>
    <w:basedOn w:val="DefaultParagraphFont"/>
    <w:link w:val="bodycopyindent"/>
    <w:rsid w:val="00652048"/>
    <w:rPr>
      <w:rFonts w:ascii="Arial" w:hAnsi="Arial" w:cs="Arial"/>
      <w:color w:val="000000"/>
      <w:sz w:val="17"/>
      <w:szCs w:val="17"/>
      <w:lang w:eastAsia="en-US"/>
    </w:rPr>
  </w:style>
  <w:style w:type="paragraph" w:styleId="FootnoteText">
    <w:name w:val="footnote text"/>
    <w:basedOn w:val="Normal"/>
    <w:link w:val="FootnoteTextChar"/>
    <w:unhideWhenUsed/>
    <w:rsid w:val="00652048"/>
    <w:rPr>
      <w:rFonts w:asciiTheme="minorHAnsi" w:hAnsiTheme="minorHAnsi" w:cstheme="minorBidi"/>
      <w:sz w:val="20"/>
      <w:szCs w:val="20"/>
      <w:lang w:eastAsia="en-AU"/>
    </w:rPr>
  </w:style>
  <w:style w:type="character" w:customStyle="1" w:styleId="FootnoteTextChar">
    <w:name w:val="Footnote Text Char"/>
    <w:basedOn w:val="DefaultParagraphFont"/>
    <w:link w:val="FootnoteText"/>
    <w:rsid w:val="00652048"/>
    <w:rPr>
      <w:rFonts w:asciiTheme="minorHAnsi" w:eastAsiaTheme="minorEastAsia" w:hAnsiTheme="minorHAnsi" w:cstheme="minorBidi"/>
    </w:rPr>
  </w:style>
  <w:style w:type="paragraph" w:customStyle="1" w:styleId="sourceref">
    <w:name w:val="source ref"/>
    <w:basedOn w:val="Normal"/>
    <w:link w:val="sourcerefChar"/>
    <w:rsid w:val="00652048"/>
    <w:pPr>
      <w:spacing w:before="40" w:line="190" w:lineRule="exact"/>
    </w:pPr>
    <w:rPr>
      <w:rFonts w:eastAsia="PMingLiU" w:cs="Courier New"/>
      <w:color w:val="003399"/>
      <w:sz w:val="15"/>
      <w:szCs w:val="15"/>
    </w:rPr>
  </w:style>
  <w:style w:type="paragraph" w:customStyle="1" w:styleId="Bodycopyindentbullet">
    <w:name w:val="Body copy indent bullet"/>
    <w:rsid w:val="00652048"/>
    <w:pPr>
      <w:tabs>
        <w:tab w:val="num" w:pos="1021"/>
      </w:tabs>
      <w:spacing w:before="20" w:line="210" w:lineRule="exact"/>
      <w:ind w:left="1021" w:hanging="511"/>
    </w:pPr>
    <w:rPr>
      <w:rFonts w:ascii="Arial" w:eastAsia="PMingLiU" w:hAnsi="Arial" w:cs="Arial"/>
      <w:color w:val="000000"/>
      <w:sz w:val="17"/>
      <w:szCs w:val="17"/>
      <w:lang w:eastAsia="zh-CN"/>
    </w:rPr>
  </w:style>
  <w:style w:type="character" w:customStyle="1" w:styleId="sourcerefChar">
    <w:name w:val="source ref Char"/>
    <w:basedOn w:val="DefaultParagraphFont"/>
    <w:link w:val="sourceref"/>
    <w:rsid w:val="00652048"/>
    <w:rPr>
      <w:rFonts w:ascii="Arial" w:eastAsia="PMingLiU" w:hAnsi="Arial" w:cs="Courier New"/>
      <w:color w:val="003399"/>
      <w:sz w:val="15"/>
      <w:szCs w:val="15"/>
      <w:lang w:eastAsia="en-US"/>
    </w:rPr>
  </w:style>
  <w:style w:type="character" w:styleId="Emphasis">
    <w:name w:val="Emphasis"/>
    <w:basedOn w:val="DefaultParagraphFont"/>
    <w:qFormat/>
    <w:locked/>
    <w:rsid w:val="00585F7A"/>
    <w:rPr>
      <w:i/>
      <w:iCs/>
    </w:rPr>
  </w:style>
  <w:style w:type="paragraph" w:styleId="TOCHeading">
    <w:name w:val="TOC Heading"/>
    <w:basedOn w:val="Heading1"/>
    <w:next w:val="Normal"/>
    <w:uiPriority w:val="39"/>
    <w:unhideWhenUsed/>
    <w:qFormat/>
    <w:rsid w:val="00BF287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locked/>
    <w:rsid w:val="00BF287B"/>
    <w:pPr>
      <w:spacing w:after="100"/>
    </w:pPr>
  </w:style>
  <w:style w:type="paragraph" w:styleId="TOC2">
    <w:name w:val="toc 2"/>
    <w:basedOn w:val="Normal"/>
    <w:next w:val="Normal"/>
    <w:autoRedefine/>
    <w:uiPriority w:val="39"/>
    <w:locked/>
    <w:rsid w:val="00BF287B"/>
    <w:pPr>
      <w:spacing w:after="100"/>
      <w:ind w:left="240"/>
    </w:pPr>
  </w:style>
  <w:style w:type="paragraph" w:styleId="TOC3">
    <w:name w:val="toc 3"/>
    <w:basedOn w:val="Normal"/>
    <w:next w:val="Normal"/>
    <w:autoRedefine/>
    <w:uiPriority w:val="39"/>
    <w:locked/>
    <w:rsid w:val="00BF287B"/>
    <w:pPr>
      <w:spacing w:after="100"/>
      <w:ind w:left="480"/>
    </w:pPr>
  </w:style>
  <w:style w:type="paragraph" w:styleId="TOC4">
    <w:name w:val="toc 4"/>
    <w:basedOn w:val="Normal"/>
    <w:next w:val="Normal"/>
    <w:autoRedefine/>
    <w:uiPriority w:val="39"/>
    <w:unhideWhenUsed/>
    <w:locked/>
    <w:rsid w:val="00BF287B"/>
    <w:pPr>
      <w:spacing w:after="100" w:line="276" w:lineRule="auto"/>
      <w:ind w:left="660"/>
    </w:pPr>
    <w:rPr>
      <w:rFonts w:asciiTheme="minorHAnsi" w:hAnsiTheme="minorHAnsi" w:cstheme="minorBidi"/>
      <w:sz w:val="22"/>
      <w:szCs w:val="22"/>
      <w:lang w:eastAsia="en-AU"/>
    </w:rPr>
  </w:style>
  <w:style w:type="paragraph" w:styleId="TOC5">
    <w:name w:val="toc 5"/>
    <w:basedOn w:val="Normal"/>
    <w:next w:val="Normal"/>
    <w:autoRedefine/>
    <w:uiPriority w:val="39"/>
    <w:unhideWhenUsed/>
    <w:locked/>
    <w:rsid w:val="00BF287B"/>
    <w:pPr>
      <w:spacing w:after="100" w:line="276" w:lineRule="auto"/>
      <w:ind w:left="880"/>
    </w:pPr>
    <w:rPr>
      <w:rFonts w:asciiTheme="minorHAnsi" w:hAnsiTheme="minorHAnsi" w:cstheme="minorBidi"/>
      <w:sz w:val="22"/>
      <w:szCs w:val="22"/>
      <w:lang w:eastAsia="en-AU"/>
    </w:rPr>
  </w:style>
  <w:style w:type="paragraph" w:styleId="TOC6">
    <w:name w:val="toc 6"/>
    <w:basedOn w:val="Normal"/>
    <w:next w:val="Normal"/>
    <w:autoRedefine/>
    <w:uiPriority w:val="39"/>
    <w:unhideWhenUsed/>
    <w:locked/>
    <w:rsid w:val="00BF287B"/>
    <w:pPr>
      <w:spacing w:after="100" w:line="276" w:lineRule="auto"/>
      <w:ind w:left="1100"/>
    </w:pPr>
    <w:rPr>
      <w:rFonts w:asciiTheme="minorHAnsi" w:hAnsiTheme="minorHAnsi" w:cstheme="minorBidi"/>
      <w:sz w:val="22"/>
      <w:szCs w:val="22"/>
      <w:lang w:eastAsia="en-AU"/>
    </w:rPr>
  </w:style>
  <w:style w:type="paragraph" w:styleId="TOC7">
    <w:name w:val="toc 7"/>
    <w:basedOn w:val="Normal"/>
    <w:next w:val="Normal"/>
    <w:autoRedefine/>
    <w:uiPriority w:val="39"/>
    <w:unhideWhenUsed/>
    <w:locked/>
    <w:rsid w:val="00BF287B"/>
    <w:pPr>
      <w:spacing w:after="100" w:line="276" w:lineRule="auto"/>
      <w:ind w:left="1320"/>
    </w:pPr>
    <w:rPr>
      <w:rFonts w:asciiTheme="minorHAnsi" w:hAnsiTheme="minorHAnsi" w:cstheme="minorBidi"/>
      <w:sz w:val="22"/>
      <w:szCs w:val="22"/>
      <w:lang w:eastAsia="en-AU"/>
    </w:rPr>
  </w:style>
  <w:style w:type="paragraph" w:styleId="TOC8">
    <w:name w:val="toc 8"/>
    <w:basedOn w:val="Normal"/>
    <w:next w:val="Normal"/>
    <w:autoRedefine/>
    <w:uiPriority w:val="39"/>
    <w:unhideWhenUsed/>
    <w:locked/>
    <w:rsid w:val="00BF287B"/>
    <w:pPr>
      <w:spacing w:after="100" w:line="276" w:lineRule="auto"/>
      <w:ind w:left="1540"/>
    </w:pPr>
    <w:rPr>
      <w:rFonts w:asciiTheme="minorHAnsi" w:hAnsiTheme="minorHAnsi" w:cstheme="minorBidi"/>
      <w:sz w:val="22"/>
      <w:szCs w:val="22"/>
      <w:lang w:eastAsia="en-AU"/>
    </w:rPr>
  </w:style>
  <w:style w:type="paragraph" w:styleId="TOC9">
    <w:name w:val="toc 9"/>
    <w:basedOn w:val="Normal"/>
    <w:next w:val="Normal"/>
    <w:autoRedefine/>
    <w:uiPriority w:val="39"/>
    <w:unhideWhenUsed/>
    <w:locked/>
    <w:rsid w:val="00BF287B"/>
    <w:pPr>
      <w:spacing w:after="100" w:line="276" w:lineRule="auto"/>
      <w:ind w:left="1760"/>
    </w:pPr>
    <w:rPr>
      <w:rFonts w:asciiTheme="minorHAnsi" w:hAnsiTheme="minorHAnsi" w:cstheme="minorBidi"/>
      <w:sz w:val="22"/>
      <w:szCs w:val="22"/>
      <w:lang w:eastAsia="en-AU"/>
    </w:rPr>
  </w:style>
  <w:style w:type="character" w:styleId="IntenseEmphasis">
    <w:name w:val="Intense Emphasis"/>
    <w:basedOn w:val="DefaultParagraphFont"/>
    <w:uiPriority w:val="21"/>
    <w:qFormat/>
    <w:rsid w:val="00BF287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58">
      <w:bodyDiv w:val="1"/>
      <w:marLeft w:val="0"/>
      <w:marRight w:val="0"/>
      <w:marTop w:val="0"/>
      <w:marBottom w:val="0"/>
      <w:divBdr>
        <w:top w:val="none" w:sz="0" w:space="0" w:color="auto"/>
        <w:left w:val="none" w:sz="0" w:space="0" w:color="auto"/>
        <w:bottom w:val="none" w:sz="0" w:space="0" w:color="auto"/>
        <w:right w:val="none" w:sz="0" w:space="0" w:color="auto"/>
      </w:divBdr>
    </w:div>
    <w:div w:id="932312">
      <w:bodyDiv w:val="1"/>
      <w:marLeft w:val="0"/>
      <w:marRight w:val="0"/>
      <w:marTop w:val="0"/>
      <w:marBottom w:val="0"/>
      <w:divBdr>
        <w:top w:val="none" w:sz="0" w:space="0" w:color="auto"/>
        <w:left w:val="none" w:sz="0" w:space="0" w:color="auto"/>
        <w:bottom w:val="none" w:sz="0" w:space="0" w:color="auto"/>
        <w:right w:val="none" w:sz="0" w:space="0" w:color="auto"/>
      </w:divBdr>
    </w:div>
    <w:div w:id="6911689">
      <w:bodyDiv w:val="1"/>
      <w:marLeft w:val="0"/>
      <w:marRight w:val="0"/>
      <w:marTop w:val="0"/>
      <w:marBottom w:val="0"/>
      <w:divBdr>
        <w:top w:val="none" w:sz="0" w:space="0" w:color="auto"/>
        <w:left w:val="none" w:sz="0" w:space="0" w:color="auto"/>
        <w:bottom w:val="none" w:sz="0" w:space="0" w:color="auto"/>
        <w:right w:val="none" w:sz="0" w:space="0" w:color="auto"/>
      </w:divBdr>
    </w:div>
    <w:div w:id="9911774">
      <w:bodyDiv w:val="1"/>
      <w:marLeft w:val="0"/>
      <w:marRight w:val="0"/>
      <w:marTop w:val="0"/>
      <w:marBottom w:val="0"/>
      <w:divBdr>
        <w:top w:val="none" w:sz="0" w:space="0" w:color="auto"/>
        <w:left w:val="none" w:sz="0" w:space="0" w:color="auto"/>
        <w:bottom w:val="none" w:sz="0" w:space="0" w:color="auto"/>
        <w:right w:val="none" w:sz="0" w:space="0" w:color="auto"/>
      </w:divBdr>
    </w:div>
    <w:div w:id="10842734">
      <w:bodyDiv w:val="1"/>
      <w:marLeft w:val="0"/>
      <w:marRight w:val="0"/>
      <w:marTop w:val="0"/>
      <w:marBottom w:val="0"/>
      <w:divBdr>
        <w:top w:val="none" w:sz="0" w:space="0" w:color="auto"/>
        <w:left w:val="none" w:sz="0" w:space="0" w:color="auto"/>
        <w:bottom w:val="none" w:sz="0" w:space="0" w:color="auto"/>
        <w:right w:val="none" w:sz="0" w:space="0" w:color="auto"/>
      </w:divBdr>
    </w:div>
    <w:div w:id="15471082">
      <w:bodyDiv w:val="1"/>
      <w:marLeft w:val="0"/>
      <w:marRight w:val="0"/>
      <w:marTop w:val="0"/>
      <w:marBottom w:val="0"/>
      <w:divBdr>
        <w:top w:val="none" w:sz="0" w:space="0" w:color="auto"/>
        <w:left w:val="none" w:sz="0" w:space="0" w:color="auto"/>
        <w:bottom w:val="none" w:sz="0" w:space="0" w:color="auto"/>
        <w:right w:val="none" w:sz="0" w:space="0" w:color="auto"/>
      </w:divBdr>
    </w:div>
    <w:div w:id="16465192">
      <w:bodyDiv w:val="1"/>
      <w:marLeft w:val="0"/>
      <w:marRight w:val="0"/>
      <w:marTop w:val="0"/>
      <w:marBottom w:val="0"/>
      <w:divBdr>
        <w:top w:val="none" w:sz="0" w:space="0" w:color="auto"/>
        <w:left w:val="none" w:sz="0" w:space="0" w:color="auto"/>
        <w:bottom w:val="none" w:sz="0" w:space="0" w:color="auto"/>
        <w:right w:val="none" w:sz="0" w:space="0" w:color="auto"/>
      </w:divBdr>
    </w:div>
    <w:div w:id="18048252">
      <w:bodyDiv w:val="1"/>
      <w:marLeft w:val="0"/>
      <w:marRight w:val="0"/>
      <w:marTop w:val="0"/>
      <w:marBottom w:val="0"/>
      <w:divBdr>
        <w:top w:val="none" w:sz="0" w:space="0" w:color="auto"/>
        <w:left w:val="none" w:sz="0" w:space="0" w:color="auto"/>
        <w:bottom w:val="none" w:sz="0" w:space="0" w:color="auto"/>
        <w:right w:val="none" w:sz="0" w:space="0" w:color="auto"/>
      </w:divBdr>
    </w:div>
    <w:div w:id="18242063">
      <w:bodyDiv w:val="1"/>
      <w:marLeft w:val="0"/>
      <w:marRight w:val="0"/>
      <w:marTop w:val="0"/>
      <w:marBottom w:val="0"/>
      <w:divBdr>
        <w:top w:val="none" w:sz="0" w:space="0" w:color="auto"/>
        <w:left w:val="none" w:sz="0" w:space="0" w:color="auto"/>
        <w:bottom w:val="none" w:sz="0" w:space="0" w:color="auto"/>
        <w:right w:val="none" w:sz="0" w:space="0" w:color="auto"/>
      </w:divBdr>
    </w:div>
    <w:div w:id="23528969">
      <w:bodyDiv w:val="1"/>
      <w:marLeft w:val="0"/>
      <w:marRight w:val="0"/>
      <w:marTop w:val="0"/>
      <w:marBottom w:val="0"/>
      <w:divBdr>
        <w:top w:val="none" w:sz="0" w:space="0" w:color="auto"/>
        <w:left w:val="none" w:sz="0" w:space="0" w:color="auto"/>
        <w:bottom w:val="none" w:sz="0" w:space="0" w:color="auto"/>
        <w:right w:val="none" w:sz="0" w:space="0" w:color="auto"/>
      </w:divBdr>
    </w:div>
    <w:div w:id="25838653">
      <w:bodyDiv w:val="1"/>
      <w:marLeft w:val="0"/>
      <w:marRight w:val="0"/>
      <w:marTop w:val="0"/>
      <w:marBottom w:val="0"/>
      <w:divBdr>
        <w:top w:val="none" w:sz="0" w:space="0" w:color="auto"/>
        <w:left w:val="none" w:sz="0" w:space="0" w:color="auto"/>
        <w:bottom w:val="none" w:sz="0" w:space="0" w:color="auto"/>
        <w:right w:val="none" w:sz="0" w:space="0" w:color="auto"/>
      </w:divBdr>
    </w:div>
    <w:div w:id="26489656">
      <w:bodyDiv w:val="1"/>
      <w:marLeft w:val="0"/>
      <w:marRight w:val="0"/>
      <w:marTop w:val="0"/>
      <w:marBottom w:val="0"/>
      <w:divBdr>
        <w:top w:val="none" w:sz="0" w:space="0" w:color="auto"/>
        <w:left w:val="none" w:sz="0" w:space="0" w:color="auto"/>
        <w:bottom w:val="none" w:sz="0" w:space="0" w:color="auto"/>
        <w:right w:val="none" w:sz="0" w:space="0" w:color="auto"/>
      </w:divBdr>
    </w:div>
    <w:div w:id="26611211">
      <w:bodyDiv w:val="1"/>
      <w:marLeft w:val="0"/>
      <w:marRight w:val="0"/>
      <w:marTop w:val="0"/>
      <w:marBottom w:val="0"/>
      <w:divBdr>
        <w:top w:val="none" w:sz="0" w:space="0" w:color="auto"/>
        <w:left w:val="none" w:sz="0" w:space="0" w:color="auto"/>
        <w:bottom w:val="none" w:sz="0" w:space="0" w:color="auto"/>
        <w:right w:val="none" w:sz="0" w:space="0" w:color="auto"/>
      </w:divBdr>
    </w:div>
    <w:div w:id="27067704">
      <w:bodyDiv w:val="1"/>
      <w:marLeft w:val="0"/>
      <w:marRight w:val="0"/>
      <w:marTop w:val="0"/>
      <w:marBottom w:val="0"/>
      <w:divBdr>
        <w:top w:val="none" w:sz="0" w:space="0" w:color="auto"/>
        <w:left w:val="none" w:sz="0" w:space="0" w:color="auto"/>
        <w:bottom w:val="none" w:sz="0" w:space="0" w:color="auto"/>
        <w:right w:val="none" w:sz="0" w:space="0" w:color="auto"/>
      </w:divBdr>
    </w:div>
    <w:div w:id="32270926">
      <w:bodyDiv w:val="1"/>
      <w:marLeft w:val="0"/>
      <w:marRight w:val="0"/>
      <w:marTop w:val="0"/>
      <w:marBottom w:val="0"/>
      <w:divBdr>
        <w:top w:val="none" w:sz="0" w:space="0" w:color="auto"/>
        <w:left w:val="none" w:sz="0" w:space="0" w:color="auto"/>
        <w:bottom w:val="none" w:sz="0" w:space="0" w:color="auto"/>
        <w:right w:val="none" w:sz="0" w:space="0" w:color="auto"/>
      </w:divBdr>
    </w:div>
    <w:div w:id="33166281">
      <w:bodyDiv w:val="1"/>
      <w:marLeft w:val="0"/>
      <w:marRight w:val="0"/>
      <w:marTop w:val="0"/>
      <w:marBottom w:val="0"/>
      <w:divBdr>
        <w:top w:val="none" w:sz="0" w:space="0" w:color="auto"/>
        <w:left w:val="none" w:sz="0" w:space="0" w:color="auto"/>
        <w:bottom w:val="none" w:sz="0" w:space="0" w:color="auto"/>
        <w:right w:val="none" w:sz="0" w:space="0" w:color="auto"/>
      </w:divBdr>
    </w:div>
    <w:div w:id="37509810">
      <w:bodyDiv w:val="1"/>
      <w:marLeft w:val="0"/>
      <w:marRight w:val="0"/>
      <w:marTop w:val="0"/>
      <w:marBottom w:val="0"/>
      <w:divBdr>
        <w:top w:val="none" w:sz="0" w:space="0" w:color="auto"/>
        <w:left w:val="none" w:sz="0" w:space="0" w:color="auto"/>
        <w:bottom w:val="none" w:sz="0" w:space="0" w:color="auto"/>
        <w:right w:val="none" w:sz="0" w:space="0" w:color="auto"/>
      </w:divBdr>
    </w:div>
    <w:div w:id="43917669">
      <w:bodyDiv w:val="1"/>
      <w:marLeft w:val="0"/>
      <w:marRight w:val="0"/>
      <w:marTop w:val="0"/>
      <w:marBottom w:val="0"/>
      <w:divBdr>
        <w:top w:val="none" w:sz="0" w:space="0" w:color="auto"/>
        <w:left w:val="none" w:sz="0" w:space="0" w:color="auto"/>
        <w:bottom w:val="none" w:sz="0" w:space="0" w:color="auto"/>
        <w:right w:val="none" w:sz="0" w:space="0" w:color="auto"/>
      </w:divBdr>
    </w:div>
    <w:div w:id="44716726">
      <w:bodyDiv w:val="1"/>
      <w:marLeft w:val="0"/>
      <w:marRight w:val="0"/>
      <w:marTop w:val="0"/>
      <w:marBottom w:val="0"/>
      <w:divBdr>
        <w:top w:val="none" w:sz="0" w:space="0" w:color="auto"/>
        <w:left w:val="none" w:sz="0" w:space="0" w:color="auto"/>
        <w:bottom w:val="none" w:sz="0" w:space="0" w:color="auto"/>
        <w:right w:val="none" w:sz="0" w:space="0" w:color="auto"/>
      </w:divBdr>
    </w:div>
    <w:div w:id="48650904">
      <w:bodyDiv w:val="1"/>
      <w:marLeft w:val="0"/>
      <w:marRight w:val="0"/>
      <w:marTop w:val="0"/>
      <w:marBottom w:val="0"/>
      <w:divBdr>
        <w:top w:val="none" w:sz="0" w:space="0" w:color="auto"/>
        <w:left w:val="none" w:sz="0" w:space="0" w:color="auto"/>
        <w:bottom w:val="none" w:sz="0" w:space="0" w:color="auto"/>
        <w:right w:val="none" w:sz="0" w:space="0" w:color="auto"/>
      </w:divBdr>
    </w:div>
    <w:div w:id="49043004">
      <w:bodyDiv w:val="1"/>
      <w:marLeft w:val="0"/>
      <w:marRight w:val="0"/>
      <w:marTop w:val="0"/>
      <w:marBottom w:val="0"/>
      <w:divBdr>
        <w:top w:val="none" w:sz="0" w:space="0" w:color="auto"/>
        <w:left w:val="none" w:sz="0" w:space="0" w:color="auto"/>
        <w:bottom w:val="none" w:sz="0" w:space="0" w:color="auto"/>
        <w:right w:val="none" w:sz="0" w:space="0" w:color="auto"/>
      </w:divBdr>
    </w:div>
    <w:div w:id="50202386">
      <w:bodyDiv w:val="1"/>
      <w:marLeft w:val="0"/>
      <w:marRight w:val="0"/>
      <w:marTop w:val="0"/>
      <w:marBottom w:val="0"/>
      <w:divBdr>
        <w:top w:val="none" w:sz="0" w:space="0" w:color="auto"/>
        <w:left w:val="none" w:sz="0" w:space="0" w:color="auto"/>
        <w:bottom w:val="none" w:sz="0" w:space="0" w:color="auto"/>
        <w:right w:val="none" w:sz="0" w:space="0" w:color="auto"/>
      </w:divBdr>
    </w:div>
    <w:div w:id="52126243">
      <w:bodyDiv w:val="1"/>
      <w:marLeft w:val="0"/>
      <w:marRight w:val="0"/>
      <w:marTop w:val="0"/>
      <w:marBottom w:val="0"/>
      <w:divBdr>
        <w:top w:val="none" w:sz="0" w:space="0" w:color="auto"/>
        <w:left w:val="none" w:sz="0" w:space="0" w:color="auto"/>
        <w:bottom w:val="none" w:sz="0" w:space="0" w:color="auto"/>
        <w:right w:val="none" w:sz="0" w:space="0" w:color="auto"/>
      </w:divBdr>
    </w:div>
    <w:div w:id="52894755">
      <w:bodyDiv w:val="1"/>
      <w:marLeft w:val="0"/>
      <w:marRight w:val="0"/>
      <w:marTop w:val="0"/>
      <w:marBottom w:val="0"/>
      <w:divBdr>
        <w:top w:val="none" w:sz="0" w:space="0" w:color="auto"/>
        <w:left w:val="none" w:sz="0" w:space="0" w:color="auto"/>
        <w:bottom w:val="none" w:sz="0" w:space="0" w:color="auto"/>
        <w:right w:val="none" w:sz="0" w:space="0" w:color="auto"/>
      </w:divBdr>
    </w:div>
    <w:div w:id="53237429">
      <w:bodyDiv w:val="1"/>
      <w:marLeft w:val="0"/>
      <w:marRight w:val="0"/>
      <w:marTop w:val="0"/>
      <w:marBottom w:val="0"/>
      <w:divBdr>
        <w:top w:val="none" w:sz="0" w:space="0" w:color="auto"/>
        <w:left w:val="none" w:sz="0" w:space="0" w:color="auto"/>
        <w:bottom w:val="none" w:sz="0" w:space="0" w:color="auto"/>
        <w:right w:val="none" w:sz="0" w:space="0" w:color="auto"/>
      </w:divBdr>
    </w:div>
    <w:div w:id="53352657">
      <w:bodyDiv w:val="1"/>
      <w:marLeft w:val="0"/>
      <w:marRight w:val="0"/>
      <w:marTop w:val="0"/>
      <w:marBottom w:val="0"/>
      <w:divBdr>
        <w:top w:val="none" w:sz="0" w:space="0" w:color="auto"/>
        <w:left w:val="none" w:sz="0" w:space="0" w:color="auto"/>
        <w:bottom w:val="none" w:sz="0" w:space="0" w:color="auto"/>
        <w:right w:val="none" w:sz="0" w:space="0" w:color="auto"/>
      </w:divBdr>
    </w:div>
    <w:div w:id="58328495">
      <w:bodyDiv w:val="1"/>
      <w:marLeft w:val="0"/>
      <w:marRight w:val="0"/>
      <w:marTop w:val="0"/>
      <w:marBottom w:val="0"/>
      <w:divBdr>
        <w:top w:val="none" w:sz="0" w:space="0" w:color="auto"/>
        <w:left w:val="none" w:sz="0" w:space="0" w:color="auto"/>
        <w:bottom w:val="none" w:sz="0" w:space="0" w:color="auto"/>
        <w:right w:val="none" w:sz="0" w:space="0" w:color="auto"/>
      </w:divBdr>
    </w:div>
    <w:div w:id="58671350">
      <w:bodyDiv w:val="1"/>
      <w:marLeft w:val="0"/>
      <w:marRight w:val="0"/>
      <w:marTop w:val="0"/>
      <w:marBottom w:val="0"/>
      <w:divBdr>
        <w:top w:val="none" w:sz="0" w:space="0" w:color="auto"/>
        <w:left w:val="none" w:sz="0" w:space="0" w:color="auto"/>
        <w:bottom w:val="none" w:sz="0" w:space="0" w:color="auto"/>
        <w:right w:val="none" w:sz="0" w:space="0" w:color="auto"/>
      </w:divBdr>
    </w:div>
    <w:div w:id="62875986">
      <w:bodyDiv w:val="1"/>
      <w:marLeft w:val="0"/>
      <w:marRight w:val="0"/>
      <w:marTop w:val="0"/>
      <w:marBottom w:val="0"/>
      <w:divBdr>
        <w:top w:val="none" w:sz="0" w:space="0" w:color="auto"/>
        <w:left w:val="none" w:sz="0" w:space="0" w:color="auto"/>
        <w:bottom w:val="none" w:sz="0" w:space="0" w:color="auto"/>
        <w:right w:val="none" w:sz="0" w:space="0" w:color="auto"/>
      </w:divBdr>
    </w:div>
    <w:div w:id="69667998">
      <w:bodyDiv w:val="1"/>
      <w:marLeft w:val="0"/>
      <w:marRight w:val="0"/>
      <w:marTop w:val="0"/>
      <w:marBottom w:val="0"/>
      <w:divBdr>
        <w:top w:val="none" w:sz="0" w:space="0" w:color="auto"/>
        <w:left w:val="none" w:sz="0" w:space="0" w:color="auto"/>
        <w:bottom w:val="none" w:sz="0" w:space="0" w:color="auto"/>
        <w:right w:val="none" w:sz="0" w:space="0" w:color="auto"/>
      </w:divBdr>
    </w:div>
    <w:div w:id="71045834">
      <w:bodyDiv w:val="1"/>
      <w:marLeft w:val="0"/>
      <w:marRight w:val="0"/>
      <w:marTop w:val="0"/>
      <w:marBottom w:val="0"/>
      <w:divBdr>
        <w:top w:val="none" w:sz="0" w:space="0" w:color="auto"/>
        <w:left w:val="none" w:sz="0" w:space="0" w:color="auto"/>
        <w:bottom w:val="none" w:sz="0" w:space="0" w:color="auto"/>
        <w:right w:val="none" w:sz="0" w:space="0" w:color="auto"/>
      </w:divBdr>
    </w:div>
    <w:div w:id="74980239">
      <w:bodyDiv w:val="1"/>
      <w:marLeft w:val="0"/>
      <w:marRight w:val="0"/>
      <w:marTop w:val="0"/>
      <w:marBottom w:val="0"/>
      <w:divBdr>
        <w:top w:val="none" w:sz="0" w:space="0" w:color="auto"/>
        <w:left w:val="none" w:sz="0" w:space="0" w:color="auto"/>
        <w:bottom w:val="none" w:sz="0" w:space="0" w:color="auto"/>
        <w:right w:val="none" w:sz="0" w:space="0" w:color="auto"/>
      </w:divBdr>
    </w:div>
    <w:div w:id="81992531">
      <w:bodyDiv w:val="1"/>
      <w:marLeft w:val="0"/>
      <w:marRight w:val="0"/>
      <w:marTop w:val="0"/>
      <w:marBottom w:val="0"/>
      <w:divBdr>
        <w:top w:val="none" w:sz="0" w:space="0" w:color="auto"/>
        <w:left w:val="none" w:sz="0" w:space="0" w:color="auto"/>
        <w:bottom w:val="none" w:sz="0" w:space="0" w:color="auto"/>
        <w:right w:val="none" w:sz="0" w:space="0" w:color="auto"/>
      </w:divBdr>
    </w:div>
    <w:div w:id="84884601">
      <w:bodyDiv w:val="1"/>
      <w:marLeft w:val="0"/>
      <w:marRight w:val="0"/>
      <w:marTop w:val="0"/>
      <w:marBottom w:val="0"/>
      <w:divBdr>
        <w:top w:val="none" w:sz="0" w:space="0" w:color="auto"/>
        <w:left w:val="none" w:sz="0" w:space="0" w:color="auto"/>
        <w:bottom w:val="none" w:sz="0" w:space="0" w:color="auto"/>
        <w:right w:val="none" w:sz="0" w:space="0" w:color="auto"/>
      </w:divBdr>
    </w:div>
    <w:div w:id="87701139">
      <w:bodyDiv w:val="1"/>
      <w:marLeft w:val="0"/>
      <w:marRight w:val="0"/>
      <w:marTop w:val="0"/>
      <w:marBottom w:val="0"/>
      <w:divBdr>
        <w:top w:val="none" w:sz="0" w:space="0" w:color="auto"/>
        <w:left w:val="none" w:sz="0" w:space="0" w:color="auto"/>
        <w:bottom w:val="none" w:sz="0" w:space="0" w:color="auto"/>
        <w:right w:val="none" w:sz="0" w:space="0" w:color="auto"/>
      </w:divBdr>
    </w:div>
    <w:div w:id="88477689">
      <w:bodyDiv w:val="1"/>
      <w:marLeft w:val="0"/>
      <w:marRight w:val="0"/>
      <w:marTop w:val="0"/>
      <w:marBottom w:val="0"/>
      <w:divBdr>
        <w:top w:val="none" w:sz="0" w:space="0" w:color="auto"/>
        <w:left w:val="none" w:sz="0" w:space="0" w:color="auto"/>
        <w:bottom w:val="none" w:sz="0" w:space="0" w:color="auto"/>
        <w:right w:val="none" w:sz="0" w:space="0" w:color="auto"/>
      </w:divBdr>
    </w:div>
    <w:div w:id="92744481">
      <w:bodyDiv w:val="1"/>
      <w:marLeft w:val="0"/>
      <w:marRight w:val="0"/>
      <w:marTop w:val="0"/>
      <w:marBottom w:val="0"/>
      <w:divBdr>
        <w:top w:val="none" w:sz="0" w:space="0" w:color="auto"/>
        <w:left w:val="none" w:sz="0" w:space="0" w:color="auto"/>
        <w:bottom w:val="none" w:sz="0" w:space="0" w:color="auto"/>
        <w:right w:val="none" w:sz="0" w:space="0" w:color="auto"/>
      </w:divBdr>
    </w:div>
    <w:div w:id="94055410">
      <w:bodyDiv w:val="1"/>
      <w:marLeft w:val="0"/>
      <w:marRight w:val="0"/>
      <w:marTop w:val="0"/>
      <w:marBottom w:val="0"/>
      <w:divBdr>
        <w:top w:val="none" w:sz="0" w:space="0" w:color="auto"/>
        <w:left w:val="none" w:sz="0" w:space="0" w:color="auto"/>
        <w:bottom w:val="none" w:sz="0" w:space="0" w:color="auto"/>
        <w:right w:val="none" w:sz="0" w:space="0" w:color="auto"/>
      </w:divBdr>
    </w:div>
    <w:div w:id="95057038">
      <w:bodyDiv w:val="1"/>
      <w:marLeft w:val="0"/>
      <w:marRight w:val="0"/>
      <w:marTop w:val="0"/>
      <w:marBottom w:val="0"/>
      <w:divBdr>
        <w:top w:val="none" w:sz="0" w:space="0" w:color="auto"/>
        <w:left w:val="none" w:sz="0" w:space="0" w:color="auto"/>
        <w:bottom w:val="none" w:sz="0" w:space="0" w:color="auto"/>
        <w:right w:val="none" w:sz="0" w:space="0" w:color="auto"/>
      </w:divBdr>
    </w:div>
    <w:div w:id="97259848">
      <w:bodyDiv w:val="1"/>
      <w:marLeft w:val="0"/>
      <w:marRight w:val="0"/>
      <w:marTop w:val="0"/>
      <w:marBottom w:val="0"/>
      <w:divBdr>
        <w:top w:val="none" w:sz="0" w:space="0" w:color="auto"/>
        <w:left w:val="none" w:sz="0" w:space="0" w:color="auto"/>
        <w:bottom w:val="none" w:sz="0" w:space="0" w:color="auto"/>
        <w:right w:val="none" w:sz="0" w:space="0" w:color="auto"/>
      </w:divBdr>
    </w:div>
    <w:div w:id="97608656">
      <w:bodyDiv w:val="1"/>
      <w:marLeft w:val="0"/>
      <w:marRight w:val="0"/>
      <w:marTop w:val="0"/>
      <w:marBottom w:val="0"/>
      <w:divBdr>
        <w:top w:val="none" w:sz="0" w:space="0" w:color="auto"/>
        <w:left w:val="none" w:sz="0" w:space="0" w:color="auto"/>
        <w:bottom w:val="none" w:sz="0" w:space="0" w:color="auto"/>
        <w:right w:val="none" w:sz="0" w:space="0" w:color="auto"/>
      </w:divBdr>
    </w:div>
    <w:div w:id="98448996">
      <w:bodyDiv w:val="1"/>
      <w:marLeft w:val="0"/>
      <w:marRight w:val="0"/>
      <w:marTop w:val="0"/>
      <w:marBottom w:val="0"/>
      <w:divBdr>
        <w:top w:val="none" w:sz="0" w:space="0" w:color="auto"/>
        <w:left w:val="none" w:sz="0" w:space="0" w:color="auto"/>
        <w:bottom w:val="none" w:sz="0" w:space="0" w:color="auto"/>
        <w:right w:val="none" w:sz="0" w:space="0" w:color="auto"/>
      </w:divBdr>
    </w:div>
    <w:div w:id="98526102">
      <w:bodyDiv w:val="1"/>
      <w:marLeft w:val="0"/>
      <w:marRight w:val="0"/>
      <w:marTop w:val="0"/>
      <w:marBottom w:val="0"/>
      <w:divBdr>
        <w:top w:val="none" w:sz="0" w:space="0" w:color="auto"/>
        <w:left w:val="none" w:sz="0" w:space="0" w:color="auto"/>
        <w:bottom w:val="none" w:sz="0" w:space="0" w:color="auto"/>
        <w:right w:val="none" w:sz="0" w:space="0" w:color="auto"/>
      </w:divBdr>
    </w:div>
    <w:div w:id="100272221">
      <w:bodyDiv w:val="1"/>
      <w:marLeft w:val="0"/>
      <w:marRight w:val="0"/>
      <w:marTop w:val="0"/>
      <w:marBottom w:val="0"/>
      <w:divBdr>
        <w:top w:val="none" w:sz="0" w:space="0" w:color="auto"/>
        <w:left w:val="none" w:sz="0" w:space="0" w:color="auto"/>
        <w:bottom w:val="none" w:sz="0" w:space="0" w:color="auto"/>
        <w:right w:val="none" w:sz="0" w:space="0" w:color="auto"/>
      </w:divBdr>
    </w:div>
    <w:div w:id="100760568">
      <w:bodyDiv w:val="1"/>
      <w:marLeft w:val="0"/>
      <w:marRight w:val="0"/>
      <w:marTop w:val="0"/>
      <w:marBottom w:val="0"/>
      <w:divBdr>
        <w:top w:val="none" w:sz="0" w:space="0" w:color="auto"/>
        <w:left w:val="none" w:sz="0" w:space="0" w:color="auto"/>
        <w:bottom w:val="none" w:sz="0" w:space="0" w:color="auto"/>
        <w:right w:val="none" w:sz="0" w:space="0" w:color="auto"/>
      </w:divBdr>
    </w:div>
    <w:div w:id="102503123">
      <w:bodyDiv w:val="1"/>
      <w:marLeft w:val="0"/>
      <w:marRight w:val="0"/>
      <w:marTop w:val="0"/>
      <w:marBottom w:val="0"/>
      <w:divBdr>
        <w:top w:val="none" w:sz="0" w:space="0" w:color="auto"/>
        <w:left w:val="none" w:sz="0" w:space="0" w:color="auto"/>
        <w:bottom w:val="none" w:sz="0" w:space="0" w:color="auto"/>
        <w:right w:val="none" w:sz="0" w:space="0" w:color="auto"/>
      </w:divBdr>
    </w:div>
    <w:div w:id="105001763">
      <w:bodyDiv w:val="1"/>
      <w:marLeft w:val="0"/>
      <w:marRight w:val="0"/>
      <w:marTop w:val="0"/>
      <w:marBottom w:val="0"/>
      <w:divBdr>
        <w:top w:val="none" w:sz="0" w:space="0" w:color="auto"/>
        <w:left w:val="none" w:sz="0" w:space="0" w:color="auto"/>
        <w:bottom w:val="none" w:sz="0" w:space="0" w:color="auto"/>
        <w:right w:val="none" w:sz="0" w:space="0" w:color="auto"/>
      </w:divBdr>
    </w:div>
    <w:div w:id="109782301">
      <w:bodyDiv w:val="1"/>
      <w:marLeft w:val="0"/>
      <w:marRight w:val="0"/>
      <w:marTop w:val="0"/>
      <w:marBottom w:val="0"/>
      <w:divBdr>
        <w:top w:val="none" w:sz="0" w:space="0" w:color="auto"/>
        <w:left w:val="none" w:sz="0" w:space="0" w:color="auto"/>
        <w:bottom w:val="none" w:sz="0" w:space="0" w:color="auto"/>
        <w:right w:val="none" w:sz="0" w:space="0" w:color="auto"/>
      </w:divBdr>
    </w:div>
    <w:div w:id="113253083">
      <w:bodyDiv w:val="1"/>
      <w:marLeft w:val="0"/>
      <w:marRight w:val="0"/>
      <w:marTop w:val="0"/>
      <w:marBottom w:val="0"/>
      <w:divBdr>
        <w:top w:val="none" w:sz="0" w:space="0" w:color="auto"/>
        <w:left w:val="none" w:sz="0" w:space="0" w:color="auto"/>
        <w:bottom w:val="none" w:sz="0" w:space="0" w:color="auto"/>
        <w:right w:val="none" w:sz="0" w:space="0" w:color="auto"/>
      </w:divBdr>
    </w:div>
    <w:div w:id="113908542">
      <w:bodyDiv w:val="1"/>
      <w:marLeft w:val="0"/>
      <w:marRight w:val="0"/>
      <w:marTop w:val="0"/>
      <w:marBottom w:val="0"/>
      <w:divBdr>
        <w:top w:val="none" w:sz="0" w:space="0" w:color="auto"/>
        <w:left w:val="none" w:sz="0" w:space="0" w:color="auto"/>
        <w:bottom w:val="none" w:sz="0" w:space="0" w:color="auto"/>
        <w:right w:val="none" w:sz="0" w:space="0" w:color="auto"/>
      </w:divBdr>
    </w:div>
    <w:div w:id="119882121">
      <w:bodyDiv w:val="1"/>
      <w:marLeft w:val="0"/>
      <w:marRight w:val="0"/>
      <w:marTop w:val="0"/>
      <w:marBottom w:val="0"/>
      <w:divBdr>
        <w:top w:val="none" w:sz="0" w:space="0" w:color="auto"/>
        <w:left w:val="none" w:sz="0" w:space="0" w:color="auto"/>
        <w:bottom w:val="none" w:sz="0" w:space="0" w:color="auto"/>
        <w:right w:val="none" w:sz="0" w:space="0" w:color="auto"/>
      </w:divBdr>
    </w:div>
    <w:div w:id="123351334">
      <w:bodyDiv w:val="1"/>
      <w:marLeft w:val="0"/>
      <w:marRight w:val="0"/>
      <w:marTop w:val="0"/>
      <w:marBottom w:val="0"/>
      <w:divBdr>
        <w:top w:val="none" w:sz="0" w:space="0" w:color="auto"/>
        <w:left w:val="none" w:sz="0" w:space="0" w:color="auto"/>
        <w:bottom w:val="none" w:sz="0" w:space="0" w:color="auto"/>
        <w:right w:val="none" w:sz="0" w:space="0" w:color="auto"/>
      </w:divBdr>
    </w:div>
    <w:div w:id="124012901">
      <w:bodyDiv w:val="1"/>
      <w:marLeft w:val="0"/>
      <w:marRight w:val="0"/>
      <w:marTop w:val="0"/>
      <w:marBottom w:val="0"/>
      <w:divBdr>
        <w:top w:val="none" w:sz="0" w:space="0" w:color="auto"/>
        <w:left w:val="none" w:sz="0" w:space="0" w:color="auto"/>
        <w:bottom w:val="none" w:sz="0" w:space="0" w:color="auto"/>
        <w:right w:val="none" w:sz="0" w:space="0" w:color="auto"/>
      </w:divBdr>
    </w:div>
    <w:div w:id="124928284">
      <w:bodyDiv w:val="1"/>
      <w:marLeft w:val="0"/>
      <w:marRight w:val="0"/>
      <w:marTop w:val="0"/>
      <w:marBottom w:val="0"/>
      <w:divBdr>
        <w:top w:val="none" w:sz="0" w:space="0" w:color="auto"/>
        <w:left w:val="none" w:sz="0" w:space="0" w:color="auto"/>
        <w:bottom w:val="none" w:sz="0" w:space="0" w:color="auto"/>
        <w:right w:val="none" w:sz="0" w:space="0" w:color="auto"/>
      </w:divBdr>
    </w:div>
    <w:div w:id="127404279">
      <w:bodyDiv w:val="1"/>
      <w:marLeft w:val="0"/>
      <w:marRight w:val="0"/>
      <w:marTop w:val="0"/>
      <w:marBottom w:val="0"/>
      <w:divBdr>
        <w:top w:val="none" w:sz="0" w:space="0" w:color="auto"/>
        <w:left w:val="none" w:sz="0" w:space="0" w:color="auto"/>
        <w:bottom w:val="none" w:sz="0" w:space="0" w:color="auto"/>
        <w:right w:val="none" w:sz="0" w:space="0" w:color="auto"/>
      </w:divBdr>
    </w:div>
    <w:div w:id="127937331">
      <w:bodyDiv w:val="1"/>
      <w:marLeft w:val="0"/>
      <w:marRight w:val="0"/>
      <w:marTop w:val="0"/>
      <w:marBottom w:val="0"/>
      <w:divBdr>
        <w:top w:val="none" w:sz="0" w:space="0" w:color="auto"/>
        <w:left w:val="none" w:sz="0" w:space="0" w:color="auto"/>
        <w:bottom w:val="none" w:sz="0" w:space="0" w:color="auto"/>
        <w:right w:val="none" w:sz="0" w:space="0" w:color="auto"/>
      </w:divBdr>
    </w:div>
    <w:div w:id="130372133">
      <w:bodyDiv w:val="1"/>
      <w:marLeft w:val="0"/>
      <w:marRight w:val="0"/>
      <w:marTop w:val="0"/>
      <w:marBottom w:val="0"/>
      <w:divBdr>
        <w:top w:val="none" w:sz="0" w:space="0" w:color="auto"/>
        <w:left w:val="none" w:sz="0" w:space="0" w:color="auto"/>
        <w:bottom w:val="none" w:sz="0" w:space="0" w:color="auto"/>
        <w:right w:val="none" w:sz="0" w:space="0" w:color="auto"/>
      </w:divBdr>
    </w:div>
    <w:div w:id="132987381">
      <w:bodyDiv w:val="1"/>
      <w:marLeft w:val="0"/>
      <w:marRight w:val="0"/>
      <w:marTop w:val="0"/>
      <w:marBottom w:val="0"/>
      <w:divBdr>
        <w:top w:val="none" w:sz="0" w:space="0" w:color="auto"/>
        <w:left w:val="none" w:sz="0" w:space="0" w:color="auto"/>
        <w:bottom w:val="none" w:sz="0" w:space="0" w:color="auto"/>
        <w:right w:val="none" w:sz="0" w:space="0" w:color="auto"/>
      </w:divBdr>
    </w:div>
    <w:div w:id="145123420">
      <w:bodyDiv w:val="1"/>
      <w:marLeft w:val="0"/>
      <w:marRight w:val="0"/>
      <w:marTop w:val="0"/>
      <w:marBottom w:val="0"/>
      <w:divBdr>
        <w:top w:val="none" w:sz="0" w:space="0" w:color="auto"/>
        <w:left w:val="none" w:sz="0" w:space="0" w:color="auto"/>
        <w:bottom w:val="none" w:sz="0" w:space="0" w:color="auto"/>
        <w:right w:val="none" w:sz="0" w:space="0" w:color="auto"/>
      </w:divBdr>
    </w:div>
    <w:div w:id="148905011">
      <w:bodyDiv w:val="1"/>
      <w:marLeft w:val="0"/>
      <w:marRight w:val="0"/>
      <w:marTop w:val="0"/>
      <w:marBottom w:val="0"/>
      <w:divBdr>
        <w:top w:val="none" w:sz="0" w:space="0" w:color="auto"/>
        <w:left w:val="none" w:sz="0" w:space="0" w:color="auto"/>
        <w:bottom w:val="none" w:sz="0" w:space="0" w:color="auto"/>
        <w:right w:val="none" w:sz="0" w:space="0" w:color="auto"/>
      </w:divBdr>
    </w:div>
    <w:div w:id="150878586">
      <w:bodyDiv w:val="1"/>
      <w:marLeft w:val="0"/>
      <w:marRight w:val="0"/>
      <w:marTop w:val="0"/>
      <w:marBottom w:val="0"/>
      <w:divBdr>
        <w:top w:val="none" w:sz="0" w:space="0" w:color="auto"/>
        <w:left w:val="none" w:sz="0" w:space="0" w:color="auto"/>
        <w:bottom w:val="none" w:sz="0" w:space="0" w:color="auto"/>
        <w:right w:val="none" w:sz="0" w:space="0" w:color="auto"/>
      </w:divBdr>
    </w:div>
    <w:div w:id="151411620">
      <w:bodyDiv w:val="1"/>
      <w:marLeft w:val="0"/>
      <w:marRight w:val="0"/>
      <w:marTop w:val="0"/>
      <w:marBottom w:val="0"/>
      <w:divBdr>
        <w:top w:val="none" w:sz="0" w:space="0" w:color="auto"/>
        <w:left w:val="none" w:sz="0" w:space="0" w:color="auto"/>
        <w:bottom w:val="none" w:sz="0" w:space="0" w:color="auto"/>
        <w:right w:val="none" w:sz="0" w:space="0" w:color="auto"/>
      </w:divBdr>
    </w:div>
    <w:div w:id="152768336">
      <w:bodyDiv w:val="1"/>
      <w:marLeft w:val="0"/>
      <w:marRight w:val="0"/>
      <w:marTop w:val="0"/>
      <w:marBottom w:val="0"/>
      <w:divBdr>
        <w:top w:val="none" w:sz="0" w:space="0" w:color="auto"/>
        <w:left w:val="none" w:sz="0" w:space="0" w:color="auto"/>
        <w:bottom w:val="none" w:sz="0" w:space="0" w:color="auto"/>
        <w:right w:val="none" w:sz="0" w:space="0" w:color="auto"/>
      </w:divBdr>
    </w:div>
    <w:div w:id="153376585">
      <w:bodyDiv w:val="1"/>
      <w:marLeft w:val="0"/>
      <w:marRight w:val="0"/>
      <w:marTop w:val="0"/>
      <w:marBottom w:val="0"/>
      <w:divBdr>
        <w:top w:val="none" w:sz="0" w:space="0" w:color="auto"/>
        <w:left w:val="none" w:sz="0" w:space="0" w:color="auto"/>
        <w:bottom w:val="none" w:sz="0" w:space="0" w:color="auto"/>
        <w:right w:val="none" w:sz="0" w:space="0" w:color="auto"/>
      </w:divBdr>
    </w:div>
    <w:div w:id="154031754">
      <w:bodyDiv w:val="1"/>
      <w:marLeft w:val="0"/>
      <w:marRight w:val="0"/>
      <w:marTop w:val="0"/>
      <w:marBottom w:val="0"/>
      <w:divBdr>
        <w:top w:val="none" w:sz="0" w:space="0" w:color="auto"/>
        <w:left w:val="none" w:sz="0" w:space="0" w:color="auto"/>
        <w:bottom w:val="none" w:sz="0" w:space="0" w:color="auto"/>
        <w:right w:val="none" w:sz="0" w:space="0" w:color="auto"/>
      </w:divBdr>
    </w:div>
    <w:div w:id="156842970">
      <w:bodyDiv w:val="1"/>
      <w:marLeft w:val="0"/>
      <w:marRight w:val="0"/>
      <w:marTop w:val="0"/>
      <w:marBottom w:val="0"/>
      <w:divBdr>
        <w:top w:val="none" w:sz="0" w:space="0" w:color="auto"/>
        <w:left w:val="none" w:sz="0" w:space="0" w:color="auto"/>
        <w:bottom w:val="none" w:sz="0" w:space="0" w:color="auto"/>
        <w:right w:val="none" w:sz="0" w:space="0" w:color="auto"/>
      </w:divBdr>
    </w:div>
    <w:div w:id="160700365">
      <w:bodyDiv w:val="1"/>
      <w:marLeft w:val="0"/>
      <w:marRight w:val="0"/>
      <w:marTop w:val="0"/>
      <w:marBottom w:val="0"/>
      <w:divBdr>
        <w:top w:val="none" w:sz="0" w:space="0" w:color="auto"/>
        <w:left w:val="none" w:sz="0" w:space="0" w:color="auto"/>
        <w:bottom w:val="none" w:sz="0" w:space="0" w:color="auto"/>
        <w:right w:val="none" w:sz="0" w:space="0" w:color="auto"/>
      </w:divBdr>
    </w:div>
    <w:div w:id="161088755">
      <w:bodyDiv w:val="1"/>
      <w:marLeft w:val="0"/>
      <w:marRight w:val="0"/>
      <w:marTop w:val="0"/>
      <w:marBottom w:val="0"/>
      <w:divBdr>
        <w:top w:val="none" w:sz="0" w:space="0" w:color="auto"/>
        <w:left w:val="none" w:sz="0" w:space="0" w:color="auto"/>
        <w:bottom w:val="none" w:sz="0" w:space="0" w:color="auto"/>
        <w:right w:val="none" w:sz="0" w:space="0" w:color="auto"/>
      </w:divBdr>
    </w:div>
    <w:div w:id="167792131">
      <w:bodyDiv w:val="1"/>
      <w:marLeft w:val="0"/>
      <w:marRight w:val="0"/>
      <w:marTop w:val="0"/>
      <w:marBottom w:val="0"/>
      <w:divBdr>
        <w:top w:val="none" w:sz="0" w:space="0" w:color="auto"/>
        <w:left w:val="none" w:sz="0" w:space="0" w:color="auto"/>
        <w:bottom w:val="none" w:sz="0" w:space="0" w:color="auto"/>
        <w:right w:val="none" w:sz="0" w:space="0" w:color="auto"/>
      </w:divBdr>
    </w:div>
    <w:div w:id="174618579">
      <w:bodyDiv w:val="1"/>
      <w:marLeft w:val="0"/>
      <w:marRight w:val="0"/>
      <w:marTop w:val="0"/>
      <w:marBottom w:val="0"/>
      <w:divBdr>
        <w:top w:val="none" w:sz="0" w:space="0" w:color="auto"/>
        <w:left w:val="none" w:sz="0" w:space="0" w:color="auto"/>
        <w:bottom w:val="none" w:sz="0" w:space="0" w:color="auto"/>
        <w:right w:val="none" w:sz="0" w:space="0" w:color="auto"/>
      </w:divBdr>
    </w:div>
    <w:div w:id="176430203">
      <w:bodyDiv w:val="1"/>
      <w:marLeft w:val="0"/>
      <w:marRight w:val="0"/>
      <w:marTop w:val="0"/>
      <w:marBottom w:val="0"/>
      <w:divBdr>
        <w:top w:val="none" w:sz="0" w:space="0" w:color="auto"/>
        <w:left w:val="none" w:sz="0" w:space="0" w:color="auto"/>
        <w:bottom w:val="none" w:sz="0" w:space="0" w:color="auto"/>
        <w:right w:val="none" w:sz="0" w:space="0" w:color="auto"/>
      </w:divBdr>
    </w:div>
    <w:div w:id="177042360">
      <w:bodyDiv w:val="1"/>
      <w:marLeft w:val="0"/>
      <w:marRight w:val="0"/>
      <w:marTop w:val="0"/>
      <w:marBottom w:val="0"/>
      <w:divBdr>
        <w:top w:val="none" w:sz="0" w:space="0" w:color="auto"/>
        <w:left w:val="none" w:sz="0" w:space="0" w:color="auto"/>
        <w:bottom w:val="none" w:sz="0" w:space="0" w:color="auto"/>
        <w:right w:val="none" w:sz="0" w:space="0" w:color="auto"/>
      </w:divBdr>
    </w:div>
    <w:div w:id="178011723">
      <w:bodyDiv w:val="1"/>
      <w:marLeft w:val="0"/>
      <w:marRight w:val="0"/>
      <w:marTop w:val="0"/>
      <w:marBottom w:val="0"/>
      <w:divBdr>
        <w:top w:val="none" w:sz="0" w:space="0" w:color="auto"/>
        <w:left w:val="none" w:sz="0" w:space="0" w:color="auto"/>
        <w:bottom w:val="none" w:sz="0" w:space="0" w:color="auto"/>
        <w:right w:val="none" w:sz="0" w:space="0" w:color="auto"/>
      </w:divBdr>
    </w:div>
    <w:div w:id="179392817">
      <w:bodyDiv w:val="1"/>
      <w:marLeft w:val="0"/>
      <w:marRight w:val="0"/>
      <w:marTop w:val="0"/>
      <w:marBottom w:val="0"/>
      <w:divBdr>
        <w:top w:val="none" w:sz="0" w:space="0" w:color="auto"/>
        <w:left w:val="none" w:sz="0" w:space="0" w:color="auto"/>
        <w:bottom w:val="none" w:sz="0" w:space="0" w:color="auto"/>
        <w:right w:val="none" w:sz="0" w:space="0" w:color="auto"/>
      </w:divBdr>
    </w:div>
    <w:div w:id="182789289">
      <w:bodyDiv w:val="1"/>
      <w:marLeft w:val="0"/>
      <w:marRight w:val="0"/>
      <w:marTop w:val="0"/>
      <w:marBottom w:val="0"/>
      <w:divBdr>
        <w:top w:val="none" w:sz="0" w:space="0" w:color="auto"/>
        <w:left w:val="none" w:sz="0" w:space="0" w:color="auto"/>
        <w:bottom w:val="none" w:sz="0" w:space="0" w:color="auto"/>
        <w:right w:val="none" w:sz="0" w:space="0" w:color="auto"/>
      </w:divBdr>
    </w:div>
    <w:div w:id="182937686">
      <w:bodyDiv w:val="1"/>
      <w:marLeft w:val="0"/>
      <w:marRight w:val="0"/>
      <w:marTop w:val="0"/>
      <w:marBottom w:val="0"/>
      <w:divBdr>
        <w:top w:val="none" w:sz="0" w:space="0" w:color="auto"/>
        <w:left w:val="none" w:sz="0" w:space="0" w:color="auto"/>
        <w:bottom w:val="none" w:sz="0" w:space="0" w:color="auto"/>
        <w:right w:val="none" w:sz="0" w:space="0" w:color="auto"/>
      </w:divBdr>
    </w:div>
    <w:div w:id="184908899">
      <w:bodyDiv w:val="1"/>
      <w:marLeft w:val="0"/>
      <w:marRight w:val="0"/>
      <w:marTop w:val="0"/>
      <w:marBottom w:val="0"/>
      <w:divBdr>
        <w:top w:val="none" w:sz="0" w:space="0" w:color="auto"/>
        <w:left w:val="none" w:sz="0" w:space="0" w:color="auto"/>
        <w:bottom w:val="none" w:sz="0" w:space="0" w:color="auto"/>
        <w:right w:val="none" w:sz="0" w:space="0" w:color="auto"/>
      </w:divBdr>
    </w:div>
    <w:div w:id="185683359">
      <w:bodyDiv w:val="1"/>
      <w:marLeft w:val="0"/>
      <w:marRight w:val="0"/>
      <w:marTop w:val="0"/>
      <w:marBottom w:val="0"/>
      <w:divBdr>
        <w:top w:val="none" w:sz="0" w:space="0" w:color="auto"/>
        <w:left w:val="none" w:sz="0" w:space="0" w:color="auto"/>
        <w:bottom w:val="none" w:sz="0" w:space="0" w:color="auto"/>
        <w:right w:val="none" w:sz="0" w:space="0" w:color="auto"/>
      </w:divBdr>
    </w:div>
    <w:div w:id="187448994">
      <w:bodyDiv w:val="1"/>
      <w:marLeft w:val="0"/>
      <w:marRight w:val="0"/>
      <w:marTop w:val="0"/>
      <w:marBottom w:val="0"/>
      <w:divBdr>
        <w:top w:val="none" w:sz="0" w:space="0" w:color="auto"/>
        <w:left w:val="none" w:sz="0" w:space="0" w:color="auto"/>
        <w:bottom w:val="none" w:sz="0" w:space="0" w:color="auto"/>
        <w:right w:val="none" w:sz="0" w:space="0" w:color="auto"/>
      </w:divBdr>
    </w:div>
    <w:div w:id="187456287">
      <w:bodyDiv w:val="1"/>
      <w:marLeft w:val="0"/>
      <w:marRight w:val="0"/>
      <w:marTop w:val="0"/>
      <w:marBottom w:val="0"/>
      <w:divBdr>
        <w:top w:val="none" w:sz="0" w:space="0" w:color="auto"/>
        <w:left w:val="none" w:sz="0" w:space="0" w:color="auto"/>
        <w:bottom w:val="none" w:sz="0" w:space="0" w:color="auto"/>
        <w:right w:val="none" w:sz="0" w:space="0" w:color="auto"/>
      </w:divBdr>
    </w:div>
    <w:div w:id="188372145">
      <w:bodyDiv w:val="1"/>
      <w:marLeft w:val="0"/>
      <w:marRight w:val="0"/>
      <w:marTop w:val="0"/>
      <w:marBottom w:val="0"/>
      <w:divBdr>
        <w:top w:val="none" w:sz="0" w:space="0" w:color="auto"/>
        <w:left w:val="none" w:sz="0" w:space="0" w:color="auto"/>
        <w:bottom w:val="none" w:sz="0" w:space="0" w:color="auto"/>
        <w:right w:val="none" w:sz="0" w:space="0" w:color="auto"/>
      </w:divBdr>
    </w:div>
    <w:div w:id="191967073">
      <w:bodyDiv w:val="1"/>
      <w:marLeft w:val="0"/>
      <w:marRight w:val="0"/>
      <w:marTop w:val="0"/>
      <w:marBottom w:val="0"/>
      <w:divBdr>
        <w:top w:val="none" w:sz="0" w:space="0" w:color="auto"/>
        <w:left w:val="none" w:sz="0" w:space="0" w:color="auto"/>
        <w:bottom w:val="none" w:sz="0" w:space="0" w:color="auto"/>
        <w:right w:val="none" w:sz="0" w:space="0" w:color="auto"/>
      </w:divBdr>
    </w:div>
    <w:div w:id="197475672">
      <w:bodyDiv w:val="1"/>
      <w:marLeft w:val="0"/>
      <w:marRight w:val="0"/>
      <w:marTop w:val="0"/>
      <w:marBottom w:val="0"/>
      <w:divBdr>
        <w:top w:val="none" w:sz="0" w:space="0" w:color="auto"/>
        <w:left w:val="none" w:sz="0" w:space="0" w:color="auto"/>
        <w:bottom w:val="none" w:sz="0" w:space="0" w:color="auto"/>
        <w:right w:val="none" w:sz="0" w:space="0" w:color="auto"/>
      </w:divBdr>
    </w:div>
    <w:div w:id="203300737">
      <w:bodyDiv w:val="1"/>
      <w:marLeft w:val="0"/>
      <w:marRight w:val="0"/>
      <w:marTop w:val="0"/>
      <w:marBottom w:val="0"/>
      <w:divBdr>
        <w:top w:val="none" w:sz="0" w:space="0" w:color="auto"/>
        <w:left w:val="none" w:sz="0" w:space="0" w:color="auto"/>
        <w:bottom w:val="none" w:sz="0" w:space="0" w:color="auto"/>
        <w:right w:val="none" w:sz="0" w:space="0" w:color="auto"/>
      </w:divBdr>
    </w:div>
    <w:div w:id="206987702">
      <w:bodyDiv w:val="1"/>
      <w:marLeft w:val="0"/>
      <w:marRight w:val="0"/>
      <w:marTop w:val="0"/>
      <w:marBottom w:val="0"/>
      <w:divBdr>
        <w:top w:val="none" w:sz="0" w:space="0" w:color="auto"/>
        <w:left w:val="none" w:sz="0" w:space="0" w:color="auto"/>
        <w:bottom w:val="none" w:sz="0" w:space="0" w:color="auto"/>
        <w:right w:val="none" w:sz="0" w:space="0" w:color="auto"/>
      </w:divBdr>
    </w:div>
    <w:div w:id="210309846">
      <w:bodyDiv w:val="1"/>
      <w:marLeft w:val="0"/>
      <w:marRight w:val="0"/>
      <w:marTop w:val="0"/>
      <w:marBottom w:val="0"/>
      <w:divBdr>
        <w:top w:val="none" w:sz="0" w:space="0" w:color="auto"/>
        <w:left w:val="none" w:sz="0" w:space="0" w:color="auto"/>
        <w:bottom w:val="none" w:sz="0" w:space="0" w:color="auto"/>
        <w:right w:val="none" w:sz="0" w:space="0" w:color="auto"/>
      </w:divBdr>
    </w:div>
    <w:div w:id="211425285">
      <w:bodyDiv w:val="1"/>
      <w:marLeft w:val="0"/>
      <w:marRight w:val="0"/>
      <w:marTop w:val="0"/>
      <w:marBottom w:val="0"/>
      <w:divBdr>
        <w:top w:val="none" w:sz="0" w:space="0" w:color="auto"/>
        <w:left w:val="none" w:sz="0" w:space="0" w:color="auto"/>
        <w:bottom w:val="none" w:sz="0" w:space="0" w:color="auto"/>
        <w:right w:val="none" w:sz="0" w:space="0" w:color="auto"/>
      </w:divBdr>
    </w:div>
    <w:div w:id="213319833">
      <w:bodyDiv w:val="1"/>
      <w:marLeft w:val="0"/>
      <w:marRight w:val="0"/>
      <w:marTop w:val="0"/>
      <w:marBottom w:val="0"/>
      <w:divBdr>
        <w:top w:val="none" w:sz="0" w:space="0" w:color="auto"/>
        <w:left w:val="none" w:sz="0" w:space="0" w:color="auto"/>
        <w:bottom w:val="none" w:sz="0" w:space="0" w:color="auto"/>
        <w:right w:val="none" w:sz="0" w:space="0" w:color="auto"/>
      </w:divBdr>
    </w:div>
    <w:div w:id="216161532">
      <w:bodyDiv w:val="1"/>
      <w:marLeft w:val="0"/>
      <w:marRight w:val="0"/>
      <w:marTop w:val="0"/>
      <w:marBottom w:val="0"/>
      <w:divBdr>
        <w:top w:val="none" w:sz="0" w:space="0" w:color="auto"/>
        <w:left w:val="none" w:sz="0" w:space="0" w:color="auto"/>
        <w:bottom w:val="none" w:sz="0" w:space="0" w:color="auto"/>
        <w:right w:val="none" w:sz="0" w:space="0" w:color="auto"/>
      </w:divBdr>
    </w:div>
    <w:div w:id="216555153">
      <w:bodyDiv w:val="1"/>
      <w:marLeft w:val="0"/>
      <w:marRight w:val="0"/>
      <w:marTop w:val="0"/>
      <w:marBottom w:val="0"/>
      <w:divBdr>
        <w:top w:val="none" w:sz="0" w:space="0" w:color="auto"/>
        <w:left w:val="none" w:sz="0" w:space="0" w:color="auto"/>
        <w:bottom w:val="none" w:sz="0" w:space="0" w:color="auto"/>
        <w:right w:val="none" w:sz="0" w:space="0" w:color="auto"/>
      </w:divBdr>
    </w:div>
    <w:div w:id="220095799">
      <w:bodyDiv w:val="1"/>
      <w:marLeft w:val="0"/>
      <w:marRight w:val="0"/>
      <w:marTop w:val="0"/>
      <w:marBottom w:val="0"/>
      <w:divBdr>
        <w:top w:val="none" w:sz="0" w:space="0" w:color="auto"/>
        <w:left w:val="none" w:sz="0" w:space="0" w:color="auto"/>
        <w:bottom w:val="none" w:sz="0" w:space="0" w:color="auto"/>
        <w:right w:val="none" w:sz="0" w:space="0" w:color="auto"/>
      </w:divBdr>
    </w:div>
    <w:div w:id="221252152">
      <w:bodyDiv w:val="1"/>
      <w:marLeft w:val="0"/>
      <w:marRight w:val="0"/>
      <w:marTop w:val="0"/>
      <w:marBottom w:val="0"/>
      <w:divBdr>
        <w:top w:val="none" w:sz="0" w:space="0" w:color="auto"/>
        <w:left w:val="none" w:sz="0" w:space="0" w:color="auto"/>
        <w:bottom w:val="none" w:sz="0" w:space="0" w:color="auto"/>
        <w:right w:val="none" w:sz="0" w:space="0" w:color="auto"/>
      </w:divBdr>
    </w:div>
    <w:div w:id="224528479">
      <w:bodyDiv w:val="1"/>
      <w:marLeft w:val="0"/>
      <w:marRight w:val="0"/>
      <w:marTop w:val="0"/>
      <w:marBottom w:val="0"/>
      <w:divBdr>
        <w:top w:val="none" w:sz="0" w:space="0" w:color="auto"/>
        <w:left w:val="none" w:sz="0" w:space="0" w:color="auto"/>
        <w:bottom w:val="none" w:sz="0" w:space="0" w:color="auto"/>
        <w:right w:val="none" w:sz="0" w:space="0" w:color="auto"/>
      </w:divBdr>
    </w:div>
    <w:div w:id="224528828">
      <w:bodyDiv w:val="1"/>
      <w:marLeft w:val="0"/>
      <w:marRight w:val="0"/>
      <w:marTop w:val="0"/>
      <w:marBottom w:val="0"/>
      <w:divBdr>
        <w:top w:val="none" w:sz="0" w:space="0" w:color="auto"/>
        <w:left w:val="none" w:sz="0" w:space="0" w:color="auto"/>
        <w:bottom w:val="none" w:sz="0" w:space="0" w:color="auto"/>
        <w:right w:val="none" w:sz="0" w:space="0" w:color="auto"/>
      </w:divBdr>
    </w:div>
    <w:div w:id="238447429">
      <w:bodyDiv w:val="1"/>
      <w:marLeft w:val="0"/>
      <w:marRight w:val="0"/>
      <w:marTop w:val="0"/>
      <w:marBottom w:val="0"/>
      <w:divBdr>
        <w:top w:val="none" w:sz="0" w:space="0" w:color="auto"/>
        <w:left w:val="none" w:sz="0" w:space="0" w:color="auto"/>
        <w:bottom w:val="none" w:sz="0" w:space="0" w:color="auto"/>
        <w:right w:val="none" w:sz="0" w:space="0" w:color="auto"/>
      </w:divBdr>
    </w:div>
    <w:div w:id="238712356">
      <w:bodyDiv w:val="1"/>
      <w:marLeft w:val="0"/>
      <w:marRight w:val="0"/>
      <w:marTop w:val="0"/>
      <w:marBottom w:val="0"/>
      <w:divBdr>
        <w:top w:val="none" w:sz="0" w:space="0" w:color="auto"/>
        <w:left w:val="none" w:sz="0" w:space="0" w:color="auto"/>
        <w:bottom w:val="none" w:sz="0" w:space="0" w:color="auto"/>
        <w:right w:val="none" w:sz="0" w:space="0" w:color="auto"/>
      </w:divBdr>
    </w:div>
    <w:div w:id="240456683">
      <w:bodyDiv w:val="1"/>
      <w:marLeft w:val="0"/>
      <w:marRight w:val="0"/>
      <w:marTop w:val="0"/>
      <w:marBottom w:val="0"/>
      <w:divBdr>
        <w:top w:val="none" w:sz="0" w:space="0" w:color="auto"/>
        <w:left w:val="none" w:sz="0" w:space="0" w:color="auto"/>
        <w:bottom w:val="none" w:sz="0" w:space="0" w:color="auto"/>
        <w:right w:val="none" w:sz="0" w:space="0" w:color="auto"/>
      </w:divBdr>
    </w:div>
    <w:div w:id="247472221">
      <w:bodyDiv w:val="1"/>
      <w:marLeft w:val="0"/>
      <w:marRight w:val="0"/>
      <w:marTop w:val="0"/>
      <w:marBottom w:val="0"/>
      <w:divBdr>
        <w:top w:val="none" w:sz="0" w:space="0" w:color="auto"/>
        <w:left w:val="none" w:sz="0" w:space="0" w:color="auto"/>
        <w:bottom w:val="none" w:sz="0" w:space="0" w:color="auto"/>
        <w:right w:val="none" w:sz="0" w:space="0" w:color="auto"/>
      </w:divBdr>
    </w:div>
    <w:div w:id="250284893">
      <w:bodyDiv w:val="1"/>
      <w:marLeft w:val="0"/>
      <w:marRight w:val="0"/>
      <w:marTop w:val="0"/>
      <w:marBottom w:val="0"/>
      <w:divBdr>
        <w:top w:val="none" w:sz="0" w:space="0" w:color="auto"/>
        <w:left w:val="none" w:sz="0" w:space="0" w:color="auto"/>
        <w:bottom w:val="none" w:sz="0" w:space="0" w:color="auto"/>
        <w:right w:val="none" w:sz="0" w:space="0" w:color="auto"/>
      </w:divBdr>
    </w:div>
    <w:div w:id="250357798">
      <w:bodyDiv w:val="1"/>
      <w:marLeft w:val="0"/>
      <w:marRight w:val="0"/>
      <w:marTop w:val="0"/>
      <w:marBottom w:val="0"/>
      <w:divBdr>
        <w:top w:val="none" w:sz="0" w:space="0" w:color="auto"/>
        <w:left w:val="none" w:sz="0" w:space="0" w:color="auto"/>
        <w:bottom w:val="none" w:sz="0" w:space="0" w:color="auto"/>
        <w:right w:val="none" w:sz="0" w:space="0" w:color="auto"/>
      </w:divBdr>
    </w:div>
    <w:div w:id="255290111">
      <w:bodyDiv w:val="1"/>
      <w:marLeft w:val="0"/>
      <w:marRight w:val="0"/>
      <w:marTop w:val="0"/>
      <w:marBottom w:val="0"/>
      <w:divBdr>
        <w:top w:val="none" w:sz="0" w:space="0" w:color="auto"/>
        <w:left w:val="none" w:sz="0" w:space="0" w:color="auto"/>
        <w:bottom w:val="none" w:sz="0" w:space="0" w:color="auto"/>
        <w:right w:val="none" w:sz="0" w:space="0" w:color="auto"/>
      </w:divBdr>
    </w:div>
    <w:div w:id="258412314">
      <w:bodyDiv w:val="1"/>
      <w:marLeft w:val="0"/>
      <w:marRight w:val="0"/>
      <w:marTop w:val="0"/>
      <w:marBottom w:val="0"/>
      <w:divBdr>
        <w:top w:val="none" w:sz="0" w:space="0" w:color="auto"/>
        <w:left w:val="none" w:sz="0" w:space="0" w:color="auto"/>
        <w:bottom w:val="none" w:sz="0" w:space="0" w:color="auto"/>
        <w:right w:val="none" w:sz="0" w:space="0" w:color="auto"/>
      </w:divBdr>
    </w:div>
    <w:div w:id="260842473">
      <w:bodyDiv w:val="1"/>
      <w:marLeft w:val="0"/>
      <w:marRight w:val="0"/>
      <w:marTop w:val="0"/>
      <w:marBottom w:val="0"/>
      <w:divBdr>
        <w:top w:val="none" w:sz="0" w:space="0" w:color="auto"/>
        <w:left w:val="none" w:sz="0" w:space="0" w:color="auto"/>
        <w:bottom w:val="none" w:sz="0" w:space="0" w:color="auto"/>
        <w:right w:val="none" w:sz="0" w:space="0" w:color="auto"/>
      </w:divBdr>
    </w:div>
    <w:div w:id="262030065">
      <w:bodyDiv w:val="1"/>
      <w:marLeft w:val="0"/>
      <w:marRight w:val="0"/>
      <w:marTop w:val="0"/>
      <w:marBottom w:val="0"/>
      <w:divBdr>
        <w:top w:val="none" w:sz="0" w:space="0" w:color="auto"/>
        <w:left w:val="none" w:sz="0" w:space="0" w:color="auto"/>
        <w:bottom w:val="none" w:sz="0" w:space="0" w:color="auto"/>
        <w:right w:val="none" w:sz="0" w:space="0" w:color="auto"/>
      </w:divBdr>
    </w:div>
    <w:div w:id="263417398">
      <w:bodyDiv w:val="1"/>
      <w:marLeft w:val="0"/>
      <w:marRight w:val="0"/>
      <w:marTop w:val="0"/>
      <w:marBottom w:val="0"/>
      <w:divBdr>
        <w:top w:val="none" w:sz="0" w:space="0" w:color="auto"/>
        <w:left w:val="none" w:sz="0" w:space="0" w:color="auto"/>
        <w:bottom w:val="none" w:sz="0" w:space="0" w:color="auto"/>
        <w:right w:val="none" w:sz="0" w:space="0" w:color="auto"/>
      </w:divBdr>
    </w:div>
    <w:div w:id="267082319">
      <w:bodyDiv w:val="1"/>
      <w:marLeft w:val="0"/>
      <w:marRight w:val="0"/>
      <w:marTop w:val="0"/>
      <w:marBottom w:val="0"/>
      <w:divBdr>
        <w:top w:val="none" w:sz="0" w:space="0" w:color="auto"/>
        <w:left w:val="none" w:sz="0" w:space="0" w:color="auto"/>
        <w:bottom w:val="none" w:sz="0" w:space="0" w:color="auto"/>
        <w:right w:val="none" w:sz="0" w:space="0" w:color="auto"/>
      </w:divBdr>
    </w:div>
    <w:div w:id="269508956">
      <w:bodyDiv w:val="1"/>
      <w:marLeft w:val="0"/>
      <w:marRight w:val="0"/>
      <w:marTop w:val="0"/>
      <w:marBottom w:val="0"/>
      <w:divBdr>
        <w:top w:val="none" w:sz="0" w:space="0" w:color="auto"/>
        <w:left w:val="none" w:sz="0" w:space="0" w:color="auto"/>
        <w:bottom w:val="none" w:sz="0" w:space="0" w:color="auto"/>
        <w:right w:val="none" w:sz="0" w:space="0" w:color="auto"/>
      </w:divBdr>
    </w:div>
    <w:div w:id="269557247">
      <w:bodyDiv w:val="1"/>
      <w:marLeft w:val="0"/>
      <w:marRight w:val="0"/>
      <w:marTop w:val="0"/>
      <w:marBottom w:val="0"/>
      <w:divBdr>
        <w:top w:val="none" w:sz="0" w:space="0" w:color="auto"/>
        <w:left w:val="none" w:sz="0" w:space="0" w:color="auto"/>
        <w:bottom w:val="none" w:sz="0" w:space="0" w:color="auto"/>
        <w:right w:val="none" w:sz="0" w:space="0" w:color="auto"/>
      </w:divBdr>
    </w:div>
    <w:div w:id="274557739">
      <w:bodyDiv w:val="1"/>
      <w:marLeft w:val="0"/>
      <w:marRight w:val="0"/>
      <w:marTop w:val="0"/>
      <w:marBottom w:val="0"/>
      <w:divBdr>
        <w:top w:val="none" w:sz="0" w:space="0" w:color="auto"/>
        <w:left w:val="none" w:sz="0" w:space="0" w:color="auto"/>
        <w:bottom w:val="none" w:sz="0" w:space="0" w:color="auto"/>
        <w:right w:val="none" w:sz="0" w:space="0" w:color="auto"/>
      </w:divBdr>
    </w:div>
    <w:div w:id="276448524">
      <w:bodyDiv w:val="1"/>
      <w:marLeft w:val="0"/>
      <w:marRight w:val="0"/>
      <w:marTop w:val="0"/>
      <w:marBottom w:val="0"/>
      <w:divBdr>
        <w:top w:val="none" w:sz="0" w:space="0" w:color="auto"/>
        <w:left w:val="none" w:sz="0" w:space="0" w:color="auto"/>
        <w:bottom w:val="none" w:sz="0" w:space="0" w:color="auto"/>
        <w:right w:val="none" w:sz="0" w:space="0" w:color="auto"/>
      </w:divBdr>
    </w:div>
    <w:div w:id="282150157">
      <w:bodyDiv w:val="1"/>
      <w:marLeft w:val="0"/>
      <w:marRight w:val="0"/>
      <w:marTop w:val="0"/>
      <w:marBottom w:val="0"/>
      <w:divBdr>
        <w:top w:val="none" w:sz="0" w:space="0" w:color="auto"/>
        <w:left w:val="none" w:sz="0" w:space="0" w:color="auto"/>
        <w:bottom w:val="none" w:sz="0" w:space="0" w:color="auto"/>
        <w:right w:val="none" w:sz="0" w:space="0" w:color="auto"/>
      </w:divBdr>
    </w:div>
    <w:div w:id="284849189">
      <w:bodyDiv w:val="1"/>
      <w:marLeft w:val="0"/>
      <w:marRight w:val="0"/>
      <w:marTop w:val="0"/>
      <w:marBottom w:val="0"/>
      <w:divBdr>
        <w:top w:val="none" w:sz="0" w:space="0" w:color="auto"/>
        <w:left w:val="none" w:sz="0" w:space="0" w:color="auto"/>
        <w:bottom w:val="none" w:sz="0" w:space="0" w:color="auto"/>
        <w:right w:val="none" w:sz="0" w:space="0" w:color="auto"/>
      </w:divBdr>
    </w:div>
    <w:div w:id="288440712">
      <w:bodyDiv w:val="1"/>
      <w:marLeft w:val="0"/>
      <w:marRight w:val="0"/>
      <w:marTop w:val="0"/>
      <w:marBottom w:val="0"/>
      <w:divBdr>
        <w:top w:val="none" w:sz="0" w:space="0" w:color="auto"/>
        <w:left w:val="none" w:sz="0" w:space="0" w:color="auto"/>
        <w:bottom w:val="none" w:sz="0" w:space="0" w:color="auto"/>
        <w:right w:val="none" w:sz="0" w:space="0" w:color="auto"/>
      </w:divBdr>
    </w:div>
    <w:div w:id="291642208">
      <w:bodyDiv w:val="1"/>
      <w:marLeft w:val="0"/>
      <w:marRight w:val="0"/>
      <w:marTop w:val="0"/>
      <w:marBottom w:val="0"/>
      <w:divBdr>
        <w:top w:val="none" w:sz="0" w:space="0" w:color="auto"/>
        <w:left w:val="none" w:sz="0" w:space="0" w:color="auto"/>
        <w:bottom w:val="none" w:sz="0" w:space="0" w:color="auto"/>
        <w:right w:val="none" w:sz="0" w:space="0" w:color="auto"/>
      </w:divBdr>
    </w:div>
    <w:div w:id="293486323">
      <w:bodyDiv w:val="1"/>
      <w:marLeft w:val="0"/>
      <w:marRight w:val="0"/>
      <w:marTop w:val="0"/>
      <w:marBottom w:val="0"/>
      <w:divBdr>
        <w:top w:val="none" w:sz="0" w:space="0" w:color="auto"/>
        <w:left w:val="none" w:sz="0" w:space="0" w:color="auto"/>
        <w:bottom w:val="none" w:sz="0" w:space="0" w:color="auto"/>
        <w:right w:val="none" w:sz="0" w:space="0" w:color="auto"/>
      </w:divBdr>
    </w:div>
    <w:div w:id="294917944">
      <w:bodyDiv w:val="1"/>
      <w:marLeft w:val="0"/>
      <w:marRight w:val="0"/>
      <w:marTop w:val="0"/>
      <w:marBottom w:val="0"/>
      <w:divBdr>
        <w:top w:val="none" w:sz="0" w:space="0" w:color="auto"/>
        <w:left w:val="none" w:sz="0" w:space="0" w:color="auto"/>
        <w:bottom w:val="none" w:sz="0" w:space="0" w:color="auto"/>
        <w:right w:val="none" w:sz="0" w:space="0" w:color="auto"/>
      </w:divBdr>
    </w:div>
    <w:div w:id="295993282">
      <w:bodyDiv w:val="1"/>
      <w:marLeft w:val="0"/>
      <w:marRight w:val="0"/>
      <w:marTop w:val="0"/>
      <w:marBottom w:val="0"/>
      <w:divBdr>
        <w:top w:val="none" w:sz="0" w:space="0" w:color="auto"/>
        <w:left w:val="none" w:sz="0" w:space="0" w:color="auto"/>
        <w:bottom w:val="none" w:sz="0" w:space="0" w:color="auto"/>
        <w:right w:val="none" w:sz="0" w:space="0" w:color="auto"/>
      </w:divBdr>
    </w:div>
    <w:div w:id="298731625">
      <w:bodyDiv w:val="1"/>
      <w:marLeft w:val="0"/>
      <w:marRight w:val="0"/>
      <w:marTop w:val="0"/>
      <w:marBottom w:val="0"/>
      <w:divBdr>
        <w:top w:val="none" w:sz="0" w:space="0" w:color="auto"/>
        <w:left w:val="none" w:sz="0" w:space="0" w:color="auto"/>
        <w:bottom w:val="none" w:sz="0" w:space="0" w:color="auto"/>
        <w:right w:val="none" w:sz="0" w:space="0" w:color="auto"/>
      </w:divBdr>
    </w:div>
    <w:div w:id="301271827">
      <w:bodyDiv w:val="1"/>
      <w:marLeft w:val="0"/>
      <w:marRight w:val="0"/>
      <w:marTop w:val="0"/>
      <w:marBottom w:val="0"/>
      <w:divBdr>
        <w:top w:val="none" w:sz="0" w:space="0" w:color="auto"/>
        <w:left w:val="none" w:sz="0" w:space="0" w:color="auto"/>
        <w:bottom w:val="none" w:sz="0" w:space="0" w:color="auto"/>
        <w:right w:val="none" w:sz="0" w:space="0" w:color="auto"/>
      </w:divBdr>
    </w:div>
    <w:div w:id="305549524">
      <w:bodyDiv w:val="1"/>
      <w:marLeft w:val="0"/>
      <w:marRight w:val="0"/>
      <w:marTop w:val="0"/>
      <w:marBottom w:val="0"/>
      <w:divBdr>
        <w:top w:val="none" w:sz="0" w:space="0" w:color="auto"/>
        <w:left w:val="none" w:sz="0" w:space="0" w:color="auto"/>
        <w:bottom w:val="none" w:sz="0" w:space="0" w:color="auto"/>
        <w:right w:val="none" w:sz="0" w:space="0" w:color="auto"/>
      </w:divBdr>
    </w:div>
    <w:div w:id="307789359">
      <w:bodyDiv w:val="1"/>
      <w:marLeft w:val="0"/>
      <w:marRight w:val="0"/>
      <w:marTop w:val="0"/>
      <w:marBottom w:val="0"/>
      <w:divBdr>
        <w:top w:val="none" w:sz="0" w:space="0" w:color="auto"/>
        <w:left w:val="none" w:sz="0" w:space="0" w:color="auto"/>
        <w:bottom w:val="none" w:sz="0" w:space="0" w:color="auto"/>
        <w:right w:val="none" w:sz="0" w:space="0" w:color="auto"/>
      </w:divBdr>
    </w:div>
    <w:div w:id="310601728">
      <w:bodyDiv w:val="1"/>
      <w:marLeft w:val="0"/>
      <w:marRight w:val="0"/>
      <w:marTop w:val="0"/>
      <w:marBottom w:val="0"/>
      <w:divBdr>
        <w:top w:val="none" w:sz="0" w:space="0" w:color="auto"/>
        <w:left w:val="none" w:sz="0" w:space="0" w:color="auto"/>
        <w:bottom w:val="none" w:sz="0" w:space="0" w:color="auto"/>
        <w:right w:val="none" w:sz="0" w:space="0" w:color="auto"/>
      </w:divBdr>
    </w:div>
    <w:div w:id="310671069">
      <w:bodyDiv w:val="1"/>
      <w:marLeft w:val="0"/>
      <w:marRight w:val="0"/>
      <w:marTop w:val="0"/>
      <w:marBottom w:val="0"/>
      <w:divBdr>
        <w:top w:val="none" w:sz="0" w:space="0" w:color="auto"/>
        <w:left w:val="none" w:sz="0" w:space="0" w:color="auto"/>
        <w:bottom w:val="none" w:sz="0" w:space="0" w:color="auto"/>
        <w:right w:val="none" w:sz="0" w:space="0" w:color="auto"/>
      </w:divBdr>
    </w:div>
    <w:div w:id="311254148">
      <w:bodyDiv w:val="1"/>
      <w:marLeft w:val="0"/>
      <w:marRight w:val="0"/>
      <w:marTop w:val="0"/>
      <w:marBottom w:val="0"/>
      <w:divBdr>
        <w:top w:val="none" w:sz="0" w:space="0" w:color="auto"/>
        <w:left w:val="none" w:sz="0" w:space="0" w:color="auto"/>
        <w:bottom w:val="none" w:sz="0" w:space="0" w:color="auto"/>
        <w:right w:val="none" w:sz="0" w:space="0" w:color="auto"/>
      </w:divBdr>
    </w:div>
    <w:div w:id="314651986">
      <w:bodyDiv w:val="1"/>
      <w:marLeft w:val="0"/>
      <w:marRight w:val="0"/>
      <w:marTop w:val="0"/>
      <w:marBottom w:val="0"/>
      <w:divBdr>
        <w:top w:val="none" w:sz="0" w:space="0" w:color="auto"/>
        <w:left w:val="none" w:sz="0" w:space="0" w:color="auto"/>
        <w:bottom w:val="none" w:sz="0" w:space="0" w:color="auto"/>
        <w:right w:val="none" w:sz="0" w:space="0" w:color="auto"/>
      </w:divBdr>
    </w:div>
    <w:div w:id="314801496">
      <w:bodyDiv w:val="1"/>
      <w:marLeft w:val="0"/>
      <w:marRight w:val="0"/>
      <w:marTop w:val="0"/>
      <w:marBottom w:val="0"/>
      <w:divBdr>
        <w:top w:val="none" w:sz="0" w:space="0" w:color="auto"/>
        <w:left w:val="none" w:sz="0" w:space="0" w:color="auto"/>
        <w:bottom w:val="none" w:sz="0" w:space="0" w:color="auto"/>
        <w:right w:val="none" w:sz="0" w:space="0" w:color="auto"/>
      </w:divBdr>
    </w:div>
    <w:div w:id="315183318">
      <w:bodyDiv w:val="1"/>
      <w:marLeft w:val="0"/>
      <w:marRight w:val="0"/>
      <w:marTop w:val="0"/>
      <w:marBottom w:val="0"/>
      <w:divBdr>
        <w:top w:val="none" w:sz="0" w:space="0" w:color="auto"/>
        <w:left w:val="none" w:sz="0" w:space="0" w:color="auto"/>
        <w:bottom w:val="none" w:sz="0" w:space="0" w:color="auto"/>
        <w:right w:val="none" w:sz="0" w:space="0" w:color="auto"/>
      </w:divBdr>
    </w:div>
    <w:div w:id="317850025">
      <w:bodyDiv w:val="1"/>
      <w:marLeft w:val="0"/>
      <w:marRight w:val="0"/>
      <w:marTop w:val="0"/>
      <w:marBottom w:val="0"/>
      <w:divBdr>
        <w:top w:val="none" w:sz="0" w:space="0" w:color="auto"/>
        <w:left w:val="none" w:sz="0" w:space="0" w:color="auto"/>
        <w:bottom w:val="none" w:sz="0" w:space="0" w:color="auto"/>
        <w:right w:val="none" w:sz="0" w:space="0" w:color="auto"/>
      </w:divBdr>
    </w:div>
    <w:div w:id="318311802">
      <w:bodyDiv w:val="1"/>
      <w:marLeft w:val="0"/>
      <w:marRight w:val="0"/>
      <w:marTop w:val="0"/>
      <w:marBottom w:val="0"/>
      <w:divBdr>
        <w:top w:val="none" w:sz="0" w:space="0" w:color="auto"/>
        <w:left w:val="none" w:sz="0" w:space="0" w:color="auto"/>
        <w:bottom w:val="none" w:sz="0" w:space="0" w:color="auto"/>
        <w:right w:val="none" w:sz="0" w:space="0" w:color="auto"/>
      </w:divBdr>
    </w:div>
    <w:div w:id="322203555">
      <w:bodyDiv w:val="1"/>
      <w:marLeft w:val="0"/>
      <w:marRight w:val="0"/>
      <w:marTop w:val="0"/>
      <w:marBottom w:val="0"/>
      <w:divBdr>
        <w:top w:val="none" w:sz="0" w:space="0" w:color="auto"/>
        <w:left w:val="none" w:sz="0" w:space="0" w:color="auto"/>
        <w:bottom w:val="none" w:sz="0" w:space="0" w:color="auto"/>
        <w:right w:val="none" w:sz="0" w:space="0" w:color="auto"/>
      </w:divBdr>
    </w:div>
    <w:div w:id="323168830">
      <w:bodyDiv w:val="1"/>
      <w:marLeft w:val="0"/>
      <w:marRight w:val="0"/>
      <w:marTop w:val="0"/>
      <w:marBottom w:val="0"/>
      <w:divBdr>
        <w:top w:val="none" w:sz="0" w:space="0" w:color="auto"/>
        <w:left w:val="none" w:sz="0" w:space="0" w:color="auto"/>
        <w:bottom w:val="none" w:sz="0" w:space="0" w:color="auto"/>
        <w:right w:val="none" w:sz="0" w:space="0" w:color="auto"/>
      </w:divBdr>
    </w:div>
    <w:div w:id="327289151">
      <w:bodyDiv w:val="1"/>
      <w:marLeft w:val="0"/>
      <w:marRight w:val="0"/>
      <w:marTop w:val="0"/>
      <w:marBottom w:val="0"/>
      <w:divBdr>
        <w:top w:val="none" w:sz="0" w:space="0" w:color="auto"/>
        <w:left w:val="none" w:sz="0" w:space="0" w:color="auto"/>
        <w:bottom w:val="none" w:sz="0" w:space="0" w:color="auto"/>
        <w:right w:val="none" w:sz="0" w:space="0" w:color="auto"/>
      </w:divBdr>
    </w:div>
    <w:div w:id="331834694">
      <w:bodyDiv w:val="1"/>
      <w:marLeft w:val="0"/>
      <w:marRight w:val="0"/>
      <w:marTop w:val="0"/>
      <w:marBottom w:val="0"/>
      <w:divBdr>
        <w:top w:val="none" w:sz="0" w:space="0" w:color="auto"/>
        <w:left w:val="none" w:sz="0" w:space="0" w:color="auto"/>
        <w:bottom w:val="none" w:sz="0" w:space="0" w:color="auto"/>
        <w:right w:val="none" w:sz="0" w:space="0" w:color="auto"/>
      </w:divBdr>
    </w:div>
    <w:div w:id="334499707">
      <w:bodyDiv w:val="1"/>
      <w:marLeft w:val="0"/>
      <w:marRight w:val="0"/>
      <w:marTop w:val="0"/>
      <w:marBottom w:val="0"/>
      <w:divBdr>
        <w:top w:val="none" w:sz="0" w:space="0" w:color="auto"/>
        <w:left w:val="none" w:sz="0" w:space="0" w:color="auto"/>
        <w:bottom w:val="none" w:sz="0" w:space="0" w:color="auto"/>
        <w:right w:val="none" w:sz="0" w:space="0" w:color="auto"/>
      </w:divBdr>
    </w:div>
    <w:div w:id="343749718">
      <w:bodyDiv w:val="1"/>
      <w:marLeft w:val="0"/>
      <w:marRight w:val="0"/>
      <w:marTop w:val="0"/>
      <w:marBottom w:val="0"/>
      <w:divBdr>
        <w:top w:val="none" w:sz="0" w:space="0" w:color="auto"/>
        <w:left w:val="none" w:sz="0" w:space="0" w:color="auto"/>
        <w:bottom w:val="none" w:sz="0" w:space="0" w:color="auto"/>
        <w:right w:val="none" w:sz="0" w:space="0" w:color="auto"/>
      </w:divBdr>
    </w:div>
    <w:div w:id="350618236">
      <w:bodyDiv w:val="1"/>
      <w:marLeft w:val="0"/>
      <w:marRight w:val="0"/>
      <w:marTop w:val="0"/>
      <w:marBottom w:val="0"/>
      <w:divBdr>
        <w:top w:val="none" w:sz="0" w:space="0" w:color="auto"/>
        <w:left w:val="none" w:sz="0" w:space="0" w:color="auto"/>
        <w:bottom w:val="none" w:sz="0" w:space="0" w:color="auto"/>
        <w:right w:val="none" w:sz="0" w:space="0" w:color="auto"/>
      </w:divBdr>
    </w:div>
    <w:div w:id="352196185">
      <w:bodyDiv w:val="1"/>
      <w:marLeft w:val="0"/>
      <w:marRight w:val="0"/>
      <w:marTop w:val="0"/>
      <w:marBottom w:val="0"/>
      <w:divBdr>
        <w:top w:val="none" w:sz="0" w:space="0" w:color="auto"/>
        <w:left w:val="none" w:sz="0" w:space="0" w:color="auto"/>
        <w:bottom w:val="none" w:sz="0" w:space="0" w:color="auto"/>
        <w:right w:val="none" w:sz="0" w:space="0" w:color="auto"/>
      </w:divBdr>
    </w:div>
    <w:div w:id="353264445">
      <w:bodyDiv w:val="1"/>
      <w:marLeft w:val="0"/>
      <w:marRight w:val="0"/>
      <w:marTop w:val="0"/>
      <w:marBottom w:val="0"/>
      <w:divBdr>
        <w:top w:val="none" w:sz="0" w:space="0" w:color="auto"/>
        <w:left w:val="none" w:sz="0" w:space="0" w:color="auto"/>
        <w:bottom w:val="none" w:sz="0" w:space="0" w:color="auto"/>
        <w:right w:val="none" w:sz="0" w:space="0" w:color="auto"/>
      </w:divBdr>
    </w:div>
    <w:div w:id="353576402">
      <w:bodyDiv w:val="1"/>
      <w:marLeft w:val="0"/>
      <w:marRight w:val="0"/>
      <w:marTop w:val="0"/>
      <w:marBottom w:val="0"/>
      <w:divBdr>
        <w:top w:val="none" w:sz="0" w:space="0" w:color="auto"/>
        <w:left w:val="none" w:sz="0" w:space="0" w:color="auto"/>
        <w:bottom w:val="none" w:sz="0" w:space="0" w:color="auto"/>
        <w:right w:val="none" w:sz="0" w:space="0" w:color="auto"/>
      </w:divBdr>
    </w:div>
    <w:div w:id="357122689">
      <w:bodyDiv w:val="1"/>
      <w:marLeft w:val="0"/>
      <w:marRight w:val="0"/>
      <w:marTop w:val="0"/>
      <w:marBottom w:val="0"/>
      <w:divBdr>
        <w:top w:val="none" w:sz="0" w:space="0" w:color="auto"/>
        <w:left w:val="none" w:sz="0" w:space="0" w:color="auto"/>
        <w:bottom w:val="none" w:sz="0" w:space="0" w:color="auto"/>
        <w:right w:val="none" w:sz="0" w:space="0" w:color="auto"/>
      </w:divBdr>
    </w:div>
    <w:div w:id="359362839">
      <w:bodyDiv w:val="1"/>
      <w:marLeft w:val="0"/>
      <w:marRight w:val="0"/>
      <w:marTop w:val="0"/>
      <w:marBottom w:val="0"/>
      <w:divBdr>
        <w:top w:val="none" w:sz="0" w:space="0" w:color="auto"/>
        <w:left w:val="none" w:sz="0" w:space="0" w:color="auto"/>
        <w:bottom w:val="none" w:sz="0" w:space="0" w:color="auto"/>
        <w:right w:val="none" w:sz="0" w:space="0" w:color="auto"/>
      </w:divBdr>
    </w:div>
    <w:div w:id="360207811">
      <w:bodyDiv w:val="1"/>
      <w:marLeft w:val="0"/>
      <w:marRight w:val="0"/>
      <w:marTop w:val="0"/>
      <w:marBottom w:val="0"/>
      <w:divBdr>
        <w:top w:val="none" w:sz="0" w:space="0" w:color="auto"/>
        <w:left w:val="none" w:sz="0" w:space="0" w:color="auto"/>
        <w:bottom w:val="none" w:sz="0" w:space="0" w:color="auto"/>
        <w:right w:val="none" w:sz="0" w:space="0" w:color="auto"/>
      </w:divBdr>
    </w:div>
    <w:div w:id="362243695">
      <w:bodyDiv w:val="1"/>
      <w:marLeft w:val="0"/>
      <w:marRight w:val="0"/>
      <w:marTop w:val="0"/>
      <w:marBottom w:val="0"/>
      <w:divBdr>
        <w:top w:val="none" w:sz="0" w:space="0" w:color="auto"/>
        <w:left w:val="none" w:sz="0" w:space="0" w:color="auto"/>
        <w:bottom w:val="none" w:sz="0" w:space="0" w:color="auto"/>
        <w:right w:val="none" w:sz="0" w:space="0" w:color="auto"/>
      </w:divBdr>
    </w:div>
    <w:div w:id="363793631">
      <w:bodyDiv w:val="1"/>
      <w:marLeft w:val="0"/>
      <w:marRight w:val="0"/>
      <w:marTop w:val="0"/>
      <w:marBottom w:val="0"/>
      <w:divBdr>
        <w:top w:val="none" w:sz="0" w:space="0" w:color="auto"/>
        <w:left w:val="none" w:sz="0" w:space="0" w:color="auto"/>
        <w:bottom w:val="none" w:sz="0" w:space="0" w:color="auto"/>
        <w:right w:val="none" w:sz="0" w:space="0" w:color="auto"/>
      </w:divBdr>
    </w:div>
    <w:div w:id="365565971">
      <w:bodyDiv w:val="1"/>
      <w:marLeft w:val="0"/>
      <w:marRight w:val="0"/>
      <w:marTop w:val="0"/>
      <w:marBottom w:val="0"/>
      <w:divBdr>
        <w:top w:val="none" w:sz="0" w:space="0" w:color="auto"/>
        <w:left w:val="none" w:sz="0" w:space="0" w:color="auto"/>
        <w:bottom w:val="none" w:sz="0" w:space="0" w:color="auto"/>
        <w:right w:val="none" w:sz="0" w:space="0" w:color="auto"/>
      </w:divBdr>
    </w:div>
    <w:div w:id="366683879">
      <w:bodyDiv w:val="1"/>
      <w:marLeft w:val="0"/>
      <w:marRight w:val="0"/>
      <w:marTop w:val="0"/>
      <w:marBottom w:val="0"/>
      <w:divBdr>
        <w:top w:val="none" w:sz="0" w:space="0" w:color="auto"/>
        <w:left w:val="none" w:sz="0" w:space="0" w:color="auto"/>
        <w:bottom w:val="none" w:sz="0" w:space="0" w:color="auto"/>
        <w:right w:val="none" w:sz="0" w:space="0" w:color="auto"/>
      </w:divBdr>
    </w:div>
    <w:div w:id="377822266">
      <w:bodyDiv w:val="1"/>
      <w:marLeft w:val="0"/>
      <w:marRight w:val="0"/>
      <w:marTop w:val="0"/>
      <w:marBottom w:val="0"/>
      <w:divBdr>
        <w:top w:val="none" w:sz="0" w:space="0" w:color="auto"/>
        <w:left w:val="none" w:sz="0" w:space="0" w:color="auto"/>
        <w:bottom w:val="none" w:sz="0" w:space="0" w:color="auto"/>
        <w:right w:val="none" w:sz="0" w:space="0" w:color="auto"/>
      </w:divBdr>
    </w:div>
    <w:div w:id="378017434">
      <w:bodyDiv w:val="1"/>
      <w:marLeft w:val="0"/>
      <w:marRight w:val="0"/>
      <w:marTop w:val="0"/>
      <w:marBottom w:val="0"/>
      <w:divBdr>
        <w:top w:val="none" w:sz="0" w:space="0" w:color="auto"/>
        <w:left w:val="none" w:sz="0" w:space="0" w:color="auto"/>
        <w:bottom w:val="none" w:sz="0" w:space="0" w:color="auto"/>
        <w:right w:val="none" w:sz="0" w:space="0" w:color="auto"/>
      </w:divBdr>
    </w:div>
    <w:div w:id="383066253">
      <w:bodyDiv w:val="1"/>
      <w:marLeft w:val="0"/>
      <w:marRight w:val="0"/>
      <w:marTop w:val="0"/>
      <w:marBottom w:val="0"/>
      <w:divBdr>
        <w:top w:val="none" w:sz="0" w:space="0" w:color="auto"/>
        <w:left w:val="none" w:sz="0" w:space="0" w:color="auto"/>
        <w:bottom w:val="none" w:sz="0" w:space="0" w:color="auto"/>
        <w:right w:val="none" w:sz="0" w:space="0" w:color="auto"/>
      </w:divBdr>
    </w:div>
    <w:div w:id="383330453">
      <w:bodyDiv w:val="1"/>
      <w:marLeft w:val="0"/>
      <w:marRight w:val="0"/>
      <w:marTop w:val="0"/>
      <w:marBottom w:val="0"/>
      <w:divBdr>
        <w:top w:val="none" w:sz="0" w:space="0" w:color="auto"/>
        <w:left w:val="none" w:sz="0" w:space="0" w:color="auto"/>
        <w:bottom w:val="none" w:sz="0" w:space="0" w:color="auto"/>
        <w:right w:val="none" w:sz="0" w:space="0" w:color="auto"/>
      </w:divBdr>
    </w:div>
    <w:div w:id="389808511">
      <w:bodyDiv w:val="1"/>
      <w:marLeft w:val="0"/>
      <w:marRight w:val="0"/>
      <w:marTop w:val="0"/>
      <w:marBottom w:val="0"/>
      <w:divBdr>
        <w:top w:val="none" w:sz="0" w:space="0" w:color="auto"/>
        <w:left w:val="none" w:sz="0" w:space="0" w:color="auto"/>
        <w:bottom w:val="none" w:sz="0" w:space="0" w:color="auto"/>
        <w:right w:val="none" w:sz="0" w:space="0" w:color="auto"/>
      </w:divBdr>
    </w:div>
    <w:div w:id="391932639">
      <w:bodyDiv w:val="1"/>
      <w:marLeft w:val="0"/>
      <w:marRight w:val="0"/>
      <w:marTop w:val="0"/>
      <w:marBottom w:val="0"/>
      <w:divBdr>
        <w:top w:val="none" w:sz="0" w:space="0" w:color="auto"/>
        <w:left w:val="none" w:sz="0" w:space="0" w:color="auto"/>
        <w:bottom w:val="none" w:sz="0" w:space="0" w:color="auto"/>
        <w:right w:val="none" w:sz="0" w:space="0" w:color="auto"/>
      </w:divBdr>
    </w:div>
    <w:div w:id="392243197">
      <w:bodyDiv w:val="1"/>
      <w:marLeft w:val="0"/>
      <w:marRight w:val="0"/>
      <w:marTop w:val="0"/>
      <w:marBottom w:val="0"/>
      <w:divBdr>
        <w:top w:val="none" w:sz="0" w:space="0" w:color="auto"/>
        <w:left w:val="none" w:sz="0" w:space="0" w:color="auto"/>
        <w:bottom w:val="none" w:sz="0" w:space="0" w:color="auto"/>
        <w:right w:val="none" w:sz="0" w:space="0" w:color="auto"/>
      </w:divBdr>
    </w:div>
    <w:div w:id="395205390">
      <w:bodyDiv w:val="1"/>
      <w:marLeft w:val="0"/>
      <w:marRight w:val="0"/>
      <w:marTop w:val="0"/>
      <w:marBottom w:val="0"/>
      <w:divBdr>
        <w:top w:val="none" w:sz="0" w:space="0" w:color="auto"/>
        <w:left w:val="none" w:sz="0" w:space="0" w:color="auto"/>
        <w:bottom w:val="none" w:sz="0" w:space="0" w:color="auto"/>
        <w:right w:val="none" w:sz="0" w:space="0" w:color="auto"/>
      </w:divBdr>
    </w:div>
    <w:div w:id="402719230">
      <w:bodyDiv w:val="1"/>
      <w:marLeft w:val="0"/>
      <w:marRight w:val="0"/>
      <w:marTop w:val="0"/>
      <w:marBottom w:val="0"/>
      <w:divBdr>
        <w:top w:val="none" w:sz="0" w:space="0" w:color="auto"/>
        <w:left w:val="none" w:sz="0" w:space="0" w:color="auto"/>
        <w:bottom w:val="none" w:sz="0" w:space="0" w:color="auto"/>
        <w:right w:val="none" w:sz="0" w:space="0" w:color="auto"/>
      </w:divBdr>
    </w:div>
    <w:div w:id="402921814">
      <w:bodyDiv w:val="1"/>
      <w:marLeft w:val="0"/>
      <w:marRight w:val="0"/>
      <w:marTop w:val="0"/>
      <w:marBottom w:val="0"/>
      <w:divBdr>
        <w:top w:val="none" w:sz="0" w:space="0" w:color="auto"/>
        <w:left w:val="none" w:sz="0" w:space="0" w:color="auto"/>
        <w:bottom w:val="none" w:sz="0" w:space="0" w:color="auto"/>
        <w:right w:val="none" w:sz="0" w:space="0" w:color="auto"/>
      </w:divBdr>
    </w:div>
    <w:div w:id="403449559">
      <w:bodyDiv w:val="1"/>
      <w:marLeft w:val="0"/>
      <w:marRight w:val="0"/>
      <w:marTop w:val="0"/>
      <w:marBottom w:val="0"/>
      <w:divBdr>
        <w:top w:val="none" w:sz="0" w:space="0" w:color="auto"/>
        <w:left w:val="none" w:sz="0" w:space="0" w:color="auto"/>
        <w:bottom w:val="none" w:sz="0" w:space="0" w:color="auto"/>
        <w:right w:val="none" w:sz="0" w:space="0" w:color="auto"/>
      </w:divBdr>
    </w:div>
    <w:div w:id="412169487">
      <w:bodyDiv w:val="1"/>
      <w:marLeft w:val="0"/>
      <w:marRight w:val="0"/>
      <w:marTop w:val="0"/>
      <w:marBottom w:val="0"/>
      <w:divBdr>
        <w:top w:val="none" w:sz="0" w:space="0" w:color="auto"/>
        <w:left w:val="none" w:sz="0" w:space="0" w:color="auto"/>
        <w:bottom w:val="none" w:sz="0" w:space="0" w:color="auto"/>
        <w:right w:val="none" w:sz="0" w:space="0" w:color="auto"/>
      </w:divBdr>
    </w:div>
    <w:div w:id="414134995">
      <w:bodyDiv w:val="1"/>
      <w:marLeft w:val="0"/>
      <w:marRight w:val="0"/>
      <w:marTop w:val="0"/>
      <w:marBottom w:val="0"/>
      <w:divBdr>
        <w:top w:val="none" w:sz="0" w:space="0" w:color="auto"/>
        <w:left w:val="none" w:sz="0" w:space="0" w:color="auto"/>
        <w:bottom w:val="none" w:sz="0" w:space="0" w:color="auto"/>
        <w:right w:val="none" w:sz="0" w:space="0" w:color="auto"/>
      </w:divBdr>
    </w:div>
    <w:div w:id="415322295">
      <w:bodyDiv w:val="1"/>
      <w:marLeft w:val="0"/>
      <w:marRight w:val="0"/>
      <w:marTop w:val="0"/>
      <w:marBottom w:val="0"/>
      <w:divBdr>
        <w:top w:val="none" w:sz="0" w:space="0" w:color="auto"/>
        <w:left w:val="none" w:sz="0" w:space="0" w:color="auto"/>
        <w:bottom w:val="none" w:sz="0" w:space="0" w:color="auto"/>
        <w:right w:val="none" w:sz="0" w:space="0" w:color="auto"/>
      </w:divBdr>
    </w:div>
    <w:div w:id="417680162">
      <w:bodyDiv w:val="1"/>
      <w:marLeft w:val="0"/>
      <w:marRight w:val="0"/>
      <w:marTop w:val="0"/>
      <w:marBottom w:val="0"/>
      <w:divBdr>
        <w:top w:val="none" w:sz="0" w:space="0" w:color="auto"/>
        <w:left w:val="none" w:sz="0" w:space="0" w:color="auto"/>
        <w:bottom w:val="none" w:sz="0" w:space="0" w:color="auto"/>
        <w:right w:val="none" w:sz="0" w:space="0" w:color="auto"/>
      </w:divBdr>
    </w:div>
    <w:div w:id="417752999">
      <w:bodyDiv w:val="1"/>
      <w:marLeft w:val="0"/>
      <w:marRight w:val="0"/>
      <w:marTop w:val="0"/>
      <w:marBottom w:val="0"/>
      <w:divBdr>
        <w:top w:val="none" w:sz="0" w:space="0" w:color="auto"/>
        <w:left w:val="none" w:sz="0" w:space="0" w:color="auto"/>
        <w:bottom w:val="none" w:sz="0" w:space="0" w:color="auto"/>
        <w:right w:val="none" w:sz="0" w:space="0" w:color="auto"/>
      </w:divBdr>
    </w:div>
    <w:div w:id="421031946">
      <w:bodyDiv w:val="1"/>
      <w:marLeft w:val="0"/>
      <w:marRight w:val="0"/>
      <w:marTop w:val="0"/>
      <w:marBottom w:val="0"/>
      <w:divBdr>
        <w:top w:val="none" w:sz="0" w:space="0" w:color="auto"/>
        <w:left w:val="none" w:sz="0" w:space="0" w:color="auto"/>
        <w:bottom w:val="none" w:sz="0" w:space="0" w:color="auto"/>
        <w:right w:val="none" w:sz="0" w:space="0" w:color="auto"/>
      </w:divBdr>
    </w:div>
    <w:div w:id="423183649">
      <w:bodyDiv w:val="1"/>
      <w:marLeft w:val="0"/>
      <w:marRight w:val="0"/>
      <w:marTop w:val="0"/>
      <w:marBottom w:val="0"/>
      <w:divBdr>
        <w:top w:val="none" w:sz="0" w:space="0" w:color="auto"/>
        <w:left w:val="none" w:sz="0" w:space="0" w:color="auto"/>
        <w:bottom w:val="none" w:sz="0" w:space="0" w:color="auto"/>
        <w:right w:val="none" w:sz="0" w:space="0" w:color="auto"/>
      </w:divBdr>
    </w:div>
    <w:div w:id="434253953">
      <w:bodyDiv w:val="1"/>
      <w:marLeft w:val="0"/>
      <w:marRight w:val="0"/>
      <w:marTop w:val="0"/>
      <w:marBottom w:val="0"/>
      <w:divBdr>
        <w:top w:val="none" w:sz="0" w:space="0" w:color="auto"/>
        <w:left w:val="none" w:sz="0" w:space="0" w:color="auto"/>
        <w:bottom w:val="none" w:sz="0" w:space="0" w:color="auto"/>
        <w:right w:val="none" w:sz="0" w:space="0" w:color="auto"/>
      </w:divBdr>
    </w:div>
    <w:div w:id="436221257">
      <w:bodyDiv w:val="1"/>
      <w:marLeft w:val="0"/>
      <w:marRight w:val="0"/>
      <w:marTop w:val="0"/>
      <w:marBottom w:val="0"/>
      <w:divBdr>
        <w:top w:val="none" w:sz="0" w:space="0" w:color="auto"/>
        <w:left w:val="none" w:sz="0" w:space="0" w:color="auto"/>
        <w:bottom w:val="none" w:sz="0" w:space="0" w:color="auto"/>
        <w:right w:val="none" w:sz="0" w:space="0" w:color="auto"/>
      </w:divBdr>
    </w:div>
    <w:div w:id="437414970">
      <w:bodyDiv w:val="1"/>
      <w:marLeft w:val="0"/>
      <w:marRight w:val="0"/>
      <w:marTop w:val="0"/>
      <w:marBottom w:val="0"/>
      <w:divBdr>
        <w:top w:val="none" w:sz="0" w:space="0" w:color="auto"/>
        <w:left w:val="none" w:sz="0" w:space="0" w:color="auto"/>
        <w:bottom w:val="none" w:sz="0" w:space="0" w:color="auto"/>
        <w:right w:val="none" w:sz="0" w:space="0" w:color="auto"/>
      </w:divBdr>
    </w:div>
    <w:div w:id="440804352">
      <w:bodyDiv w:val="1"/>
      <w:marLeft w:val="0"/>
      <w:marRight w:val="0"/>
      <w:marTop w:val="0"/>
      <w:marBottom w:val="0"/>
      <w:divBdr>
        <w:top w:val="none" w:sz="0" w:space="0" w:color="auto"/>
        <w:left w:val="none" w:sz="0" w:space="0" w:color="auto"/>
        <w:bottom w:val="none" w:sz="0" w:space="0" w:color="auto"/>
        <w:right w:val="none" w:sz="0" w:space="0" w:color="auto"/>
      </w:divBdr>
    </w:div>
    <w:div w:id="446313660">
      <w:bodyDiv w:val="1"/>
      <w:marLeft w:val="0"/>
      <w:marRight w:val="0"/>
      <w:marTop w:val="0"/>
      <w:marBottom w:val="0"/>
      <w:divBdr>
        <w:top w:val="none" w:sz="0" w:space="0" w:color="auto"/>
        <w:left w:val="none" w:sz="0" w:space="0" w:color="auto"/>
        <w:bottom w:val="none" w:sz="0" w:space="0" w:color="auto"/>
        <w:right w:val="none" w:sz="0" w:space="0" w:color="auto"/>
      </w:divBdr>
    </w:div>
    <w:div w:id="446318250">
      <w:bodyDiv w:val="1"/>
      <w:marLeft w:val="0"/>
      <w:marRight w:val="0"/>
      <w:marTop w:val="0"/>
      <w:marBottom w:val="0"/>
      <w:divBdr>
        <w:top w:val="none" w:sz="0" w:space="0" w:color="auto"/>
        <w:left w:val="none" w:sz="0" w:space="0" w:color="auto"/>
        <w:bottom w:val="none" w:sz="0" w:space="0" w:color="auto"/>
        <w:right w:val="none" w:sz="0" w:space="0" w:color="auto"/>
      </w:divBdr>
    </w:div>
    <w:div w:id="446700670">
      <w:bodyDiv w:val="1"/>
      <w:marLeft w:val="0"/>
      <w:marRight w:val="0"/>
      <w:marTop w:val="0"/>
      <w:marBottom w:val="0"/>
      <w:divBdr>
        <w:top w:val="none" w:sz="0" w:space="0" w:color="auto"/>
        <w:left w:val="none" w:sz="0" w:space="0" w:color="auto"/>
        <w:bottom w:val="none" w:sz="0" w:space="0" w:color="auto"/>
        <w:right w:val="none" w:sz="0" w:space="0" w:color="auto"/>
      </w:divBdr>
    </w:div>
    <w:div w:id="447891853">
      <w:bodyDiv w:val="1"/>
      <w:marLeft w:val="0"/>
      <w:marRight w:val="0"/>
      <w:marTop w:val="0"/>
      <w:marBottom w:val="0"/>
      <w:divBdr>
        <w:top w:val="none" w:sz="0" w:space="0" w:color="auto"/>
        <w:left w:val="none" w:sz="0" w:space="0" w:color="auto"/>
        <w:bottom w:val="none" w:sz="0" w:space="0" w:color="auto"/>
        <w:right w:val="none" w:sz="0" w:space="0" w:color="auto"/>
      </w:divBdr>
    </w:div>
    <w:div w:id="448285783">
      <w:bodyDiv w:val="1"/>
      <w:marLeft w:val="0"/>
      <w:marRight w:val="0"/>
      <w:marTop w:val="0"/>
      <w:marBottom w:val="0"/>
      <w:divBdr>
        <w:top w:val="none" w:sz="0" w:space="0" w:color="auto"/>
        <w:left w:val="none" w:sz="0" w:space="0" w:color="auto"/>
        <w:bottom w:val="none" w:sz="0" w:space="0" w:color="auto"/>
        <w:right w:val="none" w:sz="0" w:space="0" w:color="auto"/>
      </w:divBdr>
    </w:div>
    <w:div w:id="448428476">
      <w:bodyDiv w:val="1"/>
      <w:marLeft w:val="0"/>
      <w:marRight w:val="0"/>
      <w:marTop w:val="0"/>
      <w:marBottom w:val="0"/>
      <w:divBdr>
        <w:top w:val="none" w:sz="0" w:space="0" w:color="auto"/>
        <w:left w:val="none" w:sz="0" w:space="0" w:color="auto"/>
        <w:bottom w:val="none" w:sz="0" w:space="0" w:color="auto"/>
        <w:right w:val="none" w:sz="0" w:space="0" w:color="auto"/>
      </w:divBdr>
    </w:div>
    <w:div w:id="452481060">
      <w:bodyDiv w:val="1"/>
      <w:marLeft w:val="0"/>
      <w:marRight w:val="0"/>
      <w:marTop w:val="0"/>
      <w:marBottom w:val="0"/>
      <w:divBdr>
        <w:top w:val="none" w:sz="0" w:space="0" w:color="auto"/>
        <w:left w:val="none" w:sz="0" w:space="0" w:color="auto"/>
        <w:bottom w:val="none" w:sz="0" w:space="0" w:color="auto"/>
        <w:right w:val="none" w:sz="0" w:space="0" w:color="auto"/>
      </w:divBdr>
    </w:div>
    <w:div w:id="452865130">
      <w:bodyDiv w:val="1"/>
      <w:marLeft w:val="0"/>
      <w:marRight w:val="0"/>
      <w:marTop w:val="0"/>
      <w:marBottom w:val="0"/>
      <w:divBdr>
        <w:top w:val="none" w:sz="0" w:space="0" w:color="auto"/>
        <w:left w:val="none" w:sz="0" w:space="0" w:color="auto"/>
        <w:bottom w:val="none" w:sz="0" w:space="0" w:color="auto"/>
        <w:right w:val="none" w:sz="0" w:space="0" w:color="auto"/>
      </w:divBdr>
    </w:div>
    <w:div w:id="455442243">
      <w:bodyDiv w:val="1"/>
      <w:marLeft w:val="0"/>
      <w:marRight w:val="0"/>
      <w:marTop w:val="0"/>
      <w:marBottom w:val="0"/>
      <w:divBdr>
        <w:top w:val="none" w:sz="0" w:space="0" w:color="auto"/>
        <w:left w:val="none" w:sz="0" w:space="0" w:color="auto"/>
        <w:bottom w:val="none" w:sz="0" w:space="0" w:color="auto"/>
        <w:right w:val="none" w:sz="0" w:space="0" w:color="auto"/>
      </w:divBdr>
    </w:div>
    <w:div w:id="461461286">
      <w:bodyDiv w:val="1"/>
      <w:marLeft w:val="0"/>
      <w:marRight w:val="0"/>
      <w:marTop w:val="0"/>
      <w:marBottom w:val="0"/>
      <w:divBdr>
        <w:top w:val="none" w:sz="0" w:space="0" w:color="auto"/>
        <w:left w:val="none" w:sz="0" w:space="0" w:color="auto"/>
        <w:bottom w:val="none" w:sz="0" w:space="0" w:color="auto"/>
        <w:right w:val="none" w:sz="0" w:space="0" w:color="auto"/>
      </w:divBdr>
    </w:div>
    <w:div w:id="471599107">
      <w:bodyDiv w:val="1"/>
      <w:marLeft w:val="0"/>
      <w:marRight w:val="0"/>
      <w:marTop w:val="0"/>
      <w:marBottom w:val="0"/>
      <w:divBdr>
        <w:top w:val="none" w:sz="0" w:space="0" w:color="auto"/>
        <w:left w:val="none" w:sz="0" w:space="0" w:color="auto"/>
        <w:bottom w:val="none" w:sz="0" w:space="0" w:color="auto"/>
        <w:right w:val="none" w:sz="0" w:space="0" w:color="auto"/>
      </w:divBdr>
    </w:div>
    <w:div w:id="479267833">
      <w:bodyDiv w:val="1"/>
      <w:marLeft w:val="0"/>
      <w:marRight w:val="0"/>
      <w:marTop w:val="0"/>
      <w:marBottom w:val="0"/>
      <w:divBdr>
        <w:top w:val="none" w:sz="0" w:space="0" w:color="auto"/>
        <w:left w:val="none" w:sz="0" w:space="0" w:color="auto"/>
        <w:bottom w:val="none" w:sz="0" w:space="0" w:color="auto"/>
        <w:right w:val="none" w:sz="0" w:space="0" w:color="auto"/>
      </w:divBdr>
    </w:div>
    <w:div w:id="482281967">
      <w:bodyDiv w:val="1"/>
      <w:marLeft w:val="0"/>
      <w:marRight w:val="0"/>
      <w:marTop w:val="0"/>
      <w:marBottom w:val="0"/>
      <w:divBdr>
        <w:top w:val="none" w:sz="0" w:space="0" w:color="auto"/>
        <w:left w:val="none" w:sz="0" w:space="0" w:color="auto"/>
        <w:bottom w:val="none" w:sz="0" w:space="0" w:color="auto"/>
        <w:right w:val="none" w:sz="0" w:space="0" w:color="auto"/>
      </w:divBdr>
    </w:div>
    <w:div w:id="482696584">
      <w:bodyDiv w:val="1"/>
      <w:marLeft w:val="0"/>
      <w:marRight w:val="0"/>
      <w:marTop w:val="0"/>
      <w:marBottom w:val="0"/>
      <w:divBdr>
        <w:top w:val="none" w:sz="0" w:space="0" w:color="auto"/>
        <w:left w:val="none" w:sz="0" w:space="0" w:color="auto"/>
        <w:bottom w:val="none" w:sz="0" w:space="0" w:color="auto"/>
        <w:right w:val="none" w:sz="0" w:space="0" w:color="auto"/>
      </w:divBdr>
    </w:div>
    <w:div w:id="485168012">
      <w:bodyDiv w:val="1"/>
      <w:marLeft w:val="0"/>
      <w:marRight w:val="0"/>
      <w:marTop w:val="0"/>
      <w:marBottom w:val="0"/>
      <w:divBdr>
        <w:top w:val="none" w:sz="0" w:space="0" w:color="auto"/>
        <w:left w:val="none" w:sz="0" w:space="0" w:color="auto"/>
        <w:bottom w:val="none" w:sz="0" w:space="0" w:color="auto"/>
        <w:right w:val="none" w:sz="0" w:space="0" w:color="auto"/>
      </w:divBdr>
    </w:div>
    <w:div w:id="486480935">
      <w:bodyDiv w:val="1"/>
      <w:marLeft w:val="0"/>
      <w:marRight w:val="0"/>
      <w:marTop w:val="0"/>
      <w:marBottom w:val="0"/>
      <w:divBdr>
        <w:top w:val="none" w:sz="0" w:space="0" w:color="auto"/>
        <w:left w:val="none" w:sz="0" w:space="0" w:color="auto"/>
        <w:bottom w:val="none" w:sz="0" w:space="0" w:color="auto"/>
        <w:right w:val="none" w:sz="0" w:space="0" w:color="auto"/>
      </w:divBdr>
    </w:div>
    <w:div w:id="486670741">
      <w:bodyDiv w:val="1"/>
      <w:marLeft w:val="0"/>
      <w:marRight w:val="0"/>
      <w:marTop w:val="0"/>
      <w:marBottom w:val="0"/>
      <w:divBdr>
        <w:top w:val="none" w:sz="0" w:space="0" w:color="auto"/>
        <w:left w:val="none" w:sz="0" w:space="0" w:color="auto"/>
        <w:bottom w:val="none" w:sz="0" w:space="0" w:color="auto"/>
        <w:right w:val="none" w:sz="0" w:space="0" w:color="auto"/>
      </w:divBdr>
    </w:div>
    <w:div w:id="490366048">
      <w:bodyDiv w:val="1"/>
      <w:marLeft w:val="0"/>
      <w:marRight w:val="0"/>
      <w:marTop w:val="0"/>
      <w:marBottom w:val="0"/>
      <w:divBdr>
        <w:top w:val="none" w:sz="0" w:space="0" w:color="auto"/>
        <w:left w:val="none" w:sz="0" w:space="0" w:color="auto"/>
        <w:bottom w:val="none" w:sz="0" w:space="0" w:color="auto"/>
        <w:right w:val="none" w:sz="0" w:space="0" w:color="auto"/>
      </w:divBdr>
    </w:div>
    <w:div w:id="491531033">
      <w:bodyDiv w:val="1"/>
      <w:marLeft w:val="0"/>
      <w:marRight w:val="0"/>
      <w:marTop w:val="0"/>
      <w:marBottom w:val="0"/>
      <w:divBdr>
        <w:top w:val="none" w:sz="0" w:space="0" w:color="auto"/>
        <w:left w:val="none" w:sz="0" w:space="0" w:color="auto"/>
        <w:bottom w:val="none" w:sz="0" w:space="0" w:color="auto"/>
        <w:right w:val="none" w:sz="0" w:space="0" w:color="auto"/>
      </w:divBdr>
    </w:div>
    <w:div w:id="499737227">
      <w:bodyDiv w:val="1"/>
      <w:marLeft w:val="0"/>
      <w:marRight w:val="0"/>
      <w:marTop w:val="0"/>
      <w:marBottom w:val="0"/>
      <w:divBdr>
        <w:top w:val="none" w:sz="0" w:space="0" w:color="auto"/>
        <w:left w:val="none" w:sz="0" w:space="0" w:color="auto"/>
        <w:bottom w:val="none" w:sz="0" w:space="0" w:color="auto"/>
        <w:right w:val="none" w:sz="0" w:space="0" w:color="auto"/>
      </w:divBdr>
    </w:div>
    <w:div w:id="503593463">
      <w:bodyDiv w:val="1"/>
      <w:marLeft w:val="0"/>
      <w:marRight w:val="0"/>
      <w:marTop w:val="0"/>
      <w:marBottom w:val="0"/>
      <w:divBdr>
        <w:top w:val="none" w:sz="0" w:space="0" w:color="auto"/>
        <w:left w:val="none" w:sz="0" w:space="0" w:color="auto"/>
        <w:bottom w:val="none" w:sz="0" w:space="0" w:color="auto"/>
        <w:right w:val="none" w:sz="0" w:space="0" w:color="auto"/>
      </w:divBdr>
    </w:div>
    <w:div w:id="505948890">
      <w:bodyDiv w:val="1"/>
      <w:marLeft w:val="0"/>
      <w:marRight w:val="0"/>
      <w:marTop w:val="0"/>
      <w:marBottom w:val="0"/>
      <w:divBdr>
        <w:top w:val="none" w:sz="0" w:space="0" w:color="auto"/>
        <w:left w:val="none" w:sz="0" w:space="0" w:color="auto"/>
        <w:bottom w:val="none" w:sz="0" w:space="0" w:color="auto"/>
        <w:right w:val="none" w:sz="0" w:space="0" w:color="auto"/>
      </w:divBdr>
    </w:div>
    <w:div w:id="507914396">
      <w:bodyDiv w:val="1"/>
      <w:marLeft w:val="0"/>
      <w:marRight w:val="0"/>
      <w:marTop w:val="0"/>
      <w:marBottom w:val="0"/>
      <w:divBdr>
        <w:top w:val="none" w:sz="0" w:space="0" w:color="auto"/>
        <w:left w:val="none" w:sz="0" w:space="0" w:color="auto"/>
        <w:bottom w:val="none" w:sz="0" w:space="0" w:color="auto"/>
        <w:right w:val="none" w:sz="0" w:space="0" w:color="auto"/>
      </w:divBdr>
    </w:div>
    <w:div w:id="508057629">
      <w:bodyDiv w:val="1"/>
      <w:marLeft w:val="0"/>
      <w:marRight w:val="0"/>
      <w:marTop w:val="0"/>
      <w:marBottom w:val="0"/>
      <w:divBdr>
        <w:top w:val="none" w:sz="0" w:space="0" w:color="auto"/>
        <w:left w:val="none" w:sz="0" w:space="0" w:color="auto"/>
        <w:bottom w:val="none" w:sz="0" w:space="0" w:color="auto"/>
        <w:right w:val="none" w:sz="0" w:space="0" w:color="auto"/>
      </w:divBdr>
    </w:div>
    <w:div w:id="513343736">
      <w:bodyDiv w:val="1"/>
      <w:marLeft w:val="0"/>
      <w:marRight w:val="0"/>
      <w:marTop w:val="0"/>
      <w:marBottom w:val="0"/>
      <w:divBdr>
        <w:top w:val="none" w:sz="0" w:space="0" w:color="auto"/>
        <w:left w:val="none" w:sz="0" w:space="0" w:color="auto"/>
        <w:bottom w:val="none" w:sz="0" w:space="0" w:color="auto"/>
        <w:right w:val="none" w:sz="0" w:space="0" w:color="auto"/>
      </w:divBdr>
    </w:div>
    <w:div w:id="517277892">
      <w:bodyDiv w:val="1"/>
      <w:marLeft w:val="0"/>
      <w:marRight w:val="0"/>
      <w:marTop w:val="0"/>
      <w:marBottom w:val="0"/>
      <w:divBdr>
        <w:top w:val="none" w:sz="0" w:space="0" w:color="auto"/>
        <w:left w:val="none" w:sz="0" w:space="0" w:color="auto"/>
        <w:bottom w:val="none" w:sz="0" w:space="0" w:color="auto"/>
        <w:right w:val="none" w:sz="0" w:space="0" w:color="auto"/>
      </w:divBdr>
    </w:div>
    <w:div w:id="522789392">
      <w:bodyDiv w:val="1"/>
      <w:marLeft w:val="0"/>
      <w:marRight w:val="0"/>
      <w:marTop w:val="0"/>
      <w:marBottom w:val="0"/>
      <w:divBdr>
        <w:top w:val="none" w:sz="0" w:space="0" w:color="auto"/>
        <w:left w:val="none" w:sz="0" w:space="0" w:color="auto"/>
        <w:bottom w:val="none" w:sz="0" w:space="0" w:color="auto"/>
        <w:right w:val="none" w:sz="0" w:space="0" w:color="auto"/>
      </w:divBdr>
    </w:div>
    <w:div w:id="523980592">
      <w:bodyDiv w:val="1"/>
      <w:marLeft w:val="0"/>
      <w:marRight w:val="0"/>
      <w:marTop w:val="0"/>
      <w:marBottom w:val="0"/>
      <w:divBdr>
        <w:top w:val="none" w:sz="0" w:space="0" w:color="auto"/>
        <w:left w:val="none" w:sz="0" w:space="0" w:color="auto"/>
        <w:bottom w:val="none" w:sz="0" w:space="0" w:color="auto"/>
        <w:right w:val="none" w:sz="0" w:space="0" w:color="auto"/>
      </w:divBdr>
    </w:div>
    <w:div w:id="524563698">
      <w:bodyDiv w:val="1"/>
      <w:marLeft w:val="0"/>
      <w:marRight w:val="0"/>
      <w:marTop w:val="0"/>
      <w:marBottom w:val="0"/>
      <w:divBdr>
        <w:top w:val="none" w:sz="0" w:space="0" w:color="auto"/>
        <w:left w:val="none" w:sz="0" w:space="0" w:color="auto"/>
        <w:bottom w:val="none" w:sz="0" w:space="0" w:color="auto"/>
        <w:right w:val="none" w:sz="0" w:space="0" w:color="auto"/>
      </w:divBdr>
    </w:div>
    <w:div w:id="533352007">
      <w:bodyDiv w:val="1"/>
      <w:marLeft w:val="0"/>
      <w:marRight w:val="0"/>
      <w:marTop w:val="0"/>
      <w:marBottom w:val="0"/>
      <w:divBdr>
        <w:top w:val="none" w:sz="0" w:space="0" w:color="auto"/>
        <w:left w:val="none" w:sz="0" w:space="0" w:color="auto"/>
        <w:bottom w:val="none" w:sz="0" w:space="0" w:color="auto"/>
        <w:right w:val="none" w:sz="0" w:space="0" w:color="auto"/>
      </w:divBdr>
    </w:div>
    <w:div w:id="534000430">
      <w:bodyDiv w:val="1"/>
      <w:marLeft w:val="0"/>
      <w:marRight w:val="0"/>
      <w:marTop w:val="0"/>
      <w:marBottom w:val="0"/>
      <w:divBdr>
        <w:top w:val="none" w:sz="0" w:space="0" w:color="auto"/>
        <w:left w:val="none" w:sz="0" w:space="0" w:color="auto"/>
        <w:bottom w:val="none" w:sz="0" w:space="0" w:color="auto"/>
        <w:right w:val="none" w:sz="0" w:space="0" w:color="auto"/>
      </w:divBdr>
    </w:div>
    <w:div w:id="535391200">
      <w:bodyDiv w:val="1"/>
      <w:marLeft w:val="0"/>
      <w:marRight w:val="0"/>
      <w:marTop w:val="0"/>
      <w:marBottom w:val="0"/>
      <w:divBdr>
        <w:top w:val="none" w:sz="0" w:space="0" w:color="auto"/>
        <w:left w:val="none" w:sz="0" w:space="0" w:color="auto"/>
        <w:bottom w:val="none" w:sz="0" w:space="0" w:color="auto"/>
        <w:right w:val="none" w:sz="0" w:space="0" w:color="auto"/>
      </w:divBdr>
    </w:div>
    <w:div w:id="543254453">
      <w:bodyDiv w:val="1"/>
      <w:marLeft w:val="0"/>
      <w:marRight w:val="0"/>
      <w:marTop w:val="0"/>
      <w:marBottom w:val="0"/>
      <w:divBdr>
        <w:top w:val="none" w:sz="0" w:space="0" w:color="auto"/>
        <w:left w:val="none" w:sz="0" w:space="0" w:color="auto"/>
        <w:bottom w:val="none" w:sz="0" w:space="0" w:color="auto"/>
        <w:right w:val="none" w:sz="0" w:space="0" w:color="auto"/>
      </w:divBdr>
    </w:div>
    <w:div w:id="546185719">
      <w:bodyDiv w:val="1"/>
      <w:marLeft w:val="0"/>
      <w:marRight w:val="0"/>
      <w:marTop w:val="0"/>
      <w:marBottom w:val="0"/>
      <w:divBdr>
        <w:top w:val="none" w:sz="0" w:space="0" w:color="auto"/>
        <w:left w:val="none" w:sz="0" w:space="0" w:color="auto"/>
        <w:bottom w:val="none" w:sz="0" w:space="0" w:color="auto"/>
        <w:right w:val="none" w:sz="0" w:space="0" w:color="auto"/>
      </w:divBdr>
    </w:div>
    <w:div w:id="547448519">
      <w:bodyDiv w:val="1"/>
      <w:marLeft w:val="0"/>
      <w:marRight w:val="0"/>
      <w:marTop w:val="0"/>
      <w:marBottom w:val="0"/>
      <w:divBdr>
        <w:top w:val="none" w:sz="0" w:space="0" w:color="auto"/>
        <w:left w:val="none" w:sz="0" w:space="0" w:color="auto"/>
        <w:bottom w:val="none" w:sz="0" w:space="0" w:color="auto"/>
        <w:right w:val="none" w:sz="0" w:space="0" w:color="auto"/>
      </w:divBdr>
    </w:div>
    <w:div w:id="549849755">
      <w:bodyDiv w:val="1"/>
      <w:marLeft w:val="0"/>
      <w:marRight w:val="0"/>
      <w:marTop w:val="0"/>
      <w:marBottom w:val="0"/>
      <w:divBdr>
        <w:top w:val="none" w:sz="0" w:space="0" w:color="auto"/>
        <w:left w:val="none" w:sz="0" w:space="0" w:color="auto"/>
        <w:bottom w:val="none" w:sz="0" w:space="0" w:color="auto"/>
        <w:right w:val="none" w:sz="0" w:space="0" w:color="auto"/>
      </w:divBdr>
    </w:div>
    <w:div w:id="549926154">
      <w:bodyDiv w:val="1"/>
      <w:marLeft w:val="0"/>
      <w:marRight w:val="0"/>
      <w:marTop w:val="0"/>
      <w:marBottom w:val="0"/>
      <w:divBdr>
        <w:top w:val="none" w:sz="0" w:space="0" w:color="auto"/>
        <w:left w:val="none" w:sz="0" w:space="0" w:color="auto"/>
        <w:bottom w:val="none" w:sz="0" w:space="0" w:color="auto"/>
        <w:right w:val="none" w:sz="0" w:space="0" w:color="auto"/>
      </w:divBdr>
    </w:div>
    <w:div w:id="551304530">
      <w:bodyDiv w:val="1"/>
      <w:marLeft w:val="0"/>
      <w:marRight w:val="0"/>
      <w:marTop w:val="0"/>
      <w:marBottom w:val="0"/>
      <w:divBdr>
        <w:top w:val="none" w:sz="0" w:space="0" w:color="auto"/>
        <w:left w:val="none" w:sz="0" w:space="0" w:color="auto"/>
        <w:bottom w:val="none" w:sz="0" w:space="0" w:color="auto"/>
        <w:right w:val="none" w:sz="0" w:space="0" w:color="auto"/>
      </w:divBdr>
    </w:div>
    <w:div w:id="551769187">
      <w:bodyDiv w:val="1"/>
      <w:marLeft w:val="0"/>
      <w:marRight w:val="0"/>
      <w:marTop w:val="0"/>
      <w:marBottom w:val="0"/>
      <w:divBdr>
        <w:top w:val="none" w:sz="0" w:space="0" w:color="auto"/>
        <w:left w:val="none" w:sz="0" w:space="0" w:color="auto"/>
        <w:bottom w:val="none" w:sz="0" w:space="0" w:color="auto"/>
        <w:right w:val="none" w:sz="0" w:space="0" w:color="auto"/>
      </w:divBdr>
    </w:div>
    <w:div w:id="561216614">
      <w:bodyDiv w:val="1"/>
      <w:marLeft w:val="0"/>
      <w:marRight w:val="0"/>
      <w:marTop w:val="0"/>
      <w:marBottom w:val="0"/>
      <w:divBdr>
        <w:top w:val="none" w:sz="0" w:space="0" w:color="auto"/>
        <w:left w:val="none" w:sz="0" w:space="0" w:color="auto"/>
        <w:bottom w:val="none" w:sz="0" w:space="0" w:color="auto"/>
        <w:right w:val="none" w:sz="0" w:space="0" w:color="auto"/>
      </w:divBdr>
    </w:div>
    <w:div w:id="562565963">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64492280">
      <w:bodyDiv w:val="1"/>
      <w:marLeft w:val="0"/>
      <w:marRight w:val="0"/>
      <w:marTop w:val="0"/>
      <w:marBottom w:val="0"/>
      <w:divBdr>
        <w:top w:val="none" w:sz="0" w:space="0" w:color="auto"/>
        <w:left w:val="none" w:sz="0" w:space="0" w:color="auto"/>
        <w:bottom w:val="none" w:sz="0" w:space="0" w:color="auto"/>
        <w:right w:val="none" w:sz="0" w:space="0" w:color="auto"/>
      </w:divBdr>
    </w:div>
    <w:div w:id="568616275">
      <w:bodyDiv w:val="1"/>
      <w:marLeft w:val="0"/>
      <w:marRight w:val="0"/>
      <w:marTop w:val="0"/>
      <w:marBottom w:val="0"/>
      <w:divBdr>
        <w:top w:val="none" w:sz="0" w:space="0" w:color="auto"/>
        <w:left w:val="none" w:sz="0" w:space="0" w:color="auto"/>
        <w:bottom w:val="none" w:sz="0" w:space="0" w:color="auto"/>
        <w:right w:val="none" w:sz="0" w:space="0" w:color="auto"/>
      </w:divBdr>
    </w:div>
    <w:div w:id="572543552">
      <w:bodyDiv w:val="1"/>
      <w:marLeft w:val="0"/>
      <w:marRight w:val="0"/>
      <w:marTop w:val="0"/>
      <w:marBottom w:val="0"/>
      <w:divBdr>
        <w:top w:val="none" w:sz="0" w:space="0" w:color="auto"/>
        <w:left w:val="none" w:sz="0" w:space="0" w:color="auto"/>
        <w:bottom w:val="none" w:sz="0" w:space="0" w:color="auto"/>
        <w:right w:val="none" w:sz="0" w:space="0" w:color="auto"/>
      </w:divBdr>
    </w:div>
    <w:div w:id="574902922">
      <w:bodyDiv w:val="1"/>
      <w:marLeft w:val="0"/>
      <w:marRight w:val="0"/>
      <w:marTop w:val="0"/>
      <w:marBottom w:val="0"/>
      <w:divBdr>
        <w:top w:val="none" w:sz="0" w:space="0" w:color="auto"/>
        <w:left w:val="none" w:sz="0" w:space="0" w:color="auto"/>
        <w:bottom w:val="none" w:sz="0" w:space="0" w:color="auto"/>
        <w:right w:val="none" w:sz="0" w:space="0" w:color="auto"/>
      </w:divBdr>
    </w:div>
    <w:div w:id="575942953">
      <w:bodyDiv w:val="1"/>
      <w:marLeft w:val="0"/>
      <w:marRight w:val="0"/>
      <w:marTop w:val="0"/>
      <w:marBottom w:val="0"/>
      <w:divBdr>
        <w:top w:val="none" w:sz="0" w:space="0" w:color="auto"/>
        <w:left w:val="none" w:sz="0" w:space="0" w:color="auto"/>
        <w:bottom w:val="none" w:sz="0" w:space="0" w:color="auto"/>
        <w:right w:val="none" w:sz="0" w:space="0" w:color="auto"/>
      </w:divBdr>
    </w:div>
    <w:div w:id="578750435">
      <w:bodyDiv w:val="1"/>
      <w:marLeft w:val="0"/>
      <w:marRight w:val="0"/>
      <w:marTop w:val="0"/>
      <w:marBottom w:val="0"/>
      <w:divBdr>
        <w:top w:val="none" w:sz="0" w:space="0" w:color="auto"/>
        <w:left w:val="none" w:sz="0" w:space="0" w:color="auto"/>
        <w:bottom w:val="none" w:sz="0" w:space="0" w:color="auto"/>
        <w:right w:val="none" w:sz="0" w:space="0" w:color="auto"/>
      </w:divBdr>
    </w:div>
    <w:div w:id="580258539">
      <w:bodyDiv w:val="1"/>
      <w:marLeft w:val="0"/>
      <w:marRight w:val="0"/>
      <w:marTop w:val="0"/>
      <w:marBottom w:val="0"/>
      <w:divBdr>
        <w:top w:val="none" w:sz="0" w:space="0" w:color="auto"/>
        <w:left w:val="none" w:sz="0" w:space="0" w:color="auto"/>
        <w:bottom w:val="none" w:sz="0" w:space="0" w:color="auto"/>
        <w:right w:val="none" w:sz="0" w:space="0" w:color="auto"/>
      </w:divBdr>
    </w:div>
    <w:div w:id="598829005">
      <w:bodyDiv w:val="1"/>
      <w:marLeft w:val="0"/>
      <w:marRight w:val="0"/>
      <w:marTop w:val="0"/>
      <w:marBottom w:val="0"/>
      <w:divBdr>
        <w:top w:val="none" w:sz="0" w:space="0" w:color="auto"/>
        <w:left w:val="none" w:sz="0" w:space="0" w:color="auto"/>
        <w:bottom w:val="none" w:sz="0" w:space="0" w:color="auto"/>
        <w:right w:val="none" w:sz="0" w:space="0" w:color="auto"/>
      </w:divBdr>
    </w:div>
    <w:div w:id="598950158">
      <w:bodyDiv w:val="1"/>
      <w:marLeft w:val="0"/>
      <w:marRight w:val="0"/>
      <w:marTop w:val="0"/>
      <w:marBottom w:val="0"/>
      <w:divBdr>
        <w:top w:val="none" w:sz="0" w:space="0" w:color="auto"/>
        <w:left w:val="none" w:sz="0" w:space="0" w:color="auto"/>
        <w:bottom w:val="none" w:sz="0" w:space="0" w:color="auto"/>
        <w:right w:val="none" w:sz="0" w:space="0" w:color="auto"/>
      </w:divBdr>
    </w:div>
    <w:div w:id="599339246">
      <w:bodyDiv w:val="1"/>
      <w:marLeft w:val="0"/>
      <w:marRight w:val="0"/>
      <w:marTop w:val="0"/>
      <w:marBottom w:val="0"/>
      <w:divBdr>
        <w:top w:val="none" w:sz="0" w:space="0" w:color="auto"/>
        <w:left w:val="none" w:sz="0" w:space="0" w:color="auto"/>
        <w:bottom w:val="none" w:sz="0" w:space="0" w:color="auto"/>
        <w:right w:val="none" w:sz="0" w:space="0" w:color="auto"/>
      </w:divBdr>
    </w:div>
    <w:div w:id="601186307">
      <w:bodyDiv w:val="1"/>
      <w:marLeft w:val="0"/>
      <w:marRight w:val="0"/>
      <w:marTop w:val="0"/>
      <w:marBottom w:val="0"/>
      <w:divBdr>
        <w:top w:val="none" w:sz="0" w:space="0" w:color="auto"/>
        <w:left w:val="none" w:sz="0" w:space="0" w:color="auto"/>
        <w:bottom w:val="none" w:sz="0" w:space="0" w:color="auto"/>
        <w:right w:val="none" w:sz="0" w:space="0" w:color="auto"/>
      </w:divBdr>
    </w:div>
    <w:div w:id="605429447">
      <w:bodyDiv w:val="1"/>
      <w:marLeft w:val="0"/>
      <w:marRight w:val="0"/>
      <w:marTop w:val="0"/>
      <w:marBottom w:val="0"/>
      <w:divBdr>
        <w:top w:val="none" w:sz="0" w:space="0" w:color="auto"/>
        <w:left w:val="none" w:sz="0" w:space="0" w:color="auto"/>
        <w:bottom w:val="none" w:sz="0" w:space="0" w:color="auto"/>
        <w:right w:val="none" w:sz="0" w:space="0" w:color="auto"/>
      </w:divBdr>
    </w:div>
    <w:div w:id="606692523">
      <w:bodyDiv w:val="1"/>
      <w:marLeft w:val="0"/>
      <w:marRight w:val="0"/>
      <w:marTop w:val="0"/>
      <w:marBottom w:val="0"/>
      <w:divBdr>
        <w:top w:val="none" w:sz="0" w:space="0" w:color="auto"/>
        <w:left w:val="none" w:sz="0" w:space="0" w:color="auto"/>
        <w:bottom w:val="none" w:sz="0" w:space="0" w:color="auto"/>
        <w:right w:val="none" w:sz="0" w:space="0" w:color="auto"/>
      </w:divBdr>
    </w:div>
    <w:div w:id="612178415">
      <w:bodyDiv w:val="1"/>
      <w:marLeft w:val="0"/>
      <w:marRight w:val="0"/>
      <w:marTop w:val="0"/>
      <w:marBottom w:val="0"/>
      <w:divBdr>
        <w:top w:val="none" w:sz="0" w:space="0" w:color="auto"/>
        <w:left w:val="none" w:sz="0" w:space="0" w:color="auto"/>
        <w:bottom w:val="none" w:sz="0" w:space="0" w:color="auto"/>
        <w:right w:val="none" w:sz="0" w:space="0" w:color="auto"/>
      </w:divBdr>
    </w:div>
    <w:div w:id="615992316">
      <w:bodyDiv w:val="1"/>
      <w:marLeft w:val="0"/>
      <w:marRight w:val="0"/>
      <w:marTop w:val="0"/>
      <w:marBottom w:val="0"/>
      <w:divBdr>
        <w:top w:val="none" w:sz="0" w:space="0" w:color="auto"/>
        <w:left w:val="none" w:sz="0" w:space="0" w:color="auto"/>
        <w:bottom w:val="none" w:sz="0" w:space="0" w:color="auto"/>
        <w:right w:val="none" w:sz="0" w:space="0" w:color="auto"/>
      </w:divBdr>
    </w:div>
    <w:div w:id="624698378">
      <w:bodyDiv w:val="1"/>
      <w:marLeft w:val="0"/>
      <w:marRight w:val="0"/>
      <w:marTop w:val="0"/>
      <w:marBottom w:val="0"/>
      <w:divBdr>
        <w:top w:val="none" w:sz="0" w:space="0" w:color="auto"/>
        <w:left w:val="none" w:sz="0" w:space="0" w:color="auto"/>
        <w:bottom w:val="none" w:sz="0" w:space="0" w:color="auto"/>
        <w:right w:val="none" w:sz="0" w:space="0" w:color="auto"/>
      </w:divBdr>
    </w:div>
    <w:div w:id="629022434">
      <w:bodyDiv w:val="1"/>
      <w:marLeft w:val="0"/>
      <w:marRight w:val="0"/>
      <w:marTop w:val="0"/>
      <w:marBottom w:val="0"/>
      <w:divBdr>
        <w:top w:val="none" w:sz="0" w:space="0" w:color="auto"/>
        <w:left w:val="none" w:sz="0" w:space="0" w:color="auto"/>
        <w:bottom w:val="none" w:sz="0" w:space="0" w:color="auto"/>
        <w:right w:val="none" w:sz="0" w:space="0" w:color="auto"/>
      </w:divBdr>
    </w:div>
    <w:div w:id="636030233">
      <w:bodyDiv w:val="1"/>
      <w:marLeft w:val="0"/>
      <w:marRight w:val="0"/>
      <w:marTop w:val="0"/>
      <w:marBottom w:val="0"/>
      <w:divBdr>
        <w:top w:val="none" w:sz="0" w:space="0" w:color="auto"/>
        <w:left w:val="none" w:sz="0" w:space="0" w:color="auto"/>
        <w:bottom w:val="none" w:sz="0" w:space="0" w:color="auto"/>
        <w:right w:val="none" w:sz="0" w:space="0" w:color="auto"/>
      </w:divBdr>
    </w:div>
    <w:div w:id="637077656">
      <w:bodyDiv w:val="1"/>
      <w:marLeft w:val="0"/>
      <w:marRight w:val="0"/>
      <w:marTop w:val="0"/>
      <w:marBottom w:val="0"/>
      <w:divBdr>
        <w:top w:val="none" w:sz="0" w:space="0" w:color="auto"/>
        <w:left w:val="none" w:sz="0" w:space="0" w:color="auto"/>
        <w:bottom w:val="none" w:sz="0" w:space="0" w:color="auto"/>
        <w:right w:val="none" w:sz="0" w:space="0" w:color="auto"/>
      </w:divBdr>
    </w:div>
    <w:div w:id="650446813">
      <w:bodyDiv w:val="1"/>
      <w:marLeft w:val="0"/>
      <w:marRight w:val="0"/>
      <w:marTop w:val="0"/>
      <w:marBottom w:val="0"/>
      <w:divBdr>
        <w:top w:val="none" w:sz="0" w:space="0" w:color="auto"/>
        <w:left w:val="none" w:sz="0" w:space="0" w:color="auto"/>
        <w:bottom w:val="none" w:sz="0" w:space="0" w:color="auto"/>
        <w:right w:val="none" w:sz="0" w:space="0" w:color="auto"/>
      </w:divBdr>
    </w:div>
    <w:div w:id="650980982">
      <w:bodyDiv w:val="1"/>
      <w:marLeft w:val="0"/>
      <w:marRight w:val="0"/>
      <w:marTop w:val="0"/>
      <w:marBottom w:val="0"/>
      <w:divBdr>
        <w:top w:val="none" w:sz="0" w:space="0" w:color="auto"/>
        <w:left w:val="none" w:sz="0" w:space="0" w:color="auto"/>
        <w:bottom w:val="none" w:sz="0" w:space="0" w:color="auto"/>
        <w:right w:val="none" w:sz="0" w:space="0" w:color="auto"/>
      </w:divBdr>
    </w:div>
    <w:div w:id="654068162">
      <w:bodyDiv w:val="1"/>
      <w:marLeft w:val="0"/>
      <w:marRight w:val="0"/>
      <w:marTop w:val="0"/>
      <w:marBottom w:val="0"/>
      <w:divBdr>
        <w:top w:val="none" w:sz="0" w:space="0" w:color="auto"/>
        <w:left w:val="none" w:sz="0" w:space="0" w:color="auto"/>
        <w:bottom w:val="none" w:sz="0" w:space="0" w:color="auto"/>
        <w:right w:val="none" w:sz="0" w:space="0" w:color="auto"/>
      </w:divBdr>
    </w:div>
    <w:div w:id="658077338">
      <w:bodyDiv w:val="1"/>
      <w:marLeft w:val="0"/>
      <w:marRight w:val="0"/>
      <w:marTop w:val="0"/>
      <w:marBottom w:val="0"/>
      <w:divBdr>
        <w:top w:val="none" w:sz="0" w:space="0" w:color="auto"/>
        <w:left w:val="none" w:sz="0" w:space="0" w:color="auto"/>
        <w:bottom w:val="none" w:sz="0" w:space="0" w:color="auto"/>
        <w:right w:val="none" w:sz="0" w:space="0" w:color="auto"/>
      </w:divBdr>
    </w:div>
    <w:div w:id="659041468">
      <w:bodyDiv w:val="1"/>
      <w:marLeft w:val="0"/>
      <w:marRight w:val="0"/>
      <w:marTop w:val="0"/>
      <w:marBottom w:val="0"/>
      <w:divBdr>
        <w:top w:val="none" w:sz="0" w:space="0" w:color="auto"/>
        <w:left w:val="none" w:sz="0" w:space="0" w:color="auto"/>
        <w:bottom w:val="none" w:sz="0" w:space="0" w:color="auto"/>
        <w:right w:val="none" w:sz="0" w:space="0" w:color="auto"/>
      </w:divBdr>
    </w:div>
    <w:div w:id="667751597">
      <w:bodyDiv w:val="1"/>
      <w:marLeft w:val="0"/>
      <w:marRight w:val="0"/>
      <w:marTop w:val="0"/>
      <w:marBottom w:val="0"/>
      <w:divBdr>
        <w:top w:val="none" w:sz="0" w:space="0" w:color="auto"/>
        <w:left w:val="none" w:sz="0" w:space="0" w:color="auto"/>
        <w:bottom w:val="none" w:sz="0" w:space="0" w:color="auto"/>
        <w:right w:val="none" w:sz="0" w:space="0" w:color="auto"/>
      </w:divBdr>
    </w:div>
    <w:div w:id="669983921">
      <w:bodyDiv w:val="1"/>
      <w:marLeft w:val="0"/>
      <w:marRight w:val="0"/>
      <w:marTop w:val="0"/>
      <w:marBottom w:val="0"/>
      <w:divBdr>
        <w:top w:val="none" w:sz="0" w:space="0" w:color="auto"/>
        <w:left w:val="none" w:sz="0" w:space="0" w:color="auto"/>
        <w:bottom w:val="none" w:sz="0" w:space="0" w:color="auto"/>
        <w:right w:val="none" w:sz="0" w:space="0" w:color="auto"/>
      </w:divBdr>
    </w:div>
    <w:div w:id="672293895">
      <w:bodyDiv w:val="1"/>
      <w:marLeft w:val="0"/>
      <w:marRight w:val="0"/>
      <w:marTop w:val="0"/>
      <w:marBottom w:val="0"/>
      <w:divBdr>
        <w:top w:val="none" w:sz="0" w:space="0" w:color="auto"/>
        <w:left w:val="none" w:sz="0" w:space="0" w:color="auto"/>
        <w:bottom w:val="none" w:sz="0" w:space="0" w:color="auto"/>
        <w:right w:val="none" w:sz="0" w:space="0" w:color="auto"/>
      </w:divBdr>
    </w:div>
    <w:div w:id="674454187">
      <w:bodyDiv w:val="1"/>
      <w:marLeft w:val="0"/>
      <w:marRight w:val="0"/>
      <w:marTop w:val="0"/>
      <w:marBottom w:val="0"/>
      <w:divBdr>
        <w:top w:val="none" w:sz="0" w:space="0" w:color="auto"/>
        <w:left w:val="none" w:sz="0" w:space="0" w:color="auto"/>
        <w:bottom w:val="none" w:sz="0" w:space="0" w:color="auto"/>
        <w:right w:val="none" w:sz="0" w:space="0" w:color="auto"/>
      </w:divBdr>
    </w:div>
    <w:div w:id="677656219">
      <w:bodyDiv w:val="1"/>
      <w:marLeft w:val="0"/>
      <w:marRight w:val="0"/>
      <w:marTop w:val="0"/>
      <w:marBottom w:val="0"/>
      <w:divBdr>
        <w:top w:val="none" w:sz="0" w:space="0" w:color="auto"/>
        <w:left w:val="none" w:sz="0" w:space="0" w:color="auto"/>
        <w:bottom w:val="none" w:sz="0" w:space="0" w:color="auto"/>
        <w:right w:val="none" w:sz="0" w:space="0" w:color="auto"/>
      </w:divBdr>
    </w:div>
    <w:div w:id="679549295">
      <w:bodyDiv w:val="1"/>
      <w:marLeft w:val="0"/>
      <w:marRight w:val="0"/>
      <w:marTop w:val="0"/>
      <w:marBottom w:val="0"/>
      <w:divBdr>
        <w:top w:val="none" w:sz="0" w:space="0" w:color="auto"/>
        <w:left w:val="none" w:sz="0" w:space="0" w:color="auto"/>
        <w:bottom w:val="none" w:sz="0" w:space="0" w:color="auto"/>
        <w:right w:val="none" w:sz="0" w:space="0" w:color="auto"/>
      </w:divBdr>
    </w:div>
    <w:div w:id="682703964">
      <w:bodyDiv w:val="1"/>
      <w:marLeft w:val="0"/>
      <w:marRight w:val="0"/>
      <w:marTop w:val="0"/>
      <w:marBottom w:val="0"/>
      <w:divBdr>
        <w:top w:val="none" w:sz="0" w:space="0" w:color="auto"/>
        <w:left w:val="none" w:sz="0" w:space="0" w:color="auto"/>
        <w:bottom w:val="none" w:sz="0" w:space="0" w:color="auto"/>
        <w:right w:val="none" w:sz="0" w:space="0" w:color="auto"/>
      </w:divBdr>
    </w:div>
    <w:div w:id="683635397">
      <w:bodyDiv w:val="1"/>
      <w:marLeft w:val="0"/>
      <w:marRight w:val="0"/>
      <w:marTop w:val="0"/>
      <w:marBottom w:val="0"/>
      <w:divBdr>
        <w:top w:val="none" w:sz="0" w:space="0" w:color="auto"/>
        <w:left w:val="none" w:sz="0" w:space="0" w:color="auto"/>
        <w:bottom w:val="none" w:sz="0" w:space="0" w:color="auto"/>
        <w:right w:val="none" w:sz="0" w:space="0" w:color="auto"/>
      </w:divBdr>
    </w:div>
    <w:div w:id="685788739">
      <w:bodyDiv w:val="1"/>
      <w:marLeft w:val="0"/>
      <w:marRight w:val="0"/>
      <w:marTop w:val="0"/>
      <w:marBottom w:val="0"/>
      <w:divBdr>
        <w:top w:val="none" w:sz="0" w:space="0" w:color="auto"/>
        <w:left w:val="none" w:sz="0" w:space="0" w:color="auto"/>
        <w:bottom w:val="none" w:sz="0" w:space="0" w:color="auto"/>
        <w:right w:val="none" w:sz="0" w:space="0" w:color="auto"/>
      </w:divBdr>
    </w:div>
    <w:div w:id="689910616">
      <w:bodyDiv w:val="1"/>
      <w:marLeft w:val="0"/>
      <w:marRight w:val="0"/>
      <w:marTop w:val="0"/>
      <w:marBottom w:val="0"/>
      <w:divBdr>
        <w:top w:val="none" w:sz="0" w:space="0" w:color="auto"/>
        <w:left w:val="none" w:sz="0" w:space="0" w:color="auto"/>
        <w:bottom w:val="none" w:sz="0" w:space="0" w:color="auto"/>
        <w:right w:val="none" w:sz="0" w:space="0" w:color="auto"/>
      </w:divBdr>
    </w:div>
    <w:div w:id="696127893">
      <w:bodyDiv w:val="1"/>
      <w:marLeft w:val="0"/>
      <w:marRight w:val="0"/>
      <w:marTop w:val="0"/>
      <w:marBottom w:val="0"/>
      <w:divBdr>
        <w:top w:val="none" w:sz="0" w:space="0" w:color="auto"/>
        <w:left w:val="none" w:sz="0" w:space="0" w:color="auto"/>
        <w:bottom w:val="none" w:sz="0" w:space="0" w:color="auto"/>
        <w:right w:val="none" w:sz="0" w:space="0" w:color="auto"/>
      </w:divBdr>
    </w:div>
    <w:div w:id="696200330">
      <w:bodyDiv w:val="1"/>
      <w:marLeft w:val="0"/>
      <w:marRight w:val="0"/>
      <w:marTop w:val="0"/>
      <w:marBottom w:val="0"/>
      <w:divBdr>
        <w:top w:val="none" w:sz="0" w:space="0" w:color="auto"/>
        <w:left w:val="none" w:sz="0" w:space="0" w:color="auto"/>
        <w:bottom w:val="none" w:sz="0" w:space="0" w:color="auto"/>
        <w:right w:val="none" w:sz="0" w:space="0" w:color="auto"/>
      </w:divBdr>
    </w:div>
    <w:div w:id="696466935">
      <w:bodyDiv w:val="1"/>
      <w:marLeft w:val="0"/>
      <w:marRight w:val="0"/>
      <w:marTop w:val="0"/>
      <w:marBottom w:val="0"/>
      <w:divBdr>
        <w:top w:val="none" w:sz="0" w:space="0" w:color="auto"/>
        <w:left w:val="none" w:sz="0" w:space="0" w:color="auto"/>
        <w:bottom w:val="none" w:sz="0" w:space="0" w:color="auto"/>
        <w:right w:val="none" w:sz="0" w:space="0" w:color="auto"/>
      </w:divBdr>
    </w:div>
    <w:div w:id="697194717">
      <w:bodyDiv w:val="1"/>
      <w:marLeft w:val="0"/>
      <w:marRight w:val="0"/>
      <w:marTop w:val="0"/>
      <w:marBottom w:val="0"/>
      <w:divBdr>
        <w:top w:val="none" w:sz="0" w:space="0" w:color="auto"/>
        <w:left w:val="none" w:sz="0" w:space="0" w:color="auto"/>
        <w:bottom w:val="none" w:sz="0" w:space="0" w:color="auto"/>
        <w:right w:val="none" w:sz="0" w:space="0" w:color="auto"/>
      </w:divBdr>
    </w:div>
    <w:div w:id="698629540">
      <w:bodyDiv w:val="1"/>
      <w:marLeft w:val="0"/>
      <w:marRight w:val="0"/>
      <w:marTop w:val="0"/>
      <w:marBottom w:val="0"/>
      <w:divBdr>
        <w:top w:val="none" w:sz="0" w:space="0" w:color="auto"/>
        <w:left w:val="none" w:sz="0" w:space="0" w:color="auto"/>
        <w:bottom w:val="none" w:sz="0" w:space="0" w:color="auto"/>
        <w:right w:val="none" w:sz="0" w:space="0" w:color="auto"/>
      </w:divBdr>
    </w:div>
    <w:div w:id="699553821">
      <w:bodyDiv w:val="1"/>
      <w:marLeft w:val="0"/>
      <w:marRight w:val="0"/>
      <w:marTop w:val="0"/>
      <w:marBottom w:val="0"/>
      <w:divBdr>
        <w:top w:val="none" w:sz="0" w:space="0" w:color="auto"/>
        <w:left w:val="none" w:sz="0" w:space="0" w:color="auto"/>
        <w:bottom w:val="none" w:sz="0" w:space="0" w:color="auto"/>
        <w:right w:val="none" w:sz="0" w:space="0" w:color="auto"/>
      </w:divBdr>
    </w:div>
    <w:div w:id="704597203">
      <w:bodyDiv w:val="1"/>
      <w:marLeft w:val="0"/>
      <w:marRight w:val="0"/>
      <w:marTop w:val="0"/>
      <w:marBottom w:val="0"/>
      <w:divBdr>
        <w:top w:val="none" w:sz="0" w:space="0" w:color="auto"/>
        <w:left w:val="none" w:sz="0" w:space="0" w:color="auto"/>
        <w:bottom w:val="none" w:sz="0" w:space="0" w:color="auto"/>
        <w:right w:val="none" w:sz="0" w:space="0" w:color="auto"/>
      </w:divBdr>
    </w:div>
    <w:div w:id="707609022">
      <w:bodyDiv w:val="1"/>
      <w:marLeft w:val="0"/>
      <w:marRight w:val="0"/>
      <w:marTop w:val="0"/>
      <w:marBottom w:val="0"/>
      <w:divBdr>
        <w:top w:val="none" w:sz="0" w:space="0" w:color="auto"/>
        <w:left w:val="none" w:sz="0" w:space="0" w:color="auto"/>
        <w:bottom w:val="none" w:sz="0" w:space="0" w:color="auto"/>
        <w:right w:val="none" w:sz="0" w:space="0" w:color="auto"/>
      </w:divBdr>
    </w:div>
    <w:div w:id="710300197">
      <w:bodyDiv w:val="1"/>
      <w:marLeft w:val="0"/>
      <w:marRight w:val="0"/>
      <w:marTop w:val="0"/>
      <w:marBottom w:val="0"/>
      <w:divBdr>
        <w:top w:val="none" w:sz="0" w:space="0" w:color="auto"/>
        <w:left w:val="none" w:sz="0" w:space="0" w:color="auto"/>
        <w:bottom w:val="none" w:sz="0" w:space="0" w:color="auto"/>
        <w:right w:val="none" w:sz="0" w:space="0" w:color="auto"/>
      </w:divBdr>
    </w:div>
    <w:div w:id="710306696">
      <w:bodyDiv w:val="1"/>
      <w:marLeft w:val="0"/>
      <w:marRight w:val="0"/>
      <w:marTop w:val="0"/>
      <w:marBottom w:val="0"/>
      <w:divBdr>
        <w:top w:val="none" w:sz="0" w:space="0" w:color="auto"/>
        <w:left w:val="none" w:sz="0" w:space="0" w:color="auto"/>
        <w:bottom w:val="none" w:sz="0" w:space="0" w:color="auto"/>
        <w:right w:val="none" w:sz="0" w:space="0" w:color="auto"/>
      </w:divBdr>
    </w:div>
    <w:div w:id="710956750">
      <w:bodyDiv w:val="1"/>
      <w:marLeft w:val="0"/>
      <w:marRight w:val="0"/>
      <w:marTop w:val="0"/>
      <w:marBottom w:val="0"/>
      <w:divBdr>
        <w:top w:val="none" w:sz="0" w:space="0" w:color="auto"/>
        <w:left w:val="none" w:sz="0" w:space="0" w:color="auto"/>
        <w:bottom w:val="none" w:sz="0" w:space="0" w:color="auto"/>
        <w:right w:val="none" w:sz="0" w:space="0" w:color="auto"/>
      </w:divBdr>
    </w:div>
    <w:div w:id="713047068">
      <w:bodyDiv w:val="1"/>
      <w:marLeft w:val="0"/>
      <w:marRight w:val="0"/>
      <w:marTop w:val="0"/>
      <w:marBottom w:val="0"/>
      <w:divBdr>
        <w:top w:val="none" w:sz="0" w:space="0" w:color="auto"/>
        <w:left w:val="none" w:sz="0" w:space="0" w:color="auto"/>
        <w:bottom w:val="none" w:sz="0" w:space="0" w:color="auto"/>
        <w:right w:val="none" w:sz="0" w:space="0" w:color="auto"/>
      </w:divBdr>
    </w:div>
    <w:div w:id="716658603">
      <w:bodyDiv w:val="1"/>
      <w:marLeft w:val="0"/>
      <w:marRight w:val="0"/>
      <w:marTop w:val="0"/>
      <w:marBottom w:val="0"/>
      <w:divBdr>
        <w:top w:val="none" w:sz="0" w:space="0" w:color="auto"/>
        <w:left w:val="none" w:sz="0" w:space="0" w:color="auto"/>
        <w:bottom w:val="none" w:sz="0" w:space="0" w:color="auto"/>
        <w:right w:val="none" w:sz="0" w:space="0" w:color="auto"/>
      </w:divBdr>
    </w:div>
    <w:div w:id="717709560">
      <w:bodyDiv w:val="1"/>
      <w:marLeft w:val="0"/>
      <w:marRight w:val="0"/>
      <w:marTop w:val="0"/>
      <w:marBottom w:val="0"/>
      <w:divBdr>
        <w:top w:val="none" w:sz="0" w:space="0" w:color="auto"/>
        <w:left w:val="none" w:sz="0" w:space="0" w:color="auto"/>
        <w:bottom w:val="none" w:sz="0" w:space="0" w:color="auto"/>
        <w:right w:val="none" w:sz="0" w:space="0" w:color="auto"/>
      </w:divBdr>
    </w:div>
    <w:div w:id="729378522">
      <w:bodyDiv w:val="1"/>
      <w:marLeft w:val="0"/>
      <w:marRight w:val="0"/>
      <w:marTop w:val="0"/>
      <w:marBottom w:val="0"/>
      <w:divBdr>
        <w:top w:val="none" w:sz="0" w:space="0" w:color="auto"/>
        <w:left w:val="none" w:sz="0" w:space="0" w:color="auto"/>
        <w:bottom w:val="none" w:sz="0" w:space="0" w:color="auto"/>
        <w:right w:val="none" w:sz="0" w:space="0" w:color="auto"/>
      </w:divBdr>
    </w:div>
    <w:div w:id="733090299">
      <w:bodyDiv w:val="1"/>
      <w:marLeft w:val="0"/>
      <w:marRight w:val="0"/>
      <w:marTop w:val="0"/>
      <w:marBottom w:val="0"/>
      <w:divBdr>
        <w:top w:val="none" w:sz="0" w:space="0" w:color="auto"/>
        <w:left w:val="none" w:sz="0" w:space="0" w:color="auto"/>
        <w:bottom w:val="none" w:sz="0" w:space="0" w:color="auto"/>
        <w:right w:val="none" w:sz="0" w:space="0" w:color="auto"/>
      </w:divBdr>
    </w:div>
    <w:div w:id="736049717">
      <w:bodyDiv w:val="1"/>
      <w:marLeft w:val="0"/>
      <w:marRight w:val="0"/>
      <w:marTop w:val="0"/>
      <w:marBottom w:val="0"/>
      <w:divBdr>
        <w:top w:val="none" w:sz="0" w:space="0" w:color="auto"/>
        <w:left w:val="none" w:sz="0" w:space="0" w:color="auto"/>
        <w:bottom w:val="none" w:sz="0" w:space="0" w:color="auto"/>
        <w:right w:val="none" w:sz="0" w:space="0" w:color="auto"/>
      </w:divBdr>
    </w:div>
    <w:div w:id="738554632">
      <w:bodyDiv w:val="1"/>
      <w:marLeft w:val="0"/>
      <w:marRight w:val="0"/>
      <w:marTop w:val="0"/>
      <w:marBottom w:val="0"/>
      <w:divBdr>
        <w:top w:val="none" w:sz="0" w:space="0" w:color="auto"/>
        <w:left w:val="none" w:sz="0" w:space="0" w:color="auto"/>
        <w:bottom w:val="none" w:sz="0" w:space="0" w:color="auto"/>
        <w:right w:val="none" w:sz="0" w:space="0" w:color="auto"/>
      </w:divBdr>
    </w:div>
    <w:div w:id="738601016">
      <w:bodyDiv w:val="1"/>
      <w:marLeft w:val="0"/>
      <w:marRight w:val="0"/>
      <w:marTop w:val="0"/>
      <w:marBottom w:val="0"/>
      <w:divBdr>
        <w:top w:val="none" w:sz="0" w:space="0" w:color="auto"/>
        <w:left w:val="none" w:sz="0" w:space="0" w:color="auto"/>
        <w:bottom w:val="none" w:sz="0" w:space="0" w:color="auto"/>
        <w:right w:val="none" w:sz="0" w:space="0" w:color="auto"/>
      </w:divBdr>
    </w:div>
    <w:div w:id="739795494">
      <w:bodyDiv w:val="1"/>
      <w:marLeft w:val="0"/>
      <w:marRight w:val="0"/>
      <w:marTop w:val="0"/>
      <w:marBottom w:val="0"/>
      <w:divBdr>
        <w:top w:val="none" w:sz="0" w:space="0" w:color="auto"/>
        <w:left w:val="none" w:sz="0" w:space="0" w:color="auto"/>
        <w:bottom w:val="none" w:sz="0" w:space="0" w:color="auto"/>
        <w:right w:val="none" w:sz="0" w:space="0" w:color="auto"/>
      </w:divBdr>
    </w:div>
    <w:div w:id="740523375">
      <w:bodyDiv w:val="1"/>
      <w:marLeft w:val="0"/>
      <w:marRight w:val="0"/>
      <w:marTop w:val="0"/>
      <w:marBottom w:val="0"/>
      <w:divBdr>
        <w:top w:val="none" w:sz="0" w:space="0" w:color="auto"/>
        <w:left w:val="none" w:sz="0" w:space="0" w:color="auto"/>
        <w:bottom w:val="none" w:sz="0" w:space="0" w:color="auto"/>
        <w:right w:val="none" w:sz="0" w:space="0" w:color="auto"/>
      </w:divBdr>
    </w:div>
    <w:div w:id="744035157">
      <w:bodyDiv w:val="1"/>
      <w:marLeft w:val="0"/>
      <w:marRight w:val="0"/>
      <w:marTop w:val="0"/>
      <w:marBottom w:val="0"/>
      <w:divBdr>
        <w:top w:val="none" w:sz="0" w:space="0" w:color="auto"/>
        <w:left w:val="none" w:sz="0" w:space="0" w:color="auto"/>
        <w:bottom w:val="none" w:sz="0" w:space="0" w:color="auto"/>
        <w:right w:val="none" w:sz="0" w:space="0" w:color="auto"/>
      </w:divBdr>
    </w:div>
    <w:div w:id="747001546">
      <w:bodyDiv w:val="1"/>
      <w:marLeft w:val="0"/>
      <w:marRight w:val="0"/>
      <w:marTop w:val="0"/>
      <w:marBottom w:val="0"/>
      <w:divBdr>
        <w:top w:val="none" w:sz="0" w:space="0" w:color="auto"/>
        <w:left w:val="none" w:sz="0" w:space="0" w:color="auto"/>
        <w:bottom w:val="none" w:sz="0" w:space="0" w:color="auto"/>
        <w:right w:val="none" w:sz="0" w:space="0" w:color="auto"/>
      </w:divBdr>
    </w:div>
    <w:div w:id="748620648">
      <w:bodyDiv w:val="1"/>
      <w:marLeft w:val="0"/>
      <w:marRight w:val="0"/>
      <w:marTop w:val="0"/>
      <w:marBottom w:val="0"/>
      <w:divBdr>
        <w:top w:val="none" w:sz="0" w:space="0" w:color="auto"/>
        <w:left w:val="none" w:sz="0" w:space="0" w:color="auto"/>
        <w:bottom w:val="none" w:sz="0" w:space="0" w:color="auto"/>
        <w:right w:val="none" w:sz="0" w:space="0" w:color="auto"/>
      </w:divBdr>
    </w:div>
    <w:div w:id="755174487">
      <w:bodyDiv w:val="1"/>
      <w:marLeft w:val="0"/>
      <w:marRight w:val="0"/>
      <w:marTop w:val="0"/>
      <w:marBottom w:val="0"/>
      <w:divBdr>
        <w:top w:val="none" w:sz="0" w:space="0" w:color="auto"/>
        <w:left w:val="none" w:sz="0" w:space="0" w:color="auto"/>
        <w:bottom w:val="none" w:sz="0" w:space="0" w:color="auto"/>
        <w:right w:val="none" w:sz="0" w:space="0" w:color="auto"/>
      </w:divBdr>
    </w:div>
    <w:div w:id="756437826">
      <w:bodyDiv w:val="1"/>
      <w:marLeft w:val="0"/>
      <w:marRight w:val="0"/>
      <w:marTop w:val="0"/>
      <w:marBottom w:val="0"/>
      <w:divBdr>
        <w:top w:val="none" w:sz="0" w:space="0" w:color="auto"/>
        <w:left w:val="none" w:sz="0" w:space="0" w:color="auto"/>
        <w:bottom w:val="none" w:sz="0" w:space="0" w:color="auto"/>
        <w:right w:val="none" w:sz="0" w:space="0" w:color="auto"/>
      </w:divBdr>
    </w:div>
    <w:div w:id="758528836">
      <w:bodyDiv w:val="1"/>
      <w:marLeft w:val="0"/>
      <w:marRight w:val="0"/>
      <w:marTop w:val="0"/>
      <w:marBottom w:val="0"/>
      <w:divBdr>
        <w:top w:val="none" w:sz="0" w:space="0" w:color="auto"/>
        <w:left w:val="none" w:sz="0" w:space="0" w:color="auto"/>
        <w:bottom w:val="none" w:sz="0" w:space="0" w:color="auto"/>
        <w:right w:val="none" w:sz="0" w:space="0" w:color="auto"/>
      </w:divBdr>
    </w:div>
    <w:div w:id="762457583">
      <w:bodyDiv w:val="1"/>
      <w:marLeft w:val="0"/>
      <w:marRight w:val="0"/>
      <w:marTop w:val="0"/>
      <w:marBottom w:val="0"/>
      <w:divBdr>
        <w:top w:val="none" w:sz="0" w:space="0" w:color="auto"/>
        <w:left w:val="none" w:sz="0" w:space="0" w:color="auto"/>
        <w:bottom w:val="none" w:sz="0" w:space="0" w:color="auto"/>
        <w:right w:val="none" w:sz="0" w:space="0" w:color="auto"/>
      </w:divBdr>
    </w:div>
    <w:div w:id="762458704">
      <w:bodyDiv w:val="1"/>
      <w:marLeft w:val="0"/>
      <w:marRight w:val="0"/>
      <w:marTop w:val="0"/>
      <w:marBottom w:val="0"/>
      <w:divBdr>
        <w:top w:val="none" w:sz="0" w:space="0" w:color="auto"/>
        <w:left w:val="none" w:sz="0" w:space="0" w:color="auto"/>
        <w:bottom w:val="none" w:sz="0" w:space="0" w:color="auto"/>
        <w:right w:val="none" w:sz="0" w:space="0" w:color="auto"/>
      </w:divBdr>
    </w:div>
    <w:div w:id="763838583">
      <w:bodyDiv w:val="1"/>
      <w:marLeft w:val="0"/>
      <w:marRight w:val="0"/>
      <w:marTop w:val="0"/>
      <w:marBottom w:val="0"/>
      <w:divBdr>
        <w:top w:val="none" w:sz="0" w:space="0" w:color="auto"/>
        <w:left w:val="none" w:sz="0" w:space="0" w:color="auto"/>
        <w:bottom w:val="none" w:sz="0" w:space="0" w:color="auto"/>
        <w:right w:val="none" w:sz="0" w:space="0" w:color="auto"/>
      </w:divBdr>
    </w:div>
    <w:div w:id="764157943">
      <w:bodyDiv w:val="1"/>
      <w:marLeft w:val="0"/>
      <w:marRight w:val="0"/>
      <w:marTop w:val="0"/>
      <w:marBottom w:val="0"/>
      <w:divBdr>
        <w:top w:val="none" w:sz="0" w:space="0" w:color="auto"/>
        <w:left w:val="none" w:sz="0" w:space="0" w:color="auto"/>
        <w:bottom w:val="none" w:sz="0" w:space="0" w:color="auto"/>
        <w:right w:val="none" w:sz="0" w:space="0" w:color="auto"/>
      </w:divBdr>
    </w:div>
    <w:div w:id="770276622">
      <w:bodyDiv w:val="1"/>
      <w:marLeft w:val="0"/>
      <w:marRight w:val="0"/>
      <w:marTop w:val="0"/>
      <w:marBottom w:val="0"/>
      <w:divBdr>
        <w:top w:val="none" w:sz="0" w:space="0" w:color="auto"/>
        <w:left w:val="none" w:sz="0" w:space="0" w:color="auto"/>
        <w:bottom w:val="none" w:sz="0" w:space="0" w:color="auto"/>
        <w:right w:val="none" w:sz="0" w:space="0" w:color="auto"/>
      </w:divBdr>
    </w:div>
    <w:div w:id="772016769">
      <w:bodyDiv w:val="1"/>
      <w:marLeft w:val="0"/>
      <w:marRight w:val="0"/>
      <w:marTop w:val="0"/>
      <w:marBottom w:val="0"/>
      <w:divBdr>
        <w:top w:val="none" w:sz="0" w:space="0" w:color="auto"/>
        <w:left w:val="none" w:sz="0" w:space="0" w:color="auto"/>
        <w:bottom w:val="none" w:sz="0" w:space="0" w:color="auto"/>
        <w:right w:val="none" w:sz="0" w:space="0" w:color="auto"/>
      </w:divBdr>
    </w:div>
    <w:div w:id="772748520">
      <w:bodyDiv w:val="1"/>
      <w:marLeft w:val="0"/>
      <w:marRight w:val="0"/>
      <w:marTop w:val="0"/>
      <w:marBottom w:val="0"/>
      <w:divBdr>
        <w:top w:val="none" w:sz="0" w:space="0" w:color="auto"/>
        <w:left w:val="none" w:sz="0" w:space="0" w:color="auto"/>
        <w:bottom w:val="none" w:sz="0" w:space="0" w:color="auto"/>
        <w:right w:val="none" w:sz="0" w:space="0" w:color="auto"/>
      </w:divBdr>
    </w:div>
    <w:div w:id="774405110">
      <w:marLeft w:val="0"/>
      <w:marRight w:val="0"/>
      <w:marTop w:val="0"/>
      <w:marBottom w:val="0"/>
      <w:divBdr>
        <w:top w:val="none" w:sz="0" w:space="0" w:color="auto"/>
        <w:left w:val="none" w:sz="0" w:space="0" w:color="auto"/>
        <w:bottom w:val="none" w:sz="0" w:space="0" w:color="auto"/>
        <w:right w:val="none" w:sz="0" w:space="0" w:color="auto"/>
      </w:divBdr>
    </w:div>
    <w:div w:id="774405111">
      <w:marLeft w:val="0"/>
      <w:marRight w:val="0"/>
      <w:marTop w:val="0"/>
      <w:marBottom w:val="0"/>
      <w:divBdr>
        <w:top w:val="none" w:sz="0" w:space="0" w:color="auto"/>
        <w:left w:val="none" w:sz="0" w:space="0" w:color="auto"/>
        <w:bottom w:val="none" w:sz="0" w:space="0" w:color="auto"/>
        <w:right w:val="none" w:sz="0" w:space="0" w:color="auto"/>
      </w:divBdr>
    </w:div>
    <w:div w:id="774405112">
      <w:marLeft w:val="0"/>
      <w:marRight w:val="0"/>
      <w:marTop w:val="0"/>
      <w:marBottom w:val="0"/>
      <w:divBdr>
        <w:top w:val="none" w:sz="0" w:space="0" w:color="auto"/>
        <w:left w:val="none" w:sz="0" w:space="0" w:color="auto"/>
        <w:bottom w:val="none" w:sz="0" w:space="0" w:color="auto"/>
        <w:right w:val="none" w:sz="0" w:space="0" w:color="auto"/>
      </w:divBdr>
    </w:div>
    <w:div w:id="774405113">
      <w:marLeft w:val="0"/>
      <w:marRight w:val="0"/>
      <w:marTop w:val="0"/>
      <w:marBottom w:val="0"/>
      <w:divBdr>
        <w:top w:val="none" w:sz="0" w:space="0" w:color="auto"/>
        <w:left w:val="none" w:sz="0" w:space="0" w:color="auto"/>
        <w:bottom w:val="none" w:sz="0" w:space="0" w:color="auto"/>
        <w:right w:val="none" w:sz="0" w:space="0" w:color="auto"/>
      </w:divBdr>
    </w:div>
    <w:div w:id="774405114">
      <w:marLeft w:val="0"/>
      <w:marRight w:val="0"/>
      <w:marTop w:val="0"/>
      <w:marBottom w:val="0"/>
      <w:divBdr>
        <w:top w:val="none" w:sz="0" w:space="0" w:color="auto"/>
        <w:left w:val="none" w:sz="0" w:space="0" w:color="auto"/>
        <w:bottom w:val="none" w:sz="0" w:space="0" w:color="auto"/>
        <w:right w:val="none" w:sz="0" w:space="0" w:color="auto"/>
      </w:divBdr>
    </w:div>
    <w:div w:id="774405115">
      <w:marLeft w:val="0"/>
      <w:marRight w:val="0"/>
      <w:marTop w:val="0"/>
      <w:marBottom w:val="0"/>
      <w:divBdr>
        <w:top w:val="none" w:sz="0" w:space="0" w:color="auto"/>
        <w:left w:val="none" w:sz="0" w:space="0" w:color="auto"/>
        <w:bottom w:val="none" w:sz="0" w:space="0" w:color="auto"/>
        <w:right w:val="none" w:sz="0" w:space="0" w:color="auto"/>
      </w:divBdr>
    </w:div>
    <w:div w:id="774833304">
      <w:bodyDiv w:val="1"/>
      <w:marLeft w:val="0"/>
      <w:marRight w:val="0"/>
      <w:marTop w:val="0"/>
      <w:marBottom w:val="0"/>
      <w:divBdr>
        <w:top w:val="none" w:sz="0" w:space="0" w:color="auto"/>
        <w:left w:val="none" w:sz="0" w:space="0" w:color="auto"/>
        <w:bottom w:val="none" w:sz="0" w:space="0" w:color="auto"/>
        <w:right w:val="none" w:sz="0" w:space="0" w:color="auto"/>
      </w:divBdr>
    </w:div>
    <w:div w:id="776143479">
      <w:bodyDiv w:val="1"/>
      <w:marLeft w:val="0"/>
      <w:marRight w:val="0"/>
      <w:marTop w:val="0"/>
      <w:marBottom w:val="0"/>
      <w:divBdr>
        <w:top w:val="none" w:sz="0" w:space="0" w:color="auto"/>
        <w:left w:val="none" w:sz="0" w:space="0" w:color="auto"/>
        <w:bottom w:val="none" w:sz="0" w:space="0" w:color="auto"/>
        <w:right w:val="none" w:sz="0" w:space="0" w:color="auto"/>
      </w:divBdr>
    </w:div>
    <w:div w:id="780953523">
      <w:bodyDiv w:val="1"/>
      <w:marLeft w:val="0"/>
      <w:marRight w:val="0"/>
      <w:marTop w:val="0"/>
      <w:marBottom w:val="0"/>
      <w:divBdr>
        <w:top w:val="none" w:sz="0" w:space="0" w:color="auto"/>
        <w:left w:val="none" w:sz="0" w:space="0" w:color="auto"/>
        <w:bottom w:val="none" w:sz="0" w:space="0" w:color="auto"/>
        <w:right w:val="none" w:sz="0" w:space="0" w:color="auto"/>
      </w:divBdr>
    </w:div>
    <w:div w:id="782386802">
      <w:bodyDiv w:val="1"/>
      <w:marLeft w:val="0"/>
      <w:marRight w:val="0"/>
      <w:marTop w:val="0"/>
      <w:marBottom w:val="0"/>
      <w:divBdr>
        <w:top w:val="none" w:sz="0" w:space="0" w:color="auto"/>
        <w:left w:val="none" w:sz="0" w:space="0" w:color="auto"/>
        <w:bottom w:val="none" w:sz="0" w:space="0" w:color="auto"/>
        <w:right w:val="none" w:sz="0" w:space="0" w:color="auto"/>
      </w:divBdr>
    </w:div>
    <w:div w:id="784273510">
      <w:bodyDiv w:val="1"/>
      <w:marLeft w:val="0"/>
      <w:marRight w:val="0"/>
      <w:marTop w:val="0"/>
      <w:marBottom w:val="0"/>
      <w:divBdr>
        <w:top w:val="none" w:sz="0" w:space="0" w:color="auto"/>
        <w:left w:val="none" w:sz="0" w:space="0" w:color="auto"/>
        <w:bottom w:val="none" w:sz="0" w:space="0" w:color="auto"/>
        <w:right w:val="none" w:sz="0" w:space="0" w:color="auto"/>
      </w:divBdr>
    </w:div>
    <w:div w:id="787774168">
      <w:bodyDiv w:val="1"/>
      <w:marLeft w:val="0"/>
      <w:marRight w:val="0"/>
      <w:marTop w:val="0"/>
      <w:marBottom w:val="0"/>
      <w:divBdr>
        <w:top w:val="none" w:sz="0" w:space="0" w:color="auto"/>
        <w:left w:val="none" w:sz="0" w:space="0" w:color="auto"/>
        <w:bottom w:val="none" w:sz="0" w:space="0" w:color="auto"/>
        <w:right w:val="none" w:sz="0" w:space="0" w:color="auto"/>
      </w:divBdr>
    </w:div>
    <w:div w:id="793406995">
      <w:bodyDiv w:val="1"/>
      <w:marLeft w:val="0"/>
      <w:marRight w:val="0"/>
      <w:marTop w:val="0"/>
      <w:marBottom w:val="0"/>
      <w:divBdr>
        <w:top w:val="none" w:sz="0" w:space="0" w:color="auto"/>
        <w:left w:val="none" w:sz="0" w:space="0" w:color="auto"/>
        <w:bottom w:val="none" w:sz="0" w:space="0" w:color="auto"/>
        <w:right w:val="none" w:sz="0" w:space="0" w:color="auto"/>
      </w:divBdr>
    </w:div>
    <w:div w:id="795293892">
      <w:bodyDiv w:val="1"/>
      <w:marLeft w:val="0"/>
      <w:marRight w:val="0"/>
      <w:marTop w:val="0"/>
      <w:marBottom w:val="0"/>
      <w:divBdr>
        <w:top w:val="none" w:sz="0" w:space="0" w:color="auto"/>
        <w:left w:val="none" w:sz="0" w:space="0" w:color="auto"/>
        <w:bottom w:val="none" w:sz="0" w:space="0" w:color="auto"/>
        <w:right w:val="none" w:sz="0" w:space="0" w:color="auto"/>
      </w:divBdr>
    </w:div>
    <w:div w:id="795761033">
      <w:bodyDiv w:val="1"/>
      <w:marLeft w:val="0"/>
      <w:marRight w:val="0"/>
      <w:marTop w:val="0"/>
      <w:marBottom w:val="0"/>
      <w:divBdr>
        <w:top w:val="none" w:sz="0" w:space="0" w:color="auto"/>
        <w:left w:val="none" w:sz="0" w:space="0" w:color="auto"/>
        <w:bottom w:val="none" w:sz="0" w:space="0" w:color="auto"/>
        <w:right w:val="none" w:sz="0" w:space="0" w:color="auto"/>
      </w:divBdr>
    </w:div>
    <w:div w:id="802888737">
      <w:bodyDiv w:val="1"/>
      <w:marLeft w:val="0"/>
      <w:marRight w:val="0"/>
      <w:marTop w:val="0"/>
      <w:marBottom w:val="0"/>
      <w:divBdr>
        <w:top w:val="none" w:sz="0" w:space="0" w:color="auto"/>
        <w:left w:val="none" w:sz="0" w:space="0" w:color="auto"/>
        <w:bottom w:val="none" w:sz="0" w:space="0" w:color="auto"/>
        <w:right w:val="none" w:sz="0" w:space="0" w:color="auto"/>
      </w:divBdr>
    </w:div>
    <w:div w:id="805009867">
      <w:bodyDiv w:val="1"/>
      <w:marLeft w:val="0"/>
      <w:marRight w:val="0"/>
      <w:marTop w:val="0"/>
      <w:marBottom w:val="0"/>
      <w:divBdr>
        <w:top w:val="none" w:sz="0" w:space="0" w:color="auto"/>
        <w:left w:val="none" w:sz="0" w:space="0" w:color="auto"/>
        <w:bottom w:val="none" w:sz="0" w:space="0" w:color="auto"/>
        <w:right w:val="none" w:sz="0" w:space="0" w:color="auto"/>
      </w:divBdr>
    </w:div>
    <w:div w:id="805507834">
      <w:bodyDiv w:val="1"/>
      <w:marLeft w:val="0"/>
      <w:marRight w:val="0"/>
      <w:marTop w:val="0"/>
      <w:marBottom w:val="0"/>
      <w:divBdr>
        <w:top w:val="none" w:sz="0" w:space="0" w:color="auto"/>
        <w:left w:val="none" w:sz="0" w:space="0" w:color="auto"/>
        <w:bottom w:val="none" w:sz="0" w:space="0" w:color="auto"/>
        <w:right w:val="none" w:sz="0" w:space="0" w:color="auto"/>
      </w:divBdr>
    </w:div>
    <w:div w:id="810319612">
      <w:bodyDiv w:val="1"/>
      <w:marLeft w:val="0"/>
      <w:marRight w:val="0"/>
      <w:marTop w:val="0"/>
      <w:marBottom w:val="0"/>
      <w:divBdr>
        <w:top w:val="none" w:sz="0" w:space="0" w:color="auto"/>
        <w:left w:val="none" w:sz="0" w:space="0" w:color="auto"/>
        <w:bottom w:val="none" w:sz="0" w:space="0" w:color="auto"/>
        <w:right w:val="none" w:sz="0" w:space="0" w:color="auto"/>
      </w:divBdr>
    </w:div>
    <w:div w:id="811020632">
      <w:bodyDiv w:val="1"/>
      <w:marLeft w:val="0"/>
      <w:marRight w:val="0"/>
      <w:marTop w:val="0"/>
      <w:marBottom w:val="0"/>
      <w:divBdr>
        <w:top w:val="none" w:sz="0" w:space="0" w:color="auto"/>
        <w:left w:val="none" w:sz="0" w:space="0" w:color="auto"/>
        <w:bottom w:val="none" w:sz="0" w:space="0" w:color="auto"/>
        <w:right w:val="none" w:sz="0" w:space="0" w:color="auto"/>
      </w:divBdr>
    </w:div>
    <w:div w:id="811560432">
      <w:bodyDiv w:val="1"/>
      <w:marLeft w:val="0"/>
      <w:marRight w:val="0"/>
      <w:marTop w:val="0"/>
      <w:marBottom w:val="0"/>
      <w:divBdr>
        <w:top w:val="none" w:sz="0" w:space="0" w:color="auto"/>
        <w:left w:val="none" w:sz="0" w:space="0" w:color="auto"/>
        <w:bottom w:val="none" w:sz="0" w:space="0" w:color="auto"/>
        <w:right w:val="none" w:sz="0" w:space="0" w:color="auto"/>
      </w:divBdr>
    </w:div>
    <w:div w:id="813837143">
      <w:bodyDiv w:val="1"/>
      <w:marLeft w:val="0"/>
      <w:marRight w:val="0"/>
      <w:marTop w:val="0"/>
      <w:marBottom w:val="0"/>
      <w:divBdr>
        <w:top w:val="none" w:sz="0" w:space="0" w:color="auto"/>
        <w:left w:val="none" w:sz="0" w:space="0" w:color="auto"/>
        <w:bottom w:val="none" w:sz="0" w:space="0" w:color="auto"/>
        <w:right w:val="none" w:sz="0" w:space="0" w:color="auto"/>
      </w:divBdr>
    </w:div>
    <w:div w:id="815996909">
      <w:bodyDiv w:val="1"/>
      <w:marLeft w:val="0"/>
      <w:marRight w:val="0"/>
      <w:marTop w:val="0"/>
      <w:marBottom w:val="0"/>
      <w:divBdr>
        <w:top w:val="none" w:sz="0" w:space="0" w:color="auto"/>
        <w:left w:val="none" w:sz="0" w:space="0" w:color="auto"/>
        <w:bottom w:val="none" w:sz="0" w:space="0" w:color="auto"/>
        <w:right w:val="none" w:sz="0" w:space="0" w:color="auto"/>
      </w:divBdr>
    </w:div>
    <w:div w:id="816456358">
      <w:bodyDiv w:val="1"/>
      <w:marLeft w:val="0"/>
      <w:marRight w:val="0"/>
      <w:marTop w:val="0"/>
      <w:marBottom w:val="0"/>
      <w:divBdr>
        <w:top w:val="none" w:sz="0" w:space="0" w:color="auto"/>
        <w:left w:val="none" w:sz="0" w:space="0" w:color="auto"/>
        <w:bottom w:val="none" w:sz="0" w:space="0" w:color="auto"/>
        <w:right w:val="none" w:sz="0" w:space="0" w:color="auto"/>
      </w:divBdr>
    </w:div>
    <w:div w:id="817650844">
      <w:bodyDiv w:val="1"/>
      <w:marLeft w:val="0"/>
      <w:marRight w:val="0"/>
      <w:marTop w:val="0"/>
      <w:marBottom w:val="0"/>
      <w:divBdr>
        <w:top w:val="none" w:sz="0" w:space="0" w:color="auto"/>
        <w:left w:val="none" w:sz="0" w:space="0" w:color="auto"/>
        <w:bottom w:val="none" w:sz="0" w:space="0" w:color="auto"/>
        <w:right w:val="none" w:sz="0" w:space="0" w:color="auto"/>
      </w:divBdr>
    </w:div>
    <w:div w:id="822501620">
      <w:bodyDiv w:val="1"/>
      <w:marLeft w:val="0"/>
      <w:marRight w:val="0"/>
      <w:marTop w:val="0"/>
      <w:marBottom w:val="0"/>
      <w:divBdr>
        <w:top w:val="none" w:sz="0" w:space="0" w:color="auto"/>
        <w:left w:val="none" w:sz="0" w:space="0" w:color="auto"/>
        <w:bottom w:val="none" w:sz="0" w:space="0" w:color="auto"/>
        <w:right w:val="none" w:sz="0" w:space="0" w:color="auto"/>
      </w:divBdr>
    </w:div>
    <w:div w:id="828861695">
      <w:bodyDiv w:val="1"/>
      <w:marLeft w:val="0"/>
      <w:marRight w:val="0"/>
      <w:marTop w:val="0"/>
      <w:marBottom w:val="0"/>
      <w:divBdr>
        <w:top w:val="none" w:sz="0" w:space="0" w:color="auto"/>
        <w:left w:val="none" w:sz="0" w:space="0" w:color="auto"/>
        <w:bottom w:val="none" w:sz="0" w:space="0" w:color="auto"/>
        <w:right w:val="none" w:sz="0" w:space="0" w:color="auto"/>
      </w:divBdr>
    </w:div>
    <w:div w:id="828905177">
      <w:bodyDiv w:val="1"/>
      <w:marLeft w:val="0"/>
      <w:marRight w:val="0"/>
      <w:marTop w:val="0"/>
      <w:marBottom w:val="0"/>
      <w:divBdr>
        <w:top w:val="none" w:sz="0" w:space="0" w:color="auto"/>
        <w:left w:val="none" w:sz="0" w:space="0" w:color="auto"/>
        <w:bottom w:val="none" w:sz="0" w:space="0" w:color="auto"/>
        <w:right w:val="none" w:sz="0" w:space="0" w:color="auto"/>
      </w:divBdr>
    </w:div>
    <w:div w:id="831481584">
      <w:bodyDiv w:val="1"/>
      <w:marLeft w:val="0"/>
      <w:marRight w:val="0"/>
      <w:marTop w:val="0"/>
      <w:marBottom w:val="0"/>
      <w:divBdr>
        <w:top w:val="none" w:sz="0" w:space="0" w:color="auto"/>
        <w:left w:val="none" w:sz="0" w:space="0" w:color="auto"/>
        <w:bottom w:val="none" w:sz="0" w:space="0" w:color="auto"/>
        <w:right w:val="none" w:sz="0" w:space="0" w:color="auto"/>
      </w:divBdr>
    </w:div>
    <w:div w:id="832600761">
      <w:bodyDiv w:val="1"/>
      <w:marLeft w:val="0"/>
      <w:marRight w:val="0"/>
      <w:marTop w:val="0"/>
      <w:marBottom w:val="0"/>
      <w:divBdr>
        <w:top w:val="none" w:sz="0" w:space="0" w:color="auto"/>
        <w:left w:val="none" w:sz="0" w:space="0" w:color="auto"/>
        <w:bottom w:val="none" w:sz="0" w:space="0" w:color="auto"/>
        <w:right w:val="none" w:sz="0" w:space="0" w:color="auto"/>
      </w:divBdr>
    </w:div>
    <w:div w:id="833837401">
      <w:bodyDiv w:val="1"/>
      <w:marLeft w:val="0"/>
      <w:marRight w:val="0"/>
      <w:marTop w:val="0"/>
      <w:marBottom w:val="0"/>
      <w:divBdr>
        <w:top w:val="none" w:sz="0" w:space="0" w:color="auto"/>
        <w:left w:val="none" w:sz="0" w:space="0" w:color="auto"/>
        <w:bottom w:val="none" w:sz="0" w:space="0" w:color="auto"/>
        <w:right w:val="none" w:sz="0" w:space="0" w:color="auto"/>
      </w:divBdr>
    </w:div>
    <w:div w:id="841510480">
      <w:bodyDiv w:val="1"/>
      <w:marLeft w:val="0"/>
      <w:marRight w:val="0"/>
      <w:marTop w:val="0"/>
      <w:marBottom w:val="0"/>
      <w:divBdr>
        <w:top w:val="none" w:sz="0" w:space="0" w:color="auto"/>
        <w:left w:val="none" w:sz="0" w:space="0" w:color="auto"/>
        <w:bottom w:val="none" w:sz="0" w:space="0" w:color="auto"/>
        <w:right w:val="none" w:sz="0" w:space="0" w:color="auto"/>
      </w:divBdr>
    </w:div>
    <w:div w:id="845825116">
      <w:bodyDiv w:val="1"/>
      <w:marLeft w:val="0"/>
      <w:marRight w:val="0"/>
      <w:marTop w:val="0"/>
      <w:marBottom w:val="0"/>
      <w:divBdr>
        <w:top w:val="none" w:sz="0" w:space="0" w:color="auto"/>
        <w:left w:val="none" w:sz="0" w:space="0" w:color="auto"/>
        <w:bottom w:val="none" w:sz="0" w:space="0" w:color="auto"/>
        <w:right w:val="none" w:sz="0" w:space="0" w:color="auto"/>
      </w:divBdr>
    </w:div>
    <w:div w:id="849831613">
      <w:bodyDiv w:val="1"/>
      <w:marLeft w:val="0"/>
      <w:marRight w:val="0"/>
      <w:marTop w:val="0"/>
      <w:marBottom w:val="0"/>
      <w:divBdr>
        <w:top w:val="none" w:sz="0" w:space="0" w:color="auto"/>
        <w:left w:val="none" w:sz="0" w:space="0" w:color="auto"/>
        <w:bottom w:val="none" w:sz="0" w:space="0" w:color="auto"/>
        <w:right w:val="none" w:sz="0" w:space="0" w:color="auto"/>
      </w:divBdr>
    </w:div>
    <w:div w:id="850486398">
      <w:bodyDiv w:val="1"/>
      <w:marLeft w:val="0"/>
      <w:marRight w:val="0"/>
      <w:marTop w:val="0"/>
      <w:marBottom w:val="0"/>
      <w:divBdr>
        <w:top w:val="none" w:sz="0" w:space="0" w:color="auto"/>
        <w:left w:val="none" w:sz="0" w:space="0" w:color="auto"/>
        <w:bottom w:val="none" w:sz="0" w:space="0" w:color="auto"/>
        <w:right w:val="none" w:sz="0" w:space="0" w:color="auto"/>
      </w:divBdr>
    </w:div>
    <w:div w:id="852575041">
      <w:bodyDiv w:val="1"/>
      <w:marLeft w:val="0"/>
      <w:marRight w:val="0"/>
      <w:marTop w:val="0"/>
      <w:marBottom w:val="0"/>
      <w:divBdr>
        <w:top w:val="none" w:sz="0" w:space="0" w:color="auto"/>
        <w:left w:val="none" w:sz="0" w:space="0" w:color="auto"/>
        <w:bottom w:val="none" w:sz="0" w:space="0" w:color="auto"/>
        <w:right w:val="none" w:sz="0" w:space="0" w:color="auto"/>
      </w:divBdr>
    </w:div>
    <w:div w:id="856966634">
      <w:bodyDiv w:val="1"/>
      <w:marLeft w:val="0"/>
      <w:marRight w:val="0"/>
      <w:marTop w:val="0"/>
      <w:marBottom w:val="0"/>
      <w:divBdr>
        <w:top w:val="none" w:sz="0" w:space="0" w:color="auto"/>
        <w:left w:val="none" w:sz="0" w:space="0" w:color="auto"/>
        <w:bottom w:val="none" w:sz="0" w:space="0" w:color="auto"/>
        <w:right w:val="none" w:sz="0" w:space="0" w:color="auto"/>
      </w:divBdr>
    </w:div>
    <w:div w:id="857741140">
      <w:bodyDiv w:val="1"/>
      <w:marLeft w:val="0"/>
      <w:marRight w:val="0"/>
      <w:marTop w:val="0"/>
      <w:marBottom w:val="0"/>
      <w:divBdr>
        <w:top w:val="none" w:sz="0" w:space="0" w:color="auto"/>
        <w:left w:val="none" w:sz="0" w:space="0" w:color="auto"/>
        <w:bottom w:val="none" w:sz="0" w:space="0" w:color="auto"/>
        <w:right w:val="none" w:sz="0" w:space="0" w:color="auto"/>
      </w:divBdr>
    </w:div>
    <w:div w:id="861362273">
      <w:bodyDiv w:val="1"/>
      <w:marLeft w:val="0"/>
      <w:marRight w:val="0"/>
      <w:marTop w:val="0"/>
      <w:marBottom w:val="0"/>
      <w:divBdr>
        <w:top w:val="none" w:sz="0" w:space="0" w:color="auto"/>
        <w:left w:val="none" w:sz="0" w:space="0" w:color="auto"/>
        <w:bottom w:val="none" w:sz="0" w:space="0" w:color="auto"/>
        <w:right w:val="none" w:sz="0" w:space="0" w:color="auto"/>
      </w:divBdr>
    </w:div>
    <w:div w:id="862205677">
      <w:bodyDiv w:val="1"/>
      <w:marLeft w:val="0"/>
      <w:marRight w:val="0"/>
      <w:marTop w:val="0"/>
      <w:marBottom w:val="0"/>
      <w:divBdr>
        <w:top w:val="none" w:sz="0" w:space="0" w:color="auto"/>
        <w:left w:val="none" w:sz="0" w:space="0" w:color="auto"/>
        <w:bottom w:val="none" w:sz="0" w:space="0" w:color="auto"/>
        <w:right w:val="none" w:sz="0" w:space="0" w:color="auto"/>
      </w:divBdr>
    </w:div>
    <w:div w:id="865366570">
      <w:bodyDiv w:val="1"/>
      <w:marLeft w:val="0"/>
      <w:marRight w:val="0"/>
      <w:marTop w:val="0"/>
      <w:marBottom w:val="0"/>
      <w:divBdr>
        <w:top w:val="none" w:sz="0" w:space="0" w:color="auto"/>
        <w:left w:val="none" w:sz="0" w:space="0" w:color="auto"/>
        <w:bottom w:val="none" w:sz="0" w:space="0" w:color="auto"/>
        <w:right w:val="none" w:sz="0" w:space="0" w:color="auto"/>
      </w:divBdr>
    </w:div>
    <w:div w:id="877200331">
      <w:bodyDiv w:val="1"/>
      <w:marLeft w:val="0"/>
      <w:marRight w:val="0"/>
      <w:marTop w:val="0"/>
      <w:marBottom w:val="0"/>
      <w:divBdr>
        <w:top w:val="none" w:sz="0" w:space="0" w:color="auto"/>
        <w:left w:val="none" w:sz="0" w:space="0" w:color="auto"/>
        <w:bottom w:val="none" w:sz="0" w:space="0" w:color="auto"/>
        <w:right w:val="none" w:sz="0" w:space="0" w:color="auto"/>
      </w:divBdr>
    </w:div>
    <w:div w:id="881793138">
      <w:bodyDiv w:val="1"/>
      <w:marLeft w:val="0"/>
      <w:marRight w:val="0"/>
      <w:marTop w:val="0"/>
      <w:marBottom w:val="0"/>
      <w:divBdr>
        <w:top w:val="none" w:sz="0" w:space="0" w:color="auto"/>
        <w:left w:val="none" w:sz="0" w:space="0" w:color="auto"/>
        <w:bottom w:val="none" w:sz="0" w:space="0" w:color="auto"/>
        <w:right w:val="none" w:sz="0" w:space="0" w:color="auto"/>
      </w:divBdr>
    </w:div>
    <w:div w:id="882907524">
      <w:bodyDiv w:val="1"/>
      <w:marLeft w:val="0"/>
      <w:marRight w:val="0"/>
      <w:marTop w:val="0"/>
      <w:marBottom w:val="0"/>
      <w:divBdr>
        <w:top w:val="none" w:sz="0" w:space="0" w:color="auto"/>
        <w:left w:val="none" w:sz="0" w:space="0" w:color="auto"/>
        <w:bottom w:val="none" w:sz="0" w:space="0" w:color="auto"/>
        <w:right w:val="none" w:sz="0" w:space="0" w:color="auto"/>
      </w:divBdr>
    </w:div>
    <w:div w:id="883910700">
      <w:bodyDiv w:val="1"/>
      <w:marLeft w:val="0"/>
      <w:marRight w:val="0"/>
      <w:marTop w:val="0"/>
      <w:marBottom w:val="0"/>
      <w:divBdr>
        <w:top w:val="none" w:sz="0" w:space="0" w:color="auto"/>
        <w:left w:val="none" w:sz="0" w:space="0" w:color="auto"/>
        <w:bottom w:val="none" w:sz="0" w:space="0" w:color="auto"/>
        <w:right w:val="none" w:sz="0" w:space="0" w:color="auto"/>
      </w:divBdr>
    </w:div>
    <w:div w:id="884101690">
      <w:bodyDiv w:val="1"/>
      <w:marLeft w:val="0"/>
      <w:marRight w:val="0"/>
      <w:marTop w:val="0"/>
      <w:marBottom w:val="0"/>
      <w:divBdr>
        <w:top w:val="none" w:sz="0" w:space="0" w:color="auto"/>
        <w:left w:val="none" w:sz="0" w:space="0" w:color="auto"/>
        <w:bottom w:val="none" w:sz="0" w:space="0" w:color="auto"/>
        <w:right w:val="none" w:sz="0" w:space="0" w:color="auto"/>
      </w:divBdr>
    </w:div>
    <w:div w:id="890963012">
      <w:bodyDiv w:val="1"/>
      <w:marLeft w:val="0"/>
      <w:marRight w:val="0"/>
      <w:marTop w:val="0"/>
      <w:marBottom w:val="0"/>
      <w:divBdr>
        <w:top w:val="none" w:sz="0" w:space="0" w:color="auto"/>
        <w:left w:val="none" w:sz="0" w:space="0" w:color="auto"/>
        <w:bottom w:val="none" w:sz="0" w:space="0" w:color="auto"/>
        <w:right w:val="none" w:sz="0" w:space="0" w:color="auto"/>
      </w:divBdr>
    </w:div>
    <w:div w:id="890969358">
      <w:bodyDiv w:val="1"/>
      <w:marLeft w:val="0"/>
      <w:marRight w:val="0"/>
      <w:marTop w:val="0"/>
      <w:marBottom w:val="0"/>
      <w:divBdr>
        <w:top w:val="none" w:sz="0" w:space="0" w:color="auto"/>
        <w:left w:val="none" w:sz="0" w:space="0" w:color="auto"/>
        <w:bottom w:val="none" w:sz="0" w:space="0" w:color="auto"/>
        <w:right w:val="none" w:sz="0" w:space="0" w:color="auto"/>
      </w:divBdr>
    </w:div>
    <w:div w:id="897058952">
      <w:bodyDiv w:val="1"/>
      <w:marLeft w:val="0"/>
      <w:marRight w:val="0"/>
      <w:marTop w:val="0"/>
      <w:marBottom w:val="0"/>
      <w:divBdr>
        <w:top w:val="none" w:sz="0" w:space="0" w:color="auto"/>
        <w:left w:val="none" w:sz="0" w:space="0" w:color="auto"/>
        <w:bottom w:val="none" w:sz="0" w:space="0" w:color="auto"/>
        <w:right w:val="none" w:sz="0" w:space="0" w:color="auto"/>
      </w:divBdr>
    </w:div>
    <w:div w:id="898203446">
      <w:bodyDiv w:val="1"/>
      <w:marLeft w:val="0"/>
      <w:marRight w:val="0"/>
      <w:marTop w:val="0"/>
      <w:marBottom w:val="0"/>
      <w:divBdr>
        <w:top w:val="none" w:sz="0" w:space="0" w:color="auto"/>
        <w:left w:val="none" w:sz="0" w:space="0" w:color="auto"/>
        <w:bottom w:val="none" w:sz="0" w:space="0" w:color="auto"/>
        <w:right w:val="none" w:sz="0" w:space="0" w:color="auto"/>
      </w:divBdr>
    </w:div>
    <w:div w:id="900559730">
      <w:bodyDiv w:val="1"/>
      <w:marLeft w:val="0"/>
      <w:marRight w:val="0"/>
      <w:marTop w:val="0"/>
      <w:marBottom w:val="0"/>
      <w:divBdr>
        <w:top w:val="none" w:sz="0" w:space="0" w:color="auto"/>
        <w:left w:val="none" w:sz="0" w:space="0" w:color="auto"/>
        <w:bottom w:val="none" w:sz="0" w:space="0" w:color="auto"/>
        <w:right w:val="none" w:sz="0" w:space="0" w:color="auto"/>
      </w:divBdr>
    </w:div>
    <w:div w:id="905264337">
      <w:bodyDiv w:val="1"/>
      <w:marLeft w:val="0"/>
      <w:marRight w:val="0"/>
      <w:marTop w:val="0"/>
      <w:marBottom w:val="0"/>
      <w:divBdr>
        <w:top w:val="none" w:sz="0" w:space="0" w:color="auto"/>
        <w:left w:val="none" w:sz="0" w:space="0" w:color="auto"/>
        <w:bottom w:val="none" w:sz="0" w:space="0" w:color="auto"/>
        <w:right w:val="none" w:sz="0" w:space="0" w:color="auto"/>
      </w:divBdr>
    </w:div>
    <w:div w:id="909269074">
      <w:bodyDiv w:val="1"/>
      <w:marLeft w:val="0"/>
      <w:marRight w:val="0"/>
      <w:marTop w:val="0"/>
      <w:marBottom w:val="0"/>
      <w:divBdr>
        <w:top w:val="none" w:sz="0" w:space="0" w:color="auto"/>
        <w:left w:val="none" w:sz="0" w:space="0" w:color="auto"/>
        <w:bottom w:val="none" w:sz="0" w:space="0" w:color="auto"/>
        <w:right w:val="none" w:sz="0" w:space="0" w:color="auto"/>
      </w:divBdr>
    </w:div>
    <w:div w:id="910851827">
      <w:bodyDiv w:val="1"/>
      <w:marLeft w:val="0"/>
      <w:marRight w:val="0"/>
      <w:marTop w:val="0"/>
      <w:marBottom w:val="0"/>
      <w:divBdr>
        <w:top w:val="none" w:sz="0" w:space="0" w:color="auto"/>
        <w:left w:val="none" w:sz="0" w:space="0" w:color="auto"/>
        <w:bottom w:val="none" w:sz="0" w:space="0" w:color="auto"/>
        <w:right w:val="none" w:sz="0" w:space="0" w:color="auto"/>
      </w:divBdr>
    </w:div>
    <w:div w:id="911621779">
      <w:bodyDiv w:val="1"/>
      <w:marLeft w:val="0"/>
      <w:marRight w:val="0"/>
      <w:marTop w:val="0"/>
      <w:marBottom w:val="0"/>
      <w:divBdr>
        <w:top w:val="none" w:sz="0" w:space="0" w:color="auto"/>
        <w:left w:val="none" w:sz="0" w:space="0" w:color="auto"/>
        <w:bottom w:val="none" w:sz="0" w:space="0" w:color="auto"/>
        <w:right w:val="none" w:sz="0" w:space="0" w:color="auto"/>
      </w:divBdr>
    </w:div>
    <w:div w:id="912085669">
      <w:bodyDiv w:val="1"/>
      <w:marLeft w:val="0"/>
      <w:marRight w:val="0"/>
      <w:marTop w:val="0"/>
      <w:marBottom w:val="0"/>
      <w:divBdr>
        <w:top w:val="none" w:sz="0" w:space="0" w:color="auto"/>
        <w:left w:val="none" w:sz="0" w:space="0" w:color="auto"/>
        <w:bottom w:val="none" w:sz="0" w:space="0" w:color="auto"/>
        <w:right w:val="none" w:sz="0" w:space="0" w:color="auto"/>
      </w:divBdr>
    </w:div>
    <w:div w:id="912935937">
      <w:bodyDiv w:val="1"/>
      <w:marLeft w:val="0"/>
      <w:marRight w:val="0"/>
      <w:marTop w:val="0"/>
      <w:marBottom w:val="0"/>
      <w:divBdr>
        <w:top w:val="none" w:sz="0" w:space="0" w:color="auto"/>
        <w:left w:val="none" w:sz="0" w:space="0" w:color="auto"/>
        <w:bottom w:val="none" w:sz="0" w:space="0" w:color="auto"/>
        <w:right w:val="none" w:sz="0" w:space="0" w:color="auto"/>
      </w:divBdr>
    </w:div>
    <w:div w:id="913197252">
      <w:bodyDiv w:val="1"/>
      <w:marLeft w:val="0"/>
      <w:marRight w:val="0"/>
      <w:marTop w:val="0"/>
      <w:marBottom w:val="0"/>
      <w:divBdr>
        <w:top w:val="none" w:sz="0" w:space="0" w:color="auto"/>
        <w:left w:val="none" w:sz="0" w:space="0" w:color="auto"/>
        <w:bottom w:val="none" w:sz="0" w:space="0" w:color="auto"/>
        <w:right w:val="none" w:sz="0" w:space="0" w:color="auto"/>
      </w:divBdr>
    </w:div>
    <w:div w:id="915282498">
      <w:bodyDiv w:val="1"/>
      <w:marLeft w:val="0"/>
      <w:marRight w:val="0"/>
      <w:marTop w:val="0"/>
      <w:marBottom w:val="0"/>
      <w:divBdr>
        <w:top w:val="none" w:sz="0" w:space="0" w:color="auto"/>
        <w:left w:val="none" w:sz="0" w:space="0" w:color="auto"/>
        <w:bottom w:val="none" w:sz="0" w:space="0" w:color="auto"/>
        <w:right w:val="none" w:sz="0" w:space="0" w:color="auto"/>
      </w:divBdr>
    </w:div>
    <w:div w:id="919098578">
      <w:bodyDiv w:val="1"/>
      <w:marLeft w:val="0"/>
      <w:marRight w:val="0"/>
      <w:marTop w:val="0"/>
      <w:marBottom w:val="0"/>
      <w:divBdr>
        <w:top w:val="none" w:sz="0" w:space="0" w:color="auto"/>
        <w:left w:val="none" w:sz="0" w:space="0" w:color="auto"/>
        <w:bottom w:val="none" w:sz="0" w:space="0" w:color="auto"/>
        <w:right w:val="none" w:sz="0" w:space="0" w:color="auto"/>
      </w:divBdr>
    </w:div>
    <w:div w:id="923145562">
      <w:bodyDiv w:val="1"/>
      <w:marLeft w:val="0"/>
      <w:marRight w:val="0"/>
      <w:marTop w:val="0"/>
      <w:marBottom w:val="0"/>
      <w:divBdr>
        <w:top w:val="none" w:sz="0" w:space="0" w:color="auto"/>
        <w:left w:val="none" w:sz="0" w:space="0" w:color="auto"/>
        <w:bottom w:val="none" w:sz="0" w:space="0" w:color="auto"/>
        <w:right w:val="none" w:sz="0" w:space="0" w:color="auto"/>
      </w:divBdr>
    </w:div>
    <w:div w:id="923227260">
      <w:bodyDiv w:val="1"/>
      <w:marLeft w:val="0"/>
      <w:marRight w:val="0"/>
      <w:marTop w:val="0"/>
      <w:marBottom w:val="0"/>
      <w:divBdr>
        <w:top w:val="none" w:sz="0" w:space="0" w:color="auto"/>
        <w:left w:val="none" w:sz="0" w:space="0" w:color="auto"/>
        <w:bottom w:val="none" w:sz="0" w:space="0" w:color="auto"/>
        <w:right w:val="none" w:sz="0" w:space="0" w:color="auto"/>
      </w:divBdr>
    </w:div>
    <w:div w:id="932251345">
      <w:bodyDiv w:val="1"/>
      <w:marLeft w:val="0"/>
      <w:marRight w:val="0"/>
      <w:marTop w:val="0"/>
      <w:marBottom w:val="0"/>
      <w:divBdr>
        <w:top w:val="none" w:sz="0" w:space="0" w:color="auto"/>
        <w:left w:val="none" w:sz="0" w:space="0" w:color="auto"/>
        <w:bottom w:val="none" w:sz="0" w:space="0" w:color="auto"/>
        <w:right w:val="none" w:sz="0" w:space="0" w:color="auto"/>
      </w:divBdr>
    </w:div>
    <w:div w:id="932931996">
      <w:bodyDiv w:val="1"/>
      <w:marLeft w:val="0"/>
      <w:marRight w:val="0"/>
      <w:marTop w:val="0"/>
      <w:marBottom w:val="0"/>
      <w:divBdr>
        <w:top w:val="none" w:sz="0" w:space="0" w:color="auto"/>
        <w:left w:val="none" w:sz="0" w:space="0" w:color="auto"/>
        <w:bottom w:val="none" w:sz="0" w:space="0" w:color="auto"/>
        <w:right w:val="none" w:sz="0" w:space="0" w:color="auto"/>
      </w:divBdr>
    </w:div>
    <w:div w:id="933366646">
      <w:bodyDiv w:val="1"/>
      <w:marLeft w:val="0"/>
      <w:marRight w:val="0"/>
      <w:marTop w:val="0"/>
      <w:marBottom w:val="0"/>
      <w:divBdr>
        <w:top w:val="none" w:sz="0" w:space="0" w:color="auto"/>
        <w:left w:val="none" w:sz="0" w:space="0" w:color="auto"/>
        <w:bottom w:val="none" w:sz="0" w:space="0" w:color="auto"/>
        <w:right w:val="none" w:sz="0" w:space="0" w:color="auto"/>
      </w:divBdr>
    </w:div>
    <w:div w:id="934631341">
      <w:bodyDiv w:val="1"/>
      <w:marLeft w:val="0"/>
      <w:marRight w:val="0"/>
      <w:marTop w:val="0"/>
      <w:marBottom w:val="0"/>
      <w:divBdr>
        <w:top w:val="none" w:sz="0" w:space="0" w:color="auto"/>
        <w:left w:val="none" w:sz="0" w:space="0" w:color="auto"/>
        <w:bottom w:val="none" w:sz="0" w:space="0" w:color="auto"/>
        <w:right w:val="none" w:sz="0" w:space="0" w:color="auto"/>
      </w:divBdr>
    </w:div>
    <w:div w:id="935484103">
      <w:bodyDiv w:val="1"/>
      <w:marLeft w:val="0"/>
      <w:marRight w:val="0"/>
      <w:marTop w:val="0"/>
      <w:marBottom w:val="0"/>
      <w:divBdr>
        <w:top w:val="none" w:sz="0" w:space="0" w:color="auto"/>
        <w:left w:val="none" w:sz="0" w:space="0" w:color="auto"/>
        <w:bottom w:val="none" w:sz="0" w:space="0" w:color="auto"/>
        <w:right w:val="none" w:sz="0" w:space="0" w:color="auto"/>
      </w:divBdr>
    </w:div>
    <w:div w:id="936710806">
      <w:bodyDiv w:val="1"/>
      <w:marLeft w:val="0"/>
      <w:marRight w:val="0"/>
      <w:marTop w:val="0"/>
      <w:marBottom w:val="0"/>
      <w:divBdr>
        <w:top w:val="none" w:sz="0" w:space="0" w:color="auto"/>
        <w:left w:val="none" w:sz="0" w:space="0" w:color="auto"/>
        <w:bottom w:val="none" w:sz="0" w:space="0" w:color="auto"/>
        <w:right w:val="none" w:sz="0" w:space="0" w:color="auto"/>
      </w:divBdr>
    </w:div>
    <w:div w:id="937058438">
      <w:bodyDiv w:val="1"/>
      <w:marLeft w:val="0"/>
      <w:marRight w:val="0"/>
      <w:marTop w:val="0"/>
      <w:marBottom w:val="0"/>
      <w:divBdr>
        <w:top w:val="none" w:sz="0" w:space="0" w:color="auto"/>
        <w:left w:val="none" w:sz="0" w:space="0" w:color="auto"/>
        <w:bottom w:val="none" w:sz="0" w:space="0" w:color="auto"/>
        <w:right w:val="none" w:sz="0" w:space="0" w:color="auto"/>
      </w:divBdr>
    </w:div>
    <w:div w:id="938176263">
      <w:bodyDiv w:val="1"/>
      <w:marLeft w:val="0"/>
      <w:marRight w:val="0"/>
      <w:marTop w:val="0"/>
      <w:marBottom w:val="0"/>
      <w:divBdr>
        <w:top w:val="none" w:sz="0" w:space="0" w:color="auto"/>
        <w:left w:val="none" w:sz="0" w:space="0" w:color="auto"/>
        <w:bottom w:val="none" w:sz="0" w:space="0" w:color="auto"/>
        <w:right w:val="none" w:sz="0" w:space="0" w:color="auto"/>
      </w:divBdr>
    </w:div>
    <w:div w:id="939875901">
      <w:bodyDiv w:val="1"/>
      <w:marLeft w:val="0"/>
      <w:marRight w:val="0"/>
      <w:marTop w:val="0"/>
      <w:marBottom w:val="0"/>
      <w:divBdr>
        <w:top w:val="none" w:sz="0" w:space="0" w:color="auto"/>
        <w:left w:val="none" w:sz="0" w:space="0" w:color="auto"/>
        <w:bottom w:val="none" w:sz="0" w:space="0" w:color="auto"/>
        <w:right w:val="none" w:sz="0" w:space="0" w:color="auto"/>
      </w:divBdr>
    </w:div>
    <w:div w:id="940457043">
      <w:bodyDiv w:val="1"/>
      <w:marLeft w:val="0"/>
      <w:marRight w:val="0"/>
      <w:marTop w:val="0"/>
      <w:marBottom w:val="0"/>
      <w:divBdr>
        <w:top w:val="none" w:sz="0" w:space="0" w:color="auto"/>
        <w:left w:val="none" w:sz="0" w:space="0" w:color="auto"/>
        <w:bottom w:val="none" w:sz="0" w:space="0" w:color="auto"/>
        <w:right w:val="none" w:sz="0" w:space="0" w:color="auto"/>
      </w:divBdr>
    </w:div>
    <w:div w:id="940574313">
      <w:bodyDiv w:val="1"/>
      <w:marLeft w:val="0"/>
      <w:marRight w:val="0"/>
      <w:marTop w:val="0"/>
      <w:marBottom w:val="0"/>
      <w:divBdr>
        <w:top w:val="none" w:sz="0" w:space="0" w:color="auto"/>
        <w:left w:val="none" w:sz="0" w:space="0" w:color="auto"/>
        <w:bottom w:val="none" w:sz="0" w:space="0" w:color="auto"/>
        <w:right w:val="none" w:sz="0" w:space="0" w:color="auto"/>
      </w:divBdr>
    </w:div>
    <w:div w:id="940725842">
      <w:bodyDiv w:val="1"/>
      <w:marLeft w:val="0"/>
      <w:marRight w:val="0"/>
      <w:marTop w:val="0"/>
      <w:marBottom w:val="0"/>
      <w:divBdr>
        <w:top w:val="none" w:sz="0" w:space="0" w:color="auto"/>
        <w:left w:val="none" w:sz="0" w:space="0" w:color="auto"/>
        <w:bottom w:val="none" w:sz="0" w:space="0" w:color="auto"/>
        <w:right w:val="none" w:sz="0" w:space="0" w:color="auto"/>
      </w:divBdr>
    </w:div>
    <w:div w:id="941569615">
      <w:bodyDiv w:val="1"/>
      <w:marLeft w:val="0"/>
      <w:marRight w:val="0"/>
      <w:marTop w:val="0"/>
      <w:marBottom w:val="0"/>
      <w:divBdr>
        <w:top w:val="none" w:sz="0" w:space="0" w:color="auto"/>
        <w:left w:val="none" w:sz="0" w:space="0" w:color="auto"/>
        <w:bottom w:val="none" w:sz="0" w:space="0" w:color="auto"/>
        <w:right w:val="none" w:sz="0" w:space="0" w:color="auto"/>
      </w:divBdr>
    </w:div>
    <w:div w:id="948513769">
      <w:bodyDiv w:val="1"/>
      <w:marLeft w:val="0"/>
      <w:marRight w:val="0"/>
      <w:marTop w:val="0"/>
      <w:marBottom w:val="0"/>
      <w:divBdr>
        <w:top w:val="none" w:sz="0" w:space="0" w:color="auto"/>
        <w:left w:val="none" w:sz="0" w:space="0" w:color="auto"/>
        <w:bottom w:val="none" w:sz="0" w:space="0" w:color="auto"/>
        <w:right w:val="none" w:sz="0" w:space="0" w:color="auto"/>
      </w:divBdr>
    </w:div>
    <w:div w:id="950556075">
      <w:bodyDiv w:val="1"/>
      <w:marLeft w:val="0"/>
      <w:marRight w:val="0"/>
      <w:marTop w:val="0"/>
      <w:marBottom w:val="0"/>
      <w:divBdr>
        <w:top w:val="none" w:sz="0" w:space="0" w:color="auto"/>
        <w:left w:val="none" w:sz="0" w:space="0" w:color="auto"/>
        <w:bottom w:val="none" w:sz="0" w:space="0" w:color="auto"/>
        <w:right w:val="none" w:sz="0" w:space="0" w:color="auto"/>
      </w:divBdr>
    </w:div>
    <w:div w:id="953168705">
      <w:bodyDiv w:val="1"/>
      <w:marLeft w:val="0"/>
      <w:marRight w:val="0"/>
      <w:marTop w:val="0"/>
      <w:marBottom w:val="0"/>
      <w:divBdr>
        <w:top w:val="none" w:sz="0" w:space="0" w:color="auto"/>
        <w:left w:val="none" w:sz="0" w:space="0" w:color="auto"/>
        <w:bottom w:val="none" w:sz="0" w:space="0" w:color="auto"/>
        <w:right w:val="none" w:sz="0" w:space="0" w:color="auto"/>
      </w:divBdr>
    </w:div>
    <w:div w:id="954949272">
      <w:bodyDiv w:val="1"/>
      <w:marLeft w:val="0"/>
      <w:marRight w:val="0"/>
      <w:marTop w:val="0"/>
      <w:marBottom w:val="0"/>
      <w:divBdr>
        <w:top w:val="none" w:sz="0" w:space="0" w:color="auto"/>
        <w:left w:val="none" w:sz="0" w:space="0" w:color="auto"/>
        <w:bottom w:val="none" w:sz="0" w:space="0" w:color="auto"/>
        <w:right w:val="none" w:sz="0" w:space="0" w:color="auto"/>
      </w:divBdr>
    </w:div>
    <w:div w:id="955022426">
      <w:bodyDiv w:val="1"/>
      <w:marLeft w:val="0"/>
      <w:marRight w:val="0"/>
      <w:marTop w:val="0"/>
      <w:marBottom w:val="0"/>
      <w:divBdr>
        <w:top w:val="none" w:sz="0" w:space="0" w:color="auto"/>
        <w:left w:val="none" w:sz="0" w:space="0" w:color="auto"/>
        <w:bottom w:val="none" w:sz="0" w:space="0" w:color="auto"/>
        <w:right w:val="none" w:sz="0" w:space="0" w:color="auto"/>
      </w:divBdr>
    </w:div>
    <w:div w:id="962074476">
      <w:bodyDiv w:val="1"/>
      <w:marLeft w:val="0"/>
      <w:marRight w:val="0"/>
      <w:marTop w:val="0"/>
      <w:marBottom w:val="0"/>
      <w:divBdr>
        <w:top w:val="none" w:sz="0" w:space="0" w:color="auto"/>
        <w:left w:val="none" w:sz="0" w:space="0" w:color="auto"/>
        <w:bottom w:val="none" w:sz="0" w:space="0" w:color="auto"/>
        <w:right w:val="none" w:sz="0" w:space="0" w:color="auto"/>
      </w:divBdr>
    </w:div>
    <w:div w:id="963197029">
      <w:bodyDiv w:val="1"/>
      <w:marLeft w:val="0"/>
      <w:marRight w:val="0"/>
      <w:marTop w:val="0"/>
      <w:marBottom w:val="0"/>
      <w:divBdr>
        <w:top w:val="none" w:sz="0" w:space="0" w:color="auto"/>
        <w:left w:val="none" w:sz="0" w:space="0" w:color="auto"/>
        <w:bottom w:val="none" w:sz="0" w:space="0" w:color="auto"/>
        <w:right w:val="none" w:sz="0" w:space="0" w:color="auto"/>
      </w:divBdr>
    </w:div>
    <w:div w:id="963342280">
      <w:bodyDiv w:val="1"/>
      <w:marLeft w:val="0"/>
      <w:marRight w:val="0"/>
      <w:marTop w:val="0"/>
      <w:marBottom w:val="0"/>
      <w:divBdr>
        <w:top w:val="none" w:sz="0" w:space="0" w:color="auto"/>
        <w:left w:val="none" w:sz="0" w:space="0" w:color="auto"/>
        <w:bottom w:val="none" w:sz="0" w:space="0" w:color="auto"/>
        <w:right w:val="none" w:sz="0" w:space="0" w:color="auto"/>
      </w:divBdr>
    </w:div>
    <w:div w:id="976687875">
      <w:bodyDiv w:val="1"/>
      <w:marLeft w:val="0"/>
      <w:marRight w:val="0"/>
      <w:marTop w:val="0"/>
      <w:marBottom w:val="0"/>
      <w:divBdr>
        <w:top w:val="none" w:sz="0" w:space="0" w:color="auto"/>
        <w:left w:val="none" w:sz="0" w:space="0" w:color="auto"/>
        <w:bottom w:val="none" w:sz="0" w:space="0" w:color="auto"/>
        <w:right w:val="none" w:sz="0" w:space="0" w:color="auto"/>
      </w:divBdr>
    </w:div>
    <w:div w:id="983698215">
      <w:bodyDiv w:val="1"/>
      <w:marLeft w:val="0"/>
      <w:marRight w:val="0"/>
      <w:marTop w:val="0"/>
      <w:marBottom w:val="0"/>
      <w:divBdr>
        <w:top w:val="none" w:sz="0" w:space="0" w:color="auto"/>
        <w:left w:val="none" w:sz="0" w:space="0" w:color="auto"/>
        <w:bottom w:val="none" w:sz="0" w:space="0" w:color="auto"/>
        <w:right w:val="none" w:sz="0" w:space="0" w:color="auto"/>
      </w:divBdr>
    </w:div>
    <w:div w:id="983856318">
      <w:bodyDiv w:val="1"/>
      <w:marLeft w:val="0"/>
      <w:marRight w:val="0"/>
      <w:marTop w:val="0"/>
      <w:marBottom w:val="0"/>
      <w:divBdr>
        <w:top w:val="none" w:sz="0" w:space="0" w:color="auto"/>
        <w:left w:val="none" w:sz="0" w:space="0" w:color="auto"/>
        <w:bottom w:val="none" w:sz="0" w:space="0" w:color="auto"/>
        <w:right w:val="none" w:sz="0" w:space="0" w:color="auto"/>
      </w:divBdr>
    </w:div>
    <w:div w:id="989794908">
      <w:bodyDiv w:val="1"/>
      <w:marLeft w:val="0"/>
      <w:marRight w:val="0"/>
      <w:marTop w:val="0"/>
      <w:marBottom w:val="0"/>
      <w:divBdr>
        <w:top w:val="none" w:sz="0" w:space="0" w:color="auto"/>
        <w:left w:val="none" w:sz="0" w:space="0" w:color="auto"/>
        <w:bottom w:val="none" w:sz="0" w:space="0" w:color="auto"/>
        <w:right w:val="none" w:sz="0" w:space="0" w:color="auto"/>
      </w:divBdr>
    </w:div>
    <w:div w:id="991327879">
      <w:bodyDiv w:val="1"/>
      <w:marLeft w:val="0"/>
      <w:marRight w:val="0"/>
      <w:marTop w:val="0"/>
      <w:marBottom w:val="0"/>
      <w:divBdr>
        <w:top w:val="none" w:sz="0" w:space="0" w:color="auto"/>
        <w:left w:val="none" w:sz="0" w:space="0" w:color="auto"/>
        <w:bottom w:val="none" w:sz="0" w:space="0" w:color="auto"/>
        <w:right w:val="none" w:sz="0" w:space="0" w:color="auto"/>
      </w:divBdr>
    </w:div>
    <w:div w:id="993803316">
      <w:bodyDiv w:val="1"/>
      <w:marLeft w:val="0"/>
      <w:marRight w:val="0"/>
      <w:marTop w:val="0"/>
      <w:marBottom w:val="0"/>
      <w:divBdr>
        <w:top w:val="none" w:sz="0" w:space="0" w:color="auto"/>
        <w:left w:val="none" w:sz="0" w:space="0" w:color="auto"/>
        <w:bottom w:val="none" w:sz="0" w:space="0" w:color="auto"/>
        <w:right w:val="none" w:sz="0" w:space="0" w:color="auto"/>
      </w:divBdr>
    </w:div>
    <w:div w:id="996299197">
      <w:bodyDiv w:val="1"/>
      <w:marLeft w:val="0"/>
      <w:marRight w:val="0"/>
      <w:marTop w:val="0"/>
      <w:marBottom w:val="0"/>
      <w:divBdr>
        <w:top w:val="none" w:sz="0" w:space="0" w:color="auto"/>
        <w:left w:val="none" w:sz="0" w:space="0" w:color="auto"/>
        <w:bottom w:val="none" w:sz="0" w:space="0" w:color="auto"/>
        <w:right w:val="none" w:sz="0" w:space="0" w:color="auto"/>
      </w:divBdr>
    </w:div>
    <w:div w:id="996492625">
      <w:bodyDiv w:val="1"/>
      <w:marLeft w:val="0"/>
      <w:marRight w:val="0"/>
      <w:marTop w:val="0"/>
      <w:marBottom w:val="0"/>
      <w:divBdr>
        <w:top w:val="none" w:sz="0" w:space="0" w:color="auto"/>
        <w:left w:val="none" w:sz="0" w:space="0" w:color="auto"/>
        <w:bottom w:val="none" w:sz="0" w:space="0" w:color="auto"/>
        <w:right w:val="none" w:sz="0" w:space="0" w:color="auto"/>
      </w:divBdr>
    </w:div>
    <w:div w:id="1000622329">
      <w:bodyDiv w:val="1"/>
      <w:marLeft w:val="0"/>
      <w:marRight w:val="0"/>
      <w:marTop w:val="0"/>
      <w:marBottom w:val="0"/>
      <w:divBdr>
        <w:top w:val="none" w:sz="0" w:space="0" w:color="auto"/>
        <w:left w:val="none" w:sz="0" w:space="0" w:color="auto"/>
        <w:bottom w:val="none" w:sz="0" w:space="0" w:color="auto"/>
        <w:right w:val="none" w:sz="0" w:space="0" w:color="auto"/>
      </w:divBdr>
    </w:div>
    <w:div w:id="1003361704">
      <w:bodyDiv w:val="1"/>
      <w:marLeft w:val="0"/>
      <w:marRight w:val="0"/>
      <w:marTop w:val="0"/>
      <w:marBottom w:val="0"/>
      <w:divBdr>
        <w:top w:val="none" w:sz="0" w:space="0" w:color="auto"/>
        <w:left w:val="none" w:sz="0" w:space="0" w:color="auto"/>
        <w:bottom w:val="none" w:sz="0" w:space="0" w:color="auto"/>
        <w:right w:val="none" w:sz="0" w:space="0" w:color="auto"/>
      </w:divBdr>
    </w:div>
    <w:div w:id="1009911125">
      <w:bodyDiv w:val="1"/>
      <w:marLeft w:val="0"/>
      <w:marRight w:val="0"/>
      <w:marTop w:val="0"/>
      <w:marBottom w:val="0"/>
      <w:divBdr>
        <w:top w:val="none" w:sz="0" w:space="0" w:color="auto"/>
        <w:left w:val="none" w:sz="0" w:space="0" w:color="auto"/>
        <w:bottom w:val="none" w:sz="0" w:space="0" w:color="auto"/>
        <w:right w:val="none" w:sz="0" w:space="0" w:color="auto"/>
      </w:divBdr>
    </w:div>
    <w:div w:id="1010990104">
      <w:bodyDiv w:val="1"/>
      <w:marLeft w:val="0"/>
      <w:marRight w:val="0"/>
      <w:marTop w:val="0"/>
      <w:marBottom w:val="0"/>
      <w:divBdr>
        <w:top w:val="none" w:sz="0" w:space="0" w:color="auto"/>
        <w:left w:val="none" w:sz="0" w:space="0" w:color="auto"/>
        <w:bottom w:val="none" w:sz="0" w:space="0" w:color="auto"/>
        <w:right w:val="none" w:sz="0" w:space="0" w:color="auto"/>
      </w:divBdr>
    </w:div>
    <w:div w:id="1012685161">
      <w:bodyDiv w:val="1"/>
      <w:marLeft w:val="0"/>
      <w:marRight w:val="0"/>
      <w:marTop w:val="0"/>
      <w:marBottom w:val="0"/>
      <w:divBdr>
        <w:top w:val="none" w:sz="0" w:space="0" w:color="auto"/>
        <w:left w:val="none" w:sz="0" w:space="0" w:color="auto"/>
        <w:bottom w:val="none" w:sz="0" w:space="0" w:color="auto"/>
        <w:right w:val="none" w:sz="0" w:space="0" w:color="auto"/>
      </w:divBdr>
    </w:div>
    <w:div w:id="1013218741">
      <w:bodyDiv w:val="1"/>
      <w:marLeft w:val="0"/>
      <w:marRight w:val="0"/>
      <w:marTop w:val="0"/>
      <w:marBottom w:val="0"/>
      <w:divBdr>
        <w:top w:val="none" w:sz="0" w:space="0" w:color="auto"/>
        <w:left w:val="none" w:sz="0" w:space="0" w:color="auto"/>
        <w:bottom w:val="none" w:sz="0" w:space="0" w:color="auto"/>
        <w:right w:val="none" w:sz="0" w:space="0" w:color="auto"/>
      </w:divBdr>
    </w:div>
    <w:div w:id="1013454101">
      <w:bodyDiv w:val="1"/>
      <w:marLeft w:val="0"/>
      <w:marRight w:val="0"/>
      <w:marTop w:val="0"/>
      <w:marBottom w:val="0"/>
      <w:divBdr>
        <w:top w:val="none" w:sz="0" w:space="0" w:color="auto"/>
        <w:left w:val="none" w:sz="0" w:space="0" w:color="auto"/>
        <w:bottom w:val="none" w:sz="0" w:space="0" w:color="auto"/>
        <w:right w:val="none" w:sz="0" w:space="0" w:color="auto"/>
      </w:divBdr>
    </w:div>
    <w:div w:id="1019816986">
      <w:bodyDiv w:val="1"/>
      <w:marLeft w:val="0"/>
      <w:marRight w:val="0"/>
      <w:marTop w:val="0"/>
      <w:marBottom w:val="0"/>
      <w:divBdr>
        <w:top w:val="none" w:sz="0" w:space="0" w:color="auto"/>
        <w:left w:val="none" w:sz="0" w:space="0" w:color="auto"/>
        <w:bottom w:val="none" w:sz="0" w:space="0" w:color="auto"/>
        <w:right w:val="none" w:sz="0" w:space="0" w:color="auto"/>
      </w:divBdr>
    </w:div>
    <w:div w:id="1034229036">
      <w:bodyDiv w:val="1"/>
      <w:marLeft w:val="0"/>
      <w:marRight w:val="0"/>
      <w:marTop w:val="0"/>
      <w:marBottom w:val="0"/>
      <w:divBdr>
        <w:top w:val="none" w:sz="0" w:space="0" w:color="auto"/>
        <w:left w:val="none" w:sz="0" w:space="0" w:color="auto"/>
        <w:bottom w:val="none" w:sz="0" w:space="0" w:color="auto"/>
        <w:right w:val="none" w:sz="0" w:space="0" w:color="auto"/>
      </w:divBdr>
    </w:div>
    <w:div w:id="1036976197">
      <w:bodyDiv w:val="1"/>
      <w:marLeft w:val="0"/>
      <w:marRight w:val="0"/>
      <w:marTop w:val="0"/>
      <w:marBottom w:val="0"/>
      <w:divBdr>
        <w:top w:val="none" w:sz="0" w:space="0" w:color="auto"/>
        <w:left w:val="none" w:sz="0" w:space="0" w:color="auto"/>
        <w:bottom w:val="none" w:sz="0" w:space="0" w:color="auto"/>
        <w:right w:val="none" w:sz="0" w:space="0" w:color="auto"/>
      </w:divBdr>
    </w:div>
    <w:div w:id="1038509936">
      <w:bodyDiv w:val="1"/>
      <w:marLeft w:val="0"/>
      <w:marRight w:val="0"/>
      <w:marTop w:val="0"/>
      <w:marBottom w:val="0"/>
      <w:divBdr>
        <w:top w:val="none" w:sz="0" w:space="0" w:color="auto"/>
        <w:left w:val="none" w:sz="0" w:space="0" w:color="auto"/>
        <w:bottom w:val="none" w:sz="0" w:space="0" w:color="auto"/>
        <w:right w:val="none" w:sz="0" w:space="0" w:color="auto"/>
      </w:divBdr>
    </w:div>
    <w:div w:id="1039014577">
      <w:bodyDiv w:val="1"/>
      <w:marLeft w:val="0"/>
      <w:marRight w:val="0"/>
      <w:marTop w:val="0"/>
      <w:marBottom w:val="0"/>
      <w:divBdr>
        <w:top w:val="none" w:sz="0" w:space="0" w:color="auto"/>
        <w:left w:val="none" w:sz="0" w:space="0" w:color="auto"/>
        <w:bottom w:val="none" w:sz="0" w:space="0" w:color="auto"/>
        <w:right w:val="none" w:sz="0" w:space="0" w:color="auto"/>
      </w:divBdr>
    </w:div>
    <w:div w:id="1039940329">
      <w:bodyDiv w:val="1"/>
      <w:marLeft w:val="0"/>
      <w:marRight w:val="0"/>
      <w:marTop w:val="0"/>
      <w:marBottom w:val="0"/>
      <w:divBdr>
        <w:top w:val="none" w:sz="0" w:space="0" w:color="auto"/>
        <w:left w:val="none" w:sz="0" w:space="0" w:color="auto"/>
        <w:bottom w:val="none" w:sz="0" w:space="0" w:color="auto"/>
        <w:right w:val="none" w:sz="0" w:space="0" w:color="auto"/>
      </w:divBdr>
    </w:div>
    <w:div w:id="1040126635">
      <w:bodyDiv w:val="1"/>
      <w:marLeft w:val="0"/>
      <w:marRight w:val="0"/>
      <w:marTop w:val="0"/>
      <w:marBottom w:val="0"/>
      <w:divBdr>
        <w:top w:val="none" w:sz="0" w:space="0" w:color="auto"/>
        <w:left w:val="none" w:sz="0" w:space="0" w:color="auto"/>
        <w:bottom w:val="none" w:sz="0" w:space="0" w:color="auto"/>
        <w:right w:val="none" w:sz="0" w:space="0" w:color="auto"/>
      </w:divBdr>
    </w:div>
    <w:div w:id="1040401209">
      <w:bodyDiv w:val="1"/>
      <w:marLeft w:val="0"/>
      <w:marRight w:val="0"/>
      <w:marTop w:val="0"/>
      <w:marBottom w:val="0"/>
      <w:divBdr>
        <w:top w:val="none" w:sz="0" w:space="0" w:color="auto"/>
        <w:left w:val="none" w:sz="0" w:space="0" w:color="auto"/>
        <w:bottom w:val="none" w:sz="0" w:space="0" w:color="auto"/>
        <w:right w:val="none" w:sz="0" w:space="0" w:color="auto"/>
      </w:divBdr>
    </w:div>
    <w:div w:id="1047679427">
      <w:bodyDiv w:val="1"/>
      <w:marLeft w:val="0"/>
      <w:marRight w:val="0"/>
      <w:marTop w:val="0"/>
      <w:marBottom w:val="0"/>
      <w:divBdr>
        <w:top w:val="none" w:sz="0" w:space="0" w:color="auto"/>
        <w:left w:val="none" w:sz="0" w:space="0" w:color="auto"/>
        <w:bottom w:val="none" w:sz="0" w:space="0" w:color="auto"/>
        <w:right w:val="none" w:sz="0" w:space="0" w:color="auto"/>
      </w:divBdr>
    </w:div>
    <w:div w:id="1052383346">
      <w:bodyDiv w:val="1"/>
      <w:marLeft w:val="0"/>
      <w:marRight w:val="0"/>
      <w:marTop w:val="0"/>
      <w:marBottom w:val="0"/>
      <w:divBdr>
        <w:top w:val="none" w:sz="0" w:space="0" w:color="auto"/>
        <w:left w:val="none" w:sz="0" w:space="0" w:color="auto"/>
        <w:bottom w:val="none" w:sz="0" w:space="0" w:color="auto"/>
        <w:right w:val="none" w:sz="0" w:space="0" w:color="auto"/>
      </w:divBdr>
    </w:div>
    <w:div w:id="1052657320">
      <w:bodyDiv w:val="1"/>
      <w:marLeft w:val="0"/>
      <w:marRight w:val="0"/>
      <w:marTop w:val="0"/>
      <w:marBottom w:val="0"/>
      <w:divBdr>
        <w:top w:val="none" w:sz="0" w:space="0" w:color="auto"/>
        <w:left w:val="none" w:sz="0" w:space="0" w:color="auto"/>
        <w:bottom w:val="none" w:sz="0" w:space="0" w:color="auto"/>
        <w:right w:val="none" w:sz="0" w:space="0" w:color="auto"/>
      </w:divBdr>
    </w:div>
    <w:div w:id="1053886331">
      <w:bodyDiv w:val="1"/>
      <w:marLeft w:val="0"/>
      <w:marRight w:val="0"/>
      <w:marTop w:val="0"/>
      <w:marBottom w:val="0"/>
      <w:divBdr>
        <w:top w:val="none" w:sz="0" w:space="0" w:color="auto"/>
        <w:left w:val="none" w:sz="0" w:space="0" w:color="auto"/>
        <w:bottom w:val="none" w:sz="0" w:space="0" w:color="auto"/>
        <w:right w:val="none" w:sz="0" w:space="0" w:color="auto"/>
      </w:divBdr>
    </w:div>
    <w:div w:id="1054891539">
      <w:bodyDiv w:val="1"/>
      <w:marLeft w:val="0"/>
      <w:marRight w:val="0"/>
      <w:marTop w:val="0"/>
      <w:marBottom w:val="0"/>
      <w:divBdr>
        <w:top w:val="none" w:sz="0" w:space="0" w:color="auto"/>
        <w:left w:val="none" w:sz="0" w:space="0" w:color="auto"/>
        <w:bottom w:val="none" w:sz="0" w:space="0" w:color="auto"/>
        <w:right w:val="none" w:sz="0" w:space="0" w:color="auto"/>
      </w:divBdr>
    </w:div>
    <w:div w:id="1059279774">
      <w:bodyDiv w:val="1"/>
      <w:marLeft w:val="0"/>
      <w:marRight w:val="0"/>
      <w:marTop w:val="0"/>
      <w:marBottom w:val="0"/>
      <w:divBdr>
        <w:top w:val="none" w:sz="0" w:space="0" w:color="auto"/>
        <w:left w:val="none" w:sz="0" w:space="0" w:color="auto"/>
        <w:bottom w:val="none" w:sz="0" w:space="0" w:color="auto"/>
        <w:right w:val="none" w:sz="0" w:space="0" w:color="auto"/>
      </w:divBdr>
    </w:div>
    <w:div w:id="1059939880">
      <w:bodyDiv w:val="1"/>
      <w:marLeft w:val="0"/>
      <w:marRight w:val="0"/>
      <w:marTop w:val="0"/>
      <w:marBottom w:val="0"/>
      <w:divBdr>
        <w:top w:val="none" w:sz="0" w:space="0" w:color="auto"/>
        <w:left w:val="none" w:sz="0" w:space="0" w:color="auto"/>
        <w:bottom w:val="none" w:sz="0" w:space="0" w:color="auto"/>
        <w:right w:val="none" w:sz="0" w:space="0" w:color="auto"/>
      </w:divBdr>
    </w:div>
    <w:div w:id="1062557957">
      <w:bodyDiv w:val="1"/>
      <w:marLeft w:val="0"/>
      <w:marRight w:val="0"/>
      <w:marTop w:val="0"/>
      <w:marBottom w:val="0"/>
      <w:divBdr>
        <w:top w:val="none" w:sz="0" w:space="0" w:color="auto"/>
        <w:left w:val="none" w:sz="0" w:space="0" w:color="auto"/>
        <w:bottom w:val="none" w:sz="0" w:space="0" w:color="auto"/>
        <w:right w:val="none" w:sz="0" w:space="0" w:color="auto"/>
      </w:divBdr>
    </w:div>
    <w:div w:id="1070882653">
      <w:bodyDiv w:val="1"/>
      <w:marLeft w:val="0"/>
      <w:marRight w:val="0"/>
      <w:marTop w:val="0"/>
      <w:marBottom w:val="0"/>
      <w:divBdr>
        <w:top w:val="none" w:sz="0" w:space="0" w:color="auto"/>
        <w:left w:val="none" w:sz="0" w:space="0" w:color="auto"/>
        <w:bottom w:val="none" w:sz="0" w:space="0" w:color="auto"/>
        <w:right w:val="none" w:sz="0" w:space="0" w:color="auto"/>
      </w:divBdr>
    </w:div>
    <w:div w:id="1072972961">
      <w:bodyDiv w:val="1"/>
      <w:marLeft w:val="0"/>
      <w:marRight w:val="0"/>
      <w:marTop w:val="0"/>
      <w:marBottom w:val="0"/>
      <w:divBdr>
        <w:top w:val="none" w:sz="0" w:space="0" w:color="auto"/>
        <w:left w:val="none" w:sz="0" w:space="0" w:color="auto"/>
        <w:bottom w:val="none" w:sz="0" w:space="0" w:color="auto"/>
        <w:right w:val="none" w:sz="0" w:space="0" w:color="auto"/>
      </w:divBdr>
    </w:div>
    <w:div w:id="1075854182">
      <w:bodyDiv w:val="1"/>
      <w:marLeft w:val="0"/>
      <w:marRight w:val="0"/>
      <w:marTop w:val="0"/>
      <w:marBottom w:val="0"/>
      <w:divBdr>
        <w:top w:val="none" w:sz="0" w:space="0" w:color="auto"/>
        <w:left w:val="none" w:sz="0" w:space="0" w:color="auto"/>
        <w:bottom w:val="none" w:sz="0" w:space="0" w:color="auto"/>
        <w:right w:val="none" w:sz="0" w:space="0" w:color="auto"/>
      </w:divBdr>
    </w:div>
    <w:div w:id="1077901189">
      <w:bodyDiv w:val="1"/>
      <w:marLeft w:val="0"/>
      <w:marRight w:val="0"/>
      <w:marTop w:val="0"/>
      <w:marBottom w:val="0"/>
      <w:divBdr>
        <w:top w:val="none" w:sz="0" w:space="0" w:color="auto"/>
        <w:left w:val="none" w:sz="0" w:space="0" w:color="auto"/>
        <w:bottom w:val="none" w:sz="0" w:space="0" w:color="auto"/>
        <w:right w:val="none" w:sz="0" w:space="0" w:color="auto"/>
      </w:divBdr>
    </w:div>
    <w:div w:id="1084648655">
      <w:bodyDiv w:val="1"/>
      <w:marLeft w:val="0"/>
      <w:marRight w:val="0"/>
      <w:marTop w:val="0"/>
      <w:marBottom w:val="0"/>
      <w:divBdr>
        <w:top w:val="none" w:sz="0" w:space="0" w:color="auto"/>
        <w:left w:val="none" w:sz="0" w:space="0" w:color="auto"/>
        <w:bottom w:val="none" w:sz="0" w:space="0" w:color="auto"/>
        <w:right w:val="none" w:sz="0" w:space="0" w:color="auto"/>
      </w:divBdr>
    </w:div>
    <w:div w:id="1085225869">
      <w:bodyDiv w:val="1"/>
      <w:marLeft w:val="0"/>
      <w:marRight w:val="0"/>
      <w:marTop w:val="0"/>
      <w:marBottom w:val="0"/>
      <w:divBdr>
        <w:top w:val="none" w:sz="0" w:space="0" w:color="auto"/>
        <w:left w:val="none" w:sz="0" w:space="0" w:color="auto"/>
        <w:bottom w:val="none" w:sz="0" w:space="0" w:color="auto"/>
        <w:right w:val="none" w:sz="0" w:space="0" w:color="auto"/>
      </w:divBdr>
    </w:div>
    <w:div w:id="1085805884">
      <w:bodyDiv w:val="1"/>
      <w:marLeft w:val="0"/>
      <w:marRight w:val="0"/>
      <w:marTop w:val="0"/>
      <w:marBottom w:val="0"/>
      <w:divBdr>
        <w:top w:val="none" w:sz="0" w:space="0" w:color="auto"/>
        <w:left w:val="none" w:sz="0" w:space="0" w:color="auto"/>
        <w:bottom w:val="none" w:sz="0" w:space="0" w:color="auto"/>
        <w:right w:val="none" w:sz="0" w:space="0" w:color="auto"/>
      </w:divBdr>
    </w:div>
    <w:div w:id="1089738405">
      <w:bodyDiv w:val="1"/>
      <w:marLeft w:val="0"/>
      <w:marRight w:val="0"/>
      <w:marTop w:val="0"/>
      <w:marBottom w:val="0"/>
      <w:divBdr>
        <w:top w:val="none" w:sz="0" w:space="0" w:color="auto"/>
        <w:left w:val="none" w:sz="0" w:space="0" w:color="auto"/>
        <w:bottom w:val="none" w:sz="0" w:space="0" w:color="auto"/>
        <w:right w:val="none" w:sz="0" w:space="0" w:color="auto"/>
      </w:divBdr>
    </w:div>
    <w:div w:id="1091394656">
      <w:bodyDiv w:val="1"/>
      <w:marLeft w:val="0"/>
      <w:marRight w:val="0"/>
      <w:marTop w:val="0"/>
      <w:marBottom w:val="0"/>
      <w:divBdr>
        <w:top w:val="none" w:sz="0" w:space="0" w:color="auto"/>
        <w:left w:val="none" w:sz="0" w:space="0" w:color="auto"/>
        <w:bottom w:val="none" w:sz="0" w:space="0" w:color="auto"/>
        <w:right w:val="none" w:sz="0" w:space="0" w:color="auto"/>
      </w:divBdr>
    </w:div>
    <w:div w:id="1096556598">
      <w:bodyDiv w:val="1"/>
      <w:marLeft w:val="0"/>
      <w:marRight w:val="0"/>
      <w:marTop w:val="0"/>
      <w:marBottom w:val="0"/>
      <w:divBdr>
        <w:top w:val="none" w:sz="0" w:space="0" w:color="auto"/>
        <w:left w:val="none" w:sz="0" w:space="0" w:color="auto"/>
        <w:bottom w:val="none" w:sz="0" w:space="0" w:color="auto"/>
        <w:right w:val="none" w:sz="0" w:space="0" w:color="auto"/>
      </w:divBdr>
    </w:div>
    <w:div w:id="1097284611">
      <w:bodyDiv w:val="1"/>
      <w:marLeft w:val="0"/>
      <w:marRight w:val="0"/>
      <w:marTop w:val="0"/>
      <w:marBottom w:val="0"/>
      <w:divBdr>
        <w:top w:val="none" w:sz="0" w:space="0" w:color="auto"/>
        <w:left w:val="none" w:sz="0" w:space="0" w:color="auto"/>
        <w:bottom w:val="none" w:sz="0" w:space="0" w:color="auto"/>
        <w:right w:val="none" w:sz="0" w:space="0" w:color="auto"/>
      </w:divBdr>
    </w:div>
    <w:div w:id="1101990918">
      <w:bodyDiv w:val="1"/>
      <w:marLeft w:val="0"/>
      <w:marRight w:val="0"/>
      <w:marTop w:val="0"/>
      <w:marBottom w:val="0"/>
      <w:divBdr>
        <w:top w:val="none" w:sz="0" w:space="0" w:color="auto"/>
        <w:left w:val="none" w:sz="0" w:space="0" w:color="auto"/>
        <w:bottom w:val="none" w:sz="0" w:space="0" w:color="auto"/>
        <w:right w:val="none" w:sz="0" w:space="0" w:color="auto"/>
      </w:divBdr>
    </w:div>
    <w:div w:id="1107427634">
      <w:bodyDiv w:val="1"/>
      <w:marLeft w:val="0"/>
      <w:marRight w:val="0"/>
      <w:marTop w:val="0"/>
      <w:marBottom w:val="0"/>
      <w:divBdr>
        <w:top w:val="none" w:sz="0" w:space="0" w:color="auto"/>
        <w:left w:val="none" w:sz="0" w:space="0" w:color="auto"/>
        <w:bottom w:val="none" w:sz="0" w:space="0" w:color="auto"/>
        <w:right w:val="none" w:sz="0" w:space="0" w:color="auto"/>
      </w:divBdr>
    </w:div>
    <w:div w:id="1107577028">
      <w:bodyDiv w:val="1"/>
      <w:marLeft w:val="0"/>
      <w:marRight w:val="0"/>
      <w:marTop w:val="0"/>
      <w:marBottom w:val="0"/>
      <w:divBdr>
        <w:top w:val="none" w:sz="0" w:space="0" w:color="auto"/>
        <w:left w:val="none" w:sz="0" w:space="0" w:color="auto"/>
        <w:bottom w:val="none" w:sz="0" w:space="0" w:color="auto"/>
        <w:right w:val="none" w:sz="0" w:space="0" w:color="auto"/>
      </w:divBdr>
    </w:div>
    <w:div w:id="1110245539">
      <w:bodyDiv w:val="1"/>
      <w:marLeft w:val="0"/>
      <w:marRight w:val="0"/>
      <w:marTop w:val="0"/>
      <w:marBottom w:val="0"/>
      <w:divBdr>
        <w:top w:val="none" w:sz="0" w:space="0" w:color="auto"/>
        <w:left w:val="none" w:sz="0" w:space="0" w:color="auto"/>
        <w:bottom w:val="none" w:sz="0" w:space="0" w:color="auto"/>
        <w:right w:val="none" w:sz="0" w:space="0" w:color="auto"/>
      </w:divBdr>
    </w:div>
    <w:div w:id="1114057422">
      <w:bodyDiv w:val="1"/>
      <w:marLeft w:val="0"/>
      <w:marRight w:val="0"/>
      <w:marTop w:val="0"/>
      <w:marBottom w:val="0"/>
      <w:divBdr>
        <w:top w:val="none" w:sz="0" w:space="0" w:color="auto"/>
        <w:left w:val="none" w:sz="0" w:space="0" w:color="auto"/>
        <w:bottom w:val="none" w:sz="0" w:space="0" w:color="auto"/>
        <w:right w:val="none" w:sz="0" w:space="0" w:color="auto"/>
      </w:divBdr>
    </w:div>
    <w:div w:id="1114591585">
      <w:bodyDiv w:val="1"/>
      <w:marLeft w:val="0"/>
      <w:marRight w:val="0"/>
      <w:marTop w:val="0"/>
      <w:marBottom w:val="0"/>
      <w:divBdr>
        <w:top w:val="none" w:sz="0" w:space="0" w:color="auto"/>
        <w:left w:val="none" w:sz="0" w:space="0" w:color="auto"/>
        <w:bottom w:val="none" w:sz="0" w:space="0" w:color="auto"/>
        <w:right w:val="none" w:sz="0" w:space="0" w:color="auto"/>
      </w:divBdr>
    </w:div>
    <w:div w:id="1122653514">
      <w:bodyDiv w:val="1"/>
      <w:marLeft w:val="0"/>
      <w:marRight w:val="0"/>
      <w:marTop w:val="0"/>
      <w:marBottom w:val="0"/>
      <w:divBdr>
        <w:top w:val="none" w:sz="0" w:space="0" w:color="auto"/>
        <w:left w:val="none" w:sz="0" w:space="0" w:color="auto"/>
        <w:bottom w:val="none" w:sz="0" w:space="0" w:color="auto"/>
        <w:right w:val="none" w:sz="0" w:space="0" w:color="auto"/>
      </w:divBdr>
    </w:div>
    <w:div w:id="1124663841">
      <w:bodyDiv w:val="1"/>
      <w:marLeft w:val="0"/>
      <w:marRight w:val="0"/>
      <w:marTop w:val="0"/>
      <w:marBottom w:val="0"/>
      <w:divBdr>
        <w:top w:val="none" w:sz="0" w:space="0" w:color="auto"/>
        <w:left w:val="none" w:sz="0" w:space="0" w:color="auto"/>
        <w:bottom w:val="none" w:sz="0" w:space="0" w:color="auto"/>
        <w:right w:val="none" w:sz="0" w:space="0" w:color="auto"/>
      </w:divBdr>
    </w:div>
    <w:div w:id="1126004761">
      <w:bodyDiv w:val="1"/>
      <w:marLeft w:val="0"/>
      <w:marRight w:val="0"/>
      <w:marTop w:val="0"/>
      <w:marBottom w:val="0"/>
      <w:divBdr>
        <w:top w:val="none" w:sz="0" w:space="0" w:color="auto"/>
        <w:left w:val="none" w:sz="0" w:space="0" w:color="auto"/>
        <w:bottom w:val="none" w:sz="0" w:space="0" w:color="auto"/>
        <w:right w:val="none" w:sz="0" w:space="0" w:color="auto"/>
      </w:divBdr>
    </w:div>
    <w:div w:id="1126969301">
      <w:bodyDiv w:val="1"/>
      <w:marLeft w:val="0"/>
      <w:marRight w:val="0"/>
      <w:marTop w:val="0"/>
      <w:marBottom w:val="0"/>
      <w:divBdr>
        <w:top w:val="none" w:sz="0" w:space="0" w:color="auto"/>
        <w:left w:val="none" w:sz="0" w:space="0" w:color="auto"/>
        <w:bottom w:val="none" w:sz="0" w:space="0" w:color="auto"/>
        <w:right w:val="none" w:sz="0" w:space="0" w:color="auto"/>
      </w:divBdr>
    </w:div>
    <w:div w:id="1128281728">
      <w:bodyDiv w:val="1"/>
      <w:marLeft w:val="0"/>
      <w:marRight w:val="0"/>
      <w:marTop w:val="0"/>
      <w:marBottom w:val="0"/>
      <w:divBdr>
        <w:top w:val="none" w:sz="0" w:space="0" w:color="auto"/>
        <w:left w:val="none" w:sz="0" w:space="0" w:color="auto"/>
        <w:bottom w:val="none" w:sz="0" w:space="0" w:color="auto"/>
        <w:right w:val="none" w:sz="0" w:space="0" w:color="auto"/>
      </w:divBdr>
    </w:div>
    <w:div w:id="1132332405">
      <w:bodyDiv w:val="1"/>
      <w:marLeft w:val="0"/>
      <w:marRight w:val="0"/>
      <w:marTop w:val="0"/>
      <w:marBottom w:val="0"/>
      <w:divBdr>
        <w:top w:val="none" w:sz="0" w:space="0" w:color="auto"/>
        <w:left w:val="none" w:sz="0" w:space="0" w:color="auto"/>
        <w:bottom w:val="none" w:sz="0" w:space="0" w:color="auto"/>
        <w:right w:val="none" w:sz="0" w:space="0" w:color="auto"/>
      </w:divBdr>
    </w:div>
    <w:div w:id="1132747258">
      <w:bodyDiv w:val="1"/>
      <w:marLeft w:val="0"/>
      <w:marRight w:val="0"/>
      <w:marTop w:val="0"/>
      <w:marBottom w:val="0"/>
      <w:divBdr>
        <w:top w:val="none" w:sz="0" w:space="0" w:color="auto"/>
        <w:left w:val="none" w:sz="0" w:space="0" w:color="auto"/>
        <w:bottom w:val="none" w:sz="0" w:space="0" w:color="auto"/>
        <w:right w:val="none" w:sz="0" w:space="0" w:color="auto"/>
      </w:divBdr>
    </w:div>
    <w:div w:id="1133015737">
      <w:bodyDiv w:val="1"/>
      <w:marLeft w:val="0"/>
      <w:marRight w:val="0"/>
      <w:marTop w:val="0"/>
      <w:marBottom w:val="0"/>
      <w:divBdr>
        <w:top w:val="none" w:sz="0" w:space="0" w:color="auto"/>
        <w:left w:val="none" w:sz="0" w:space="0" w:color="auto"/>
        <w:bottom w:val="none" w:sz="0" w:space="0" w:color="auto"/>
        <w:right w:val="none" w:sz="0" w:space="0" w:color="auto"/>
      </w:divBdr>
    </w:div>
    <w:div w:id="1133256164">
      <w:bodyDiv w:val="1"/>
      <w:marLeft w:val="0"/>
      <w:marRight w:val="0"/>
      <w:marTop w:val="0"/>
      <w:marBottom w:val="0"/>
      <w:divBdr>
        <w:top w:val="none" w:sz="0" w:space="0" w:color="auto"/>
        <w:left w:val="none" w:sz="0" w:space="0" w:color="auto"/>
        <w:bottom w:val="none" w:sz="0" w:space="0" w:color="auto"/>
        <w:right w:val="none" w:sz="0" w:space="0" w:color="auto"/>
      </w:divBdr>
    </w:div>
    <w:div w:id="1135485390">
      <w:bodyDiv w:val="1"/>
      <w:marLeft w:val="0"/>
      <w:marRight w:val="0"/>
      <w:marTop w:val="0"/>
      <w:marBottom w:val="0"/>
      <w:divBdr>
        <w:top w:val="none" w:sz="0" w:space="0" w:color="auto"/>
        <w:left w:val="none" w:sz="0" w:space="0" w:color="auto"/>
        <w:bottom w:val="none" w:sz="0" w:space="0" w:color="auto"/>
        <w:right w:val="none" w:sz="0" w:space="0" w:color="auto"/>
      </w:divBdr>
    </w:div>
    <w:div w:id="1135832442">
      <w:bodyDiv w:val="1"/>
      <w:marLeft w:val="0"/>
      <w:marRight w:val="0"/>
      <w:marTop w:val="0"/>
      <w:marBottom w:val="0"/>
      <w:divBdr>
        <w:top w:val="none" w:sz="0" w:space="0" w:color="auto"/>
        <w:left w:val="none" w:sz="0" w:space="0" w:color="auto"/>
        <w:bottom w:val="none" w:sz="0" w:space="0" w:color="auto"/>
        <w:right w:val="none" w:sz="0" w:space="0" w:color="auto"/>
      </w:divBdr>
    </w:div>
    <w:div w:id="1140223911">
      <w:bodyDiv w:val="1"/>
      <w:marLeft w:val="0"/>
      <w:marRight w:val="0"/>
      <w:marTop w:val="0"/>
      <w:marBottom w:val="0"/>
      <w:divBdr>
        <w:top w:val="none" w:sz="0" w:space="0" w:color="auto"/>
        <w:left w:val="none" w:sz="0" w:space="0" w:color="auto"/>
        <w:bottom w:val="none" w:sz="0" w:space="0" w:color="auto"/>
        <w:right w:val="none" w:sz="0" w:space="0" w:color="auto"/>
      </w:divBdr>
    </w:div>
    <w:div w:id="1149520205">
      <w:bodyDiv w:val="1"/>
      <w:marLeft w:val="0"/>
      <w:marRight w:val="0"/>
      <w:marTop w:val="0"/>
      <w:marBottom w:val="0"/>
      <w:divBdr>
        <w:top w:val="none" w:sz="0" w:space="0" w:color="auto"/>
        <w:left w:val="none" w:sz="0" w:space="0" w:color="auto"/>
        <w:bottom w:val="none" w:sz="0" w:space="0" w:color="auto"/>
        <w:right w:val="none" w:sz="0" w:space="0" w:color="auto"/>
      </w:divBdr>
    </w:div>
    <w:div w:id="1150561947">
      <w:bodyDiv w:val="1"/>
      <w:marLeft w:val="0"/>
      <w:marRight w:val="0"/>
      <w:marTop w:val="0"/>
      <w:marBottom w:val="0"/>
      <w:divBdr>
        <w:top w:val="none" w:sz="0" w:space="0" w:color="auto"/>
        <w:left w:val="none" w:sz="0" w:space="0" w:color="auto"/>
        <w:bottom w:val="none" w:sz="0" w:space="0" w:color="auto"/>
        <w:right w:val="none" w:sz="0" w:space="0" w:color="auto"/>
      </w:divBdr>
    </w:div>
    <w:div w:id="1153520188">
      <w:bodyDiv w:val="1"/>
      <w:marLeft w:val="0"/>
      <w:marRight w:val="0"/>
      <w:marTop w:val="0"/>
      <w:marBottom w:val="0"/>
      <w:divBdr>
        <w:top w:val="none" w:sz="0" w:space="0" w:color="auto"/>
        <w:left w:val="none" w:sz="0" w:space="0" w:color="auto"/>
        <w:bottom w:val="none" w:sz="0" w:space="0" w:color="auto"/>
        <w:right w:val="none" w:sz="0" w:space="0" w:color="auto"/>
      </w:divBdr>
    </w:div>
    <w:div w:id="1155947759">
      <w:bodyDiv w:val="1"/>
      <w:marLeft w:val="0"/>
      <w:marRight w:val="0"/>
      <w:marTop w:val="0"/>
      <w:marBottom w:val="0"/>
      <w:divBdr>
        <w:top w:val="none" w:sz="0" w:space="0" w:color="auto"/>
        <w:left w:val="none" w:sz="0" w:space="0" w:color="auto"/>
        <w:bottom w:val="none" w:sz="0" w:space="0" w:color="auto"/>
        <w:right w:val="none" w:sz="0" w:space="0" w:color="auto"/>
      </w:divBdr>
    </w:div>
    <w:div w:id="1166896900">
      <w:bodyDiv w:val="1"/>
      <w:marLeft w:val="0"/>
      <w:marRight w:val="0"/>
      <w:marTop w:val="0"/>
      <w:marBottom w:val="0"/>
      <w:divBdr>
        <w:top w:val="none" w:sz="0" w:space="0" w:color="auto"/>
        <w:left w:val="none" w:sz="0" w:space="0" w:color="auto"/>
        <w:bottom w:val="none" w:sz="0" w:space="0" w:color="auto"/>
        <w:right w:val="none" w:sz="0" w:space="0" w:color="auto"/>
      </w:divBdr>
    </w:div>
    <w:div w:id="1167552007">
      <w:bodyDiv w:val="1"/>
      <w:marLeft w:val="0"/>
      <w:marRight w:val="0"/>
      <w:marTop w:val="0"/>
      <w:marBottom w:val="0"/>
      <w:divBdr>
        <w:top w:val="none" w:sz="0" w:space="0" w:color="auto"/>
        <w:left w:val="none" w:sz="0" w:space="0" w:color="auto"/>
        <w:bottom w:val="none" w:sz="0" w:space="0" w:color="auto"/>
        <w:right w:val="none" w:sz="0" w:space="0" w:color="auto"/>
      </w:divBdr>
    </w:div>
    <w:div w:id="1168401184">
      <w:bodyDiv w:val="1"/>
      <w:marLeft w:val="0"/>
      <w:marRight w:val="0"/>
      <w:marTop w:val="0"/>
      <w:marBottom w:val="0"/>
      <w:divBdr>
        <w:top w:val="none" w:sz="0" w:space="0" w:color="auto"/>
        <w:left w:val="none" w:sz="0" w:space="0" w:color="auto"/>
        <w:bottom w:val="none" w:sz="0" w:space="0" w:color="auto"/>
        <w:right w:val="none" w:sz="0" w:space="0" w:color="auto"/>
      </w:divBdr>
    </w:div>
    <w:div w:id="1170414034">
      <w:bodyDiv w:val="1"/>
      <w:marLeft w:val="0"/>
      <w:marRight w:val="0"/>
      <w:marTop w:val="0"/>
      <w:marBottom w:val="0"/>
      <w:divBdr>
        <w:top w:val="none" w:sz="0" w:space="0" w:color="auto"/>
        <w:left w:val="none" w:sz="0" w:space="0" w:color="auto"/>
        <w:bottom w:val="none" w:sz="0" w:space="0" w:color="auto"/>
        <w:right w:val="none" w:sz="0" w:space="0" w:color="auto"/>
      </w:divBdr>
    </w:div>
    <w:div w:id="1170676877">
      <w:bodyDiv w:val="1"/>
      <w:marLeft w:val="0"/>
      <w:marRight w:val="0"/>
      <w:marTop w:val="0"/>
      <w:marBottom w:val="0"/>
      <w:divBdr>
        <w:top w:val="none" w:sz="0" w:space="0" w:color="auto"/>
        <w:left w:val="none" w:sz="0" w:space="0" w:color="auto"/>
        <w:bottom w:val="none" w:sz="0" w:space="0" w:color="auto"/>
        <w:right w:val="none" w:sz="0" w:space="0" w:color="auto"/>
      </w:divBdr>
    </w:div>
    <w:div w:id="1172185531">
      <w:bodyDiv w:val="1"/>
      <w:marLeft w:val="0"/>
      <w:marRight w:val="0"/>
      <w:marTop w:val="0"/>
      <w:marBottom w:val="0"/>
      <w:divBdr>
        <w:top w:val="none" w:sz="0" w:space="0" w:color="auto"/>
        <w:left w:val="none" w:sz="0" w:space="0" w:color="auto"/>
        <w:bottom w:val="none" w:sz="0" w:space="0" w:color="auto"/>
        <w:right w:val="none" w:sz="0" w:space="0" w:color="auto"/>
      </w:divBdr>
    </w:div>
    <w:div w:id="1173297524">
      <w:bodyDiv w:val="1"/>
      <w:marLeft w:val="0"/>
      <w:marRight w:val="0"/>
      <w:marTop w:val="0"/>
      <w:marBottom w:val="0"/>
      <w:divBdr>
        <w:top w:val="none" w:sz="0" w:space="0" w:color="auto"/>
        <w:left w:val="none" w:sz="0" w:space="0" w:color="auto"/>
        <w:bottom w:val="none" w:sz="0" w:space="0" w:color="auto"/>
        <w:right w:val="none" w:sz="0" w:space="0" w:color="auto"/>
      </w:divBdr>
    </w:div>
    <w:div w:id="1177306790">
      <w:bodyDiv w:val="1"/>
      <w:marLeft w:val="0"/>
      <w:marRight w:val="0"/>
      <w:marTop w:val="0"/>
      <w:marBottom w:val="0"/>
      <w:divBdr>
        <w:top w:val="none" w:sz="0" w:space="0" w:color="auto"/>
        <w:left w:val="none" w:sz="0" w:space="0" w:color="auto"/>
        <w:bottom w:val="none" w:sz="0" w:space="0" w:color="auto"/>
        <w:right w:val="none" w:sz="0" w:space="0" w:color="auto"/>
      </w:divBdr>
    </w:div>
    <w:div w:id="1180851228">
      <w:bodyDiv w:val="1"/>
      <w:marLeft w:val="0"/>
      <w:marRight w:val="0"/>
      <w:marTop w:val="0"/>
      <w:marBottom w:val="0"/>
      <w:divBdr>
        <w:top w:val="none" w:sz="0" w:space="0" w:color="auto"/>
        <w:left w:val="none" w:sz="0" w:space="0" w:color="auto"/>
        <w:bottom w:val="none" w:sz="0" w:space="0" w:color="auto"/>
        <w:right w:val="none" w:sz="0" w:space="0" w:color="auto"/>
      </w:divBdr>
    </w:div>
    <w:div w:id="1184978500">
      <w:bodyDiv w:val="1"/>
      <w:marLeft w:val="0"/>
      <w:marRight w:val="0"/>
      <w:marTop w:val="0"/>
      <w:marBottom w:val="0"/>
      <w:divBdr>
        <w:top w:val="none" w:sz="0" w:space="0" w:color="auto"/>
        <w:left w:val="none" w:sz="0" w:space="0" w:color="auto"/>
        <w:bottom w:val="none" w:sz="0" w:space="0" w:color="auto"/>
        <w:right w:val="none" w:sz="0" w:space="0" w:color="auto"/>
      </w:divBdr>
    </w:div>
    <w:div w:id="1188786897">
      <w:bodyDiv w:val="1"/>
      <w:marLeft w:val="0"/>
      <w:marRight w:val="0"/>
      <w:marTop w:val="0"/>
      <w:marBottom w:val="0"/>
      <w:divBdr>
        <w:top w:val="none" w:sz="0" w:space="0" w:color="auto"/>
        <w:left w:val="none" w:sz="0" w:space="0" w:color="auto"/>
        <w:bottom w:val="none" w:sz="0" w:space="0" w:color="auto"/>
        <w:right w:val="none" w:sz="0" w:space="0" w:color="auto"/>
      </w:divBdr>
    </w:div>
    <w:div w:id="1189636091">
      <w:bodyDiv w:val="1"/>
      <w:marLeft w:val="0"/>
      <w:marRight w:val="0"/>
      <w:marTop w:val="0"/>
      <w:marBottom w:val="0"/>
      <w:divBdr>
        <w:top w:val="none" w:sz="0" w:space="0" w:color="auto"/>
        <w:left w:val="none" w:sz="0" w:space="0" w:color="auto"/>
        <w:bottom w:val="none" w:sz="0" w:space="0" w:color="auto"/>
        <w:right w:val="none" w:sz="0" w:space="0" w:color="auto"/>
      </w:divBdr>
    </w:div>
    <w:div w:id="1191256851">
      <w:bodyDiv w:val="1"/>
      <w:marLeft w:val="0"/>
      <w:marRight w:val="0"/>
      <w:marTop w:val="0"/>
      <w:marBottom w:val="0"/>
      <w:divBdr>
        <w:top w:val="none" w:sz="0" w:space="0" w:color="auto"/>
        <w:left w:val="none" w:sz="0" w:space="0" w:color="auto"/>
        <w:bottom w:val="none" w:sz="0" w:space="0" w:color="auto"/>
        <w:right w:val="none" w:sz="0" w:space="0" w:color="auto"/>
      </w:divBdr>
    </w:div>
    <w:div w:id="1198346560">
      <w:bodyDiv w:val="1"/>
      <w:marLeft w:val="0"/>
      <w:marRight w:val="0"/>
      <w:marTop w:val="0"/>
      <w:marBottom w:val="0"/>
      <w:divBdr>
        <w:top w:val="none" w:sz="0" w:space="0" w:color="auto"/>
        <w:left w:val="none" w:sz="0" w:space="0" w:color="auto"/>
        <w:bottom w:val="none" w:sz="0" w:space="0" w:color="auto"/>
        <w:right w:val="none" w:sz="0" w:space="0" w:color="auto"/>
      </w:divBdr>
    </w:div>
    <w:div w:id="1198934212">
      <w:bodyDiv w:val="1"/>
      <w:marLeft w:val="0"/>
      <w:marRight w:val="0"/>
      <w:marTop w:val="0"/>
      <w:marBottom w:val="0"/>
      <w:divBdr>
        <w:top w:val="none" w:sz="0" w:space="0" w:color="auto"/>
        <w:left w:val="none" w:sz="0" w:space="0" w:color="auto"/>
        <w:bottom w:val="none" w:sz="0" w:space="0" w:color="auto"/>
        <w:right w:val="none" w:sz="0" w:space="0" w:color="auto"/>
      </w:divBdr>
    </w:div>
    <w:div w:id="1200824996">
      <w:bodyDiv w:val="1"/>
      <w:marLeft w:val="0"/>
      <w:marRight w:val="0"/>
      <w:marTop w:val="0"/>
      <w:marBottom w:val="0"/>
      <w:divBdr>
        <w:top w:val="none" w:sz="0" w:space="0" w:color="auto"/>
        <w:left w:val="none" w:sz="0" w:space="0" w:color="auto"/>
        <w:bottom w:val="none" w:sz="0" w:space="0" w:color="auto"/>
        <w:right w:val="none" w:sz="0" w:space="0" w:color="auto"/>
      </w:divBdr>
    </w:div>
    <w:div w:id="1202324974">
      <w:bodyDiv w:val="1"/>
      <w:marLeft w:val="0"/>
      <w:marRight w:val="0"/>
      <w:marTop w:val="0"/>
      <w:marBottom w:val="0"/>
      <w:divBdr>
        <w:top w:val="none" w:sz="0" w:space="0" w:color="auto"/>
        <w:left w:val="none" w:sz="0" w:space="0" w:color="auto"/>
        <w:bottom w:val="none" w:sz="0" w:space="0" w:color="auto"/>
        <w:right w:val="none" w:sz="0" w:space="0" w:color="auto"/>
      </w:divBdr>
    </w:div>
    <w:div w:id="1207449730">
      <w:bodyDiv w:val="1"/>
      <w:marLeft w:val="0"/>
      <w:marRight w:val="0"/>
      <w:marTop w:val="0"/>
      <w:marBottom w:val="0"/>
      <w:divBdr>
        <w:top w:val="none" w:sz="0" w:space="0" w:color="auto"/>
        <w:left w:val="none" w:sz="0" w:space="0" w:color="auto"/>
        <w:bottom w:val="none" w:sz="0" w:space="0" w:color="auto"/>
        <w:right w:val="none" w:sz="0" w:space="0" w:color="auto"/>
      </w:divBdr>
    </w:div>
    <w:div w:id="1208222915">
      <w:bodyDiv w:val="1"/>
      <w:marLeft w:val="0"/>
      <w:marRight w:val="0"/>
      <w:marTop w:val="0"/>
      <w:marBottom w:val="0"/>
      <w:divBdr>
        <w:top w:val="none" w:sz="0" w:space="0" w:color="auto"/>
        <w:left w:val="none" w:sz="0" w:space="0" w:color="auto"/>
        <w:bottom w:val="none" w:sz="0" w:space="0" w:color="auto"/>
        <w:right w:val="none" w:sz="0" w:space="0" w:color="auto"/>
      </w:divBdr>
    </w:div>
    <w:div w:id="1209413366">
      <w:bodyDiv w:val="1"/>
      <w:marLeft w:val="0"/>
      <w:marRight w:val="0"/>
      <w:marTop w:val="0"/>
      <w:marBottom w:val="0"/>
      <w:divBdr>
        <w:top w:val="none" w:sz="0" w:space="0" w:color="auto"/>
        <w:left w:val="none" w:sz="0" w:space="0" w:color="auto"/>
        <w:bottom w:val="none" w:sz="0" w:space="0" w:color="auto"/>
        <w:right w:val="none" w:sz="0" w:space="0" w:color="auto"/>
      </w:divBdr>
    </w:div>
    <w:div w:id="1211575055">
      <w:bodyDiv w:val="1"/>
      <w:marLeft w:val="0"/>
      <w:marRight w:val="0"/>
      <w:marTop w:val="0"/>
      <w:marBottom w:val="0"/>
      <w:divBdr>
        <w:top w:val="none" w:sz="0" w:space="0" w:color="auto"/>
        <w:left w:val="none" w:sz="0" w:space="0" w:color="auto"/>
        <w:bottom w:val="none" w:sz="0" w:space="0" w:color="auto"/>
        <w:right w:val="none" w:sz="0" w:space="0" w:color="auto"/>
      </w:divBdr>
    </w:div>
    <w:div w:id="1215434986">
      <w:bodyDiv w:val="1"/>
      <w:marLeft w:val="0"/>
      <w:marRight w:val="0"/>
      <w:marTop w:val="0"/>
      <w:marBottom w:val="0"/>
      <w:divBdr>
        <w:top w:val="none" w:sz="0" w:space="0" w:color="auto"/>
        <w:left w:val="none" w:sz="0" w:space="0" w:color="auto"/>
        <w:bottom w:val="none" w:sz="0" w:space="0" w:color="auto"/>
        <w:right w:val="none" w:sz="0" w:space="0" w:color="auto"/>
      </w:divBdr>
    </w:div>
    <w:div w:id="1216041423">
      <w:bodyDiv w:val="1"/>
      <w:marLeft w:val="0"/>
      <w:marRight w:val="0"/>
      <w:marTop w:val="0"/>
      <w:marBottom w:val="0"/>
      <w:divBdr>
        <w:top w:val="none" w:sz="0" w:space="0" w:color="auto"/>
        <w:left w:val="none" w:sz="0" w:space="0" w:color="auto"/>
        <w:bottom w:val="none" w:sz="0" w:space="0" w:color="auto"/>
        <w:right w:val="none" w:sz="0" w:space="0" w:color="auto"/>
      </w:divBdr>
    </w:div>
    <w:div w:id="1216426772">
      <w:bodyDiv w:val="1"/>
      <w:marLeft w:val="0"/>
      <w:marRight w:val="0"/>
      <w:marTop w:val="0"/>
      <w:marBottom w:val="0"/>
      <w:divBdr>
        <w:top w:val="none" w:sz="0" w:space="0" w:color="auto"/>
        <w:left w:val="none" w:sz="0" w:space="0" w:color="auto"/>
        <w:bottom w:val="none" w:sz="0" w:space="0" w:color="auto"/>
        <w:right w:val="none" w:sz="0" w:space="0" w:color="auto"/>
      </w:divBdr>
    </w:div>
    <w:div w:id="1219393000">
      <w:bodyDiv w:val="1"/>
      <w:marLeft w:val="0"/>
      <w:marRight w:val="0"/>
      <w:marTop w:val="0"/>
      <w:marBottom w:val="0"/>
      <w:divBdr>
        <w:top w:val="none" w:sz="0" w:space="0" w:color="auto"/>
        <w:left w:val="none" w:sz="0" w:space="0" w:color="auto"/>
        <w:bottom w:val="none" w:sz="0" w:space="0" w:color="auto"/>
        <w:right w:val="none" w:sz="0" w:space="0" w:color="auto"/>
      </w:divBdr>
    </w:div>
    <w:div w:id="1221668497">
      <w:bodyDiv w:val="1"/>
      <w:marLeft w:val="0"/>
      <w:marRight w:val="0"/>
      <w:marTop w:val="0"/>
      <w:marBottom w:val="0"/>
      <w:divBdr>
        <w:top w:val="none" w:sz="0" w:space="0" w:color="auto"/>
        <w:left w:val="none" w:sz="0" w:space="0" w:color="auto"/>
        <w:bottom w:val="none" w:sz="0" w:space="0" w:color="auto"/>
        <w:right w:val="none" w:sz="0" w:space="0" w:color="auto"/>
      </w:divBdr>
    </w:div>
    <w:div w:id="1227648409">
      <w:bodyDiv w:val="1"/>
      <w:marLeft w:val="0"/>
      <w:marRight w:val="0"/>
      <w:marTop w:val="0"/>
      <w:marBottom w:val="0"/>
      <w:divBdr>
        <w:top w:val="none" w:sz="0" w:space="0" w:color="auto"/>
        <w:left w:val="none" w:sz="0" w:space="0" w:color="auto"/>
        <w:bottom w:val="none" w:sz="0" w:space="0" w:color="auto"/>
        <w:right w:val="none" w:sz="0" w:space="0" w:color="auto"/>
      </w:divBdr>
    </w:div>
    <w:div w:id="1239705428">
      <w:bodyDiv w:val="1"/>
      <w:marLeft w:val="0"/>
      <w:marRight w:val="0"/>
      <w:marTop w:val="0"/>
      <w:marBottom w:val="0"/>
      <w:divBdr>
        <w:top w:val="none" w:sz="0" w:space="0" w:color="auto"/>
        <w:left w:val="none" w:sz="0" w:space="0" w:color="auto"/>
        <w:bottom w:val="none" w:sz="0" w:space="0" w:color="auto"/>
        <w:right w:val="none" w:sz="0" w:space="0" w:color="auto"/>
      </w:divBdr>
    </w:div>
    <w:div w:id="1241208172">
      <w:bodyDiv w:val="1"/>
      <w:marLeft w:val="0"/>
      <w:marRight w:val="0"/>
      <w:marTop w:val="0"/>
      <w:marBottom w:val="0"/>
      <w:divBdr>
        <w:top w:val="none" w:sz="0" w:space="0" w:color="auto"/>
        <w:left w:val="none" w:sz="0" w:space="0" w:color="auto"/>
        <w:bottom w:val="none" w:sz="0" w:space="0" w:color="auto"/>
        <w:right w:val="none" w:sz="0" w:space="0" w:color="auto"/>
      </w:divBdr>
    </w:div>
    <w:div w:id="1241283037">
      <w:bodyDiv w:val="1"/>
      <w:marLeft w:val="0"/>
      <w:marRight w:val="0"/>
      <w:marTop w:val="0"/>
      <w:marBottom w:val="0"/>
      <w:divBdr>
        <w:top w:val="none" w:sz="0" w:space="0" w:color="auto"/>
        <w:left w:val="none" w:sz="0" w:space="0" w:color="auto"/>
        <w:bottom w:val="none" w:sz="0" w:space="0" w:color="auto"/>
        <w:right w:val="none" w:sz="0" w:space="0" w:color="auto"/>
      </w:divBdr>
    </w:div>
    <w:div w:id="1246574252">
      <w:bodyDiv w:val="1"/>
      <w:marLeft w:val="0"/>
      <w:marRight w:val="0"/>
      <w:marTop w:val="0"/>
      <w:marBottom w:val="0"/>
      <w:divBdr>
        <w:top w:val="none" w:sz="0" w:space="0" w:color="auto"/>
        <w:left w:val="none" w:sz="0" w:space="0" w:color="auto"/>
        <w:bottom w:val="none" w:sz="0" w:space="0" w:color="auto"/>
        <w:right w:val="none" w:sz="0" w:space="0" w:color="auto"/>
      </w:divBdr>
    </w:div>
    <w:div w:id="1248079231">
      <w:bodyDiv w:val="1"/>
      <w:marLeft w:val="0"/>
      <w:marRight w:val="0"/>
      <w:marTop w:val="0"/>
      <w:marBottom w:val="0"/>
      <w:divBdr>
        <w:top w:val="none" w:sz="0" w:space="0" w:color="auto"/>
        <w:left w:val="none" w:sz="0" w:space="0" w:color="auto"/>
        <w:bottom w:val="none" w:sz="0" w:space="0" w:color="auto"/>
        <w:right w:val="none" w:sz="0" w:space="0" w:color="auto"/>
      </w:divBdr>
    </w:div>
    <w:div w:id="1257177315">
      <w:bodyDiv w:val="1"/>
      <w:marLeft w:val="0"/>
      <w:marRight w:val="0"/>
      <w:marTop w:val="0"/>
      <w:marBottom w:val="0"/>
      <w:divBdr>
        <w:top w:val="none" w:sz="0" w:space="0" w:color="auto"/>
        <w:left w:val="none" w:sz="0" w:space="0" w:color="auto"/>
        <w:bottom w:val="none" w:sz="0" w:space="0" w:color="auto"/>
        <w:right w:val="none" w:sz="0" w:space="0" w:color="auto"/>
      </w:divBdr>
    </w:div>
    <w:div w:id="1266186872">
      <w:bodyDiv w:val="1"/>
      <w:marLeft w:val="0"/>
      <w:marRight w:val="0"/>
      <w:marTop w:val="0"/>
      <w:marBottom w:val="0"/>
      <w:divBdr>
        <w:top w:val="none" w:sz="0" w:space="0" w:color="auto"/>
        <w:left w:val="none" w:sz="0" w:space="0" w:color="auto"/>
        <w:bottom w:val="none" w:sz="0" w:space="0" w:color="auto"/>
        <w:right w:val="none" w:sz="0" w:space="0" w:color="auto"/>
      </w:divBdr>
    </w:div>
    <w:div w:id="1273702630">
      <w:bodyDiv w:val="1"/>
      <w:marLeft w:val="0"/>
      <w:marRight w:val="0"/>
      <w:marTop w:val="0"/>
      <w:marBottom w:val="0"/>
      <w:divBdr>
        <w:top w:val="none" w:sz="0" w:space="0" w:color="auto"/>
        <w:left w:val="none" w:sz="0" w:space="0" w:color="auto"/>
        <w:bottom w:val="none" w:sz="0" w:space="0" w:color="auto"/>
        <w:right w:val="none" w:sz="0" w:space="0" w:color="auto"/>
      </w:divBdr>
    </w:div>
    <w:div w:id="1274361187">
      <w:bodyDiv w:val="1"/>
      <w:marLeft w:val="0"/>
      <w:marRight w:val="0"/>
      <w:marTop w:val="0"/>
      <w:marBottom w:val="0"/>
      <w:divBdr>
        <w:top w:val="none" w:sz="0" w:space="0" w:color="auto"/>
        <w:left w:val="none" w:sz="0" w:space="0" w:color="auto"/>
        <w:bottom w:val="none" w:sz="0" w:space="0" w:color="auto"/>
        <w:right w:val="none" w:sz="0" w:space="0" w:color="auto"/>
      </w:divBdr>
    </w:div>
    <w:div w:id="1286230341">
      <w:bodyDiv w:val="1"/>
      <w:marLeft w:val="0"/>
      <w:marRight w:val="0"/>
      <w:marTop w:val="0"/>
      <w:marBottom w:val="0"/>
      <w:divBdr>
        <w:top w:val="none" w:sz="0" w:space="0" w:color="auto"/>
        <w:left w:val="none" w:sz="0" w:space="0" w:color="auto"/>
        <w:bottom w:val="none" w:sz="0" w:space="0" w:color="auto"/>
        <w:right w:val="none" w:sz="0" w:space="0" w:color="auto"/>
      </w:divBdr>
    </w:div>
    <w:div w:id="1289312343">
      <w:bodyDiv w:val="1"/>
      <w:marLeft w:val="0"/>
      <w:marRight w:val="0"/>
      <w:marTop w:val="0"/>
      <w:marBottom w:val="0"/>
      <w:divBdr>
        <w:top w:val="none" w:sz="0" w:space="0" w:color="auto"/>
        <w:left w:val="none" w:sz="0" w:space="0" w:color="auto"/>
        <w:bottom w:val="none" w:sz="0" w:space="0" w:color="auto"/>
        <w:right w:val="none" w:sz="0" w:space="0" w:color="auto"/>
      </w:divBdr>
    </w:div>
    <w:div w:id="1292663370">
      <w:bodyDiv w:val="1"/>
      <w:marLeft w:val="0"/>
      <w:marRight w:val="0"/>
      <w:marTop w:val="0"/>
      <w:marBottom w:val="0"/>
      <w:divBdr>
        <w:top w:val="none" w:sz="0" w:space="0" w:color="auto"/>
        <w:left w:val="none" w:sz="0" w:space="0" w:color="auto"/>
        <w:bottom w:val="none" w:sz="0" w:space="0" w:color="auto"/>
        <w:right w:val="none" w:sz="0" w:space="0" w:color="auto"/>
      </w:divBdr>
    </w:div>
    <w:div w:id="1292905979">
      <w:bodyDiv w:val="1"/>
      <w:marLeft w:val="0"/>
      <w:marRight w:val="0"/>
      <w:marTop w:val="0"/>
      <w:marBottom w:val="0"/>
      <w:divBdr>
        <w:top w:val="none" w:sz="0" w:space="0" w:color="auto"/>
        <w:left w:val="none" w:sz="0" w:space="0" w:color="auto"/>
        <w:bottom w:val="none" w:sz="0" w:space="0" w:color="auto"/>
        <w:right w:val="none" w:sz="0" w:space="0" w:color="auto"/>
      </w:divBdr>
    </w:div>
    <w:div w:id="1295015979">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
    <w:div w:id="1300955795">
      <w:bodyDiv w:val="1"/>
      <w:marLeft w:val="0"/>
      <w:marRight w:val="0"/>
      <w:marTop w:val="0"/>
      <w:marBottom w:val="0"/>
      <w:divBdr>
        <w:top w:val="none" w:sz="0" w:space="0" w:color="auto"/>
        <w:left w:val="none" w:sz="0" w:space="0" w:color="auto"/>
        <w:bottom w:val="none" w:sz="0" w:space="0" w:color="auto"/>
        <w:right w:val="none" w:sz="0" w:space="0" w:color="auto"/>
      </w:divBdr>
    </w:div>
    <w:div w:id="1314725471">
      <w:bodyDiv w:val="1"/>
      <w:marLeft w:val="0"/>
      <w:marRight w:val="0"/>
      <w:marTop w:val="0"/>
      <w:marBottom w:val="0"/>
      <w:divBdr>
        <w:top w:val="none" w:sz="0" w:space="0" w:color="auto"/>
        <w:left w:val="none" w:sz="0" w:space="0" w:color="auto"/>
        <w:bottom w:val="none" w:sz="0" w:space="0" w:color="auto"/>
        <w:right w:val="none" w:sz="0" w:space="0" w:color="auto"/>
      </w:divBdr>
    </w:div>
    <w:div w:id="1318219059">
      <w:bodyDiv w:val="1"/>
      <w:marLeft w:val="0"/>
      <w:marRight w:val="0"/>
      <w:marTop w:val="0"/>
      <w:marBottom w:val="0"/>
      <w:divBdr>
        <w:top w:val="none" w:sz="0" w:space="0" w:color="auto"/>
        <w:left w:val="none" w:sz="0" w:space="0" w:color="auto"/>
        <w:bottom w:val="none" w:sz="0" w:space="0" w:color="auto"/>
        <w:right w:val="none" w:sz="0" w:space="0" w:color="auto"/>
      </w:divBdr>
    </w:div>
    <w:div w:id="1326475118">
      <w:bodyDiv w:val="1"/>
      <w:marLeft w:val="0"/>
      <w:marRight w:val="0"/>
      <w:marTop w:val="0"/>
      <w:marBottom w:val="0"/>
      <w:divBdr>
        <w:top w:val="none" w:sz="0" w:space="0" w:color="auto"/>
        <w:left w:val="none" w:sz="0" w:space="0" w:color="auto"/>
        <w:bottom w:val="none" w:sz="0" w:space="0" w:color="auto"/>
        <w:right w:val="none" w:sz="0" w:space="0" w:color="auto"/>
      </w:divBdr>
    </w:div>
    <w:div w:id="1328292843">
      <w:bodyDiv w:val="1"/>
      <w:marLeft w:val="0"/>
      <w:marRight w:val="0"/>
      <w:marTop w:val="0"/>
      <w:marBottom w:val="0"/>
      <w:divBdr>
        <w:top w:val="none" w:sz="0" w:space="0" w:color="auto"/>
        <w:left w:val="none" w:sz="0" w:space="0" w:color="auto"/>
        <w:bottom w:val="none" w:sz="0" w:space="0" w:color="auto"/>
        <w:right w:val="none" w:sz="0" w:space="0" w:color="auto"/>
      </w:divBdr>
    </w:div>
    <w:div w:id="1334529256">
      <w:bodyDiv w:val="1"/>
      <w:marLeft w:val="0"/>
      <w:marRight w:val="0"/>
      <w:marTop w:val="0"/>
      <w:marBottom w:val="0"/>
      <w:divBdr>
        <w:top w:val="none" w:sz="0" w:space="0" w:color="auto"/>
        <w:left w:val="none" w:sz="0" w:space="0" w:color="auto"/>
        <w:bottom w:val="none" w:sz="0" w:space="0" w:color="auto"/>
        <w:right w:val="none" w:sz="0" w:space="0" w:color="auto"/>
      </w:divBdr>
    </w:div>
    <w:div w:id="1340742626">
      <w:bodyDiv w:val="1"/>
      <w:marLeft w:val="0"/>
      <w:marRight w:val="0"/>
      <w:marTop w:val="0"/>
      <w:marBottom w:val="0"/>
      <w:divBdr>
        <w:top w:val="none" w:sz="0" w:space="0" w:color="auto"/>
        <w:left w:val="none" w:sz="0" w:space="0" w:color="auto"/>
        <w:bottom w:val="none" w:sz="0" w:space="0" w:color="auto"/>
        <w:right w:val="none" w:sz="0" w:space="0" w:color="auto"/>
      </w:divBdr>
    </w:div>
    <w:div w:id="1341200304">
      <w:bodyDiv w:val="1"/>
      <w:marLeft w:val="0"/>
      <w:marRight w:val="0"/>
      <w:marTop w:val="0"/>
      <w:marBottom w:val="0"/>
      <w:divBdr>
        <w:top w:val="none" w:sz="0" w:space="0" w:color="auto"/>
        <w:left w:val="none" w:sz="0" w:space="0" w:color="auto"/>
        <w:bottom w:val="none" w:sz="0" w:space="0" w:color="auto"/>
        <w:right w:val="none" w:sz="0" w:space="0" w:color="auto"/>
      </w:divBdr>
    </w:div>
    <w:div w:id="1349790676">
      <w:bodyDiv w:val="1"/>
      <w:marLeft w:val="0"/>
      <w:marRight w:val="0"/>
      <w:marTop w:val="0"/>
      <w:marBottom w:val="0"/>
      <w:divBdr>
        <w:top w:val="none" w:sz="0" w:space="0" w:color="auto"/>
        <w:left w:val="none" w:sz="0" w:space="0" w:color="auto"/>
        <w:bottom w:val="none" w:sz="0" w:space="0" w:color="auto"/>
        <w:right w:val="none" w:sz="0" w:space="0" w:color="auto"/>
      </w:divBdr>
    </w:div>
    <w:div w:id="1350789808">
      <w:bodyDiv w:val="1"/>
      <w:marLeft w:val="0"/>
      <w:marRight w:val="0"/>
      <w:marTop w:val="0"/>
      <w:marBottom w:val="0"/>
      <w:divBdr>
        <w:top w:val="none" w:sz="0" w:space="0" w:color="auto"/>
        <w:left w:val="none" w:sz="0" w:space="0" w:color="auto"/>
        <w:bottom w:val="none" w:sz="0" w:space="0" w:color="auto"/>
        <w:right w:val="none" w:sz="0" w:space="0" w:color="auto"/>
      </w:divBdr>
    </w:div>
    <w:div w:id="1356005976">
      <w:bodyDiv w:val="1"/>
      <w:marLeft w:val="0"/>
      <w:marRight w:val="0"/>
      <w:marTop w:val="0"/>
      <w:marBottom w:val="0"/>
      <w:divBdr>
        <w:top w:val="none" w:sz="0" w:space="0" w:color="auto"/>
        <w:left w:val="none" w:sz="0" w:space="0" w:color="auto"/>
        <w:bottom w:val="none" w:sz="0" w:space="0" w:color="auto"/>
        <w:right w:val="none" w:sz="0" w:space="0" w:color="auto"/>
      </w:divBdr>
    </w:div>
    <w:div w:id="1356154510">
      <w:bodyDiv w:val="1"/>
      <w:marLeft w:val="0"/>
      <w:marRight w:val="0"/>
      <w:marTop w:val="0"/>
      <w:marBottom w:val="0"/>
      <w:divBdr>
        <w:top w:val="none" w:sz="0" w:space="0" w:color="auto"/>
        <w:left w:val="none" w:sz="0" w:space="0" w:color="auto"/>
        <w:bottom w:val="none" w:sz="0" w:space="0" w:color="auto"/>
        <w:right w:val="none" w:sz="0" w:space="0" w:color="auto"/>
      </w:divBdr>
    </w:div>
    <w:div w:id="1358651623">
      <w:bodyDiv w:val="1"/>
      <w:marLeft w:val="0"/>
      <w:marRight w:val="0"/>
      <w:marTop w:val="0"/>
      <w:marBottom w:val="0"/>
      <w:divBdr>
        <w:top w:val="none" w:sz="0" w:space="0" w:color="auto"/>
        <w:left w:val="none" w:sz="0" w:space="0" w:color="auto"/>
        <w:bottom w:val="none" w:sz="0" w:space="0" w:color="auto"/>
        <w:right w:val="none" w:sz="0" w:space="0" w:color="auto"/>
      </w:divBdr>
    </w:div>
    <w:div w:id="1361661319">
      <w:bodyDiv w:val="1"/>
      <w:marLeft w:val="0"/>
      <w:marRight w:val="0"/>
      <w:marTop w:val="0"/>
      <w:marBottom w:val="0"/>
      <w:divBdr>
        <w:top w:val="none" w:sz="0" w:space="0" w:color="auto"/>
        <w:left w:val="none" w:sz="0" w:space="0" w:color="auto"/>
        <w:bottom w:val="none" w:sz="0" w:space="0" w:color="auto"/>
        <w:right w:val="none" w:sz="0" w:space="0" w:color="auto"/>
      </w:divBdr>
    </w:div>
    <w:div w:id="1363894616">
      <w:bodyDiv w:val="1"/>
      <w:marLeft w:val="0"/>
      <w:marRight w:val="0"/>
      <w:marTop w:val="0"/>
      <w:marBottom w:val="0"/>
      <w:divBdr>
        <w:top w:val="none" w:sz="0" w:space="0" w:color="auto"/>
        <w:left w:val="none" w:sz="0" w:space="0" w:color="auto"/>
        <w:bottom w:val="none" w:sz="0" w:space="0" w:color="auto"/>
        <w:right w:val="none" w:sz="0" w:space="0" w:color="auto"/>
      </w:divBdr>
    </w:div>
    <w:div w:id="1366713027">
      <w:bodyDiv w:val="1"/>
      <w:marLeft w:val="0"/>
      <w:marRight w:val="0"/>
      <w:marTop w:val="0"/>
      <w:marBottom w:val="0"/>
      <w:divBdr>
        <w:top w:val="none" w:sz="0" w:space="0" w:color="auto"/>
        <w:left w:val="none" w:sz="0" w:space="0" w:color="auto"/>
        <w:bottom w:val="none" w:sz="0" w:space="0" w:color="auto"/>
        <w:right w:val="none" w:sz="0" w:space="0" w:color="auto"/>
      </w:divBdr>
    </w:div>
    <w:div w:id="1369797809">
      <w:bodyDiv w:val="1"/>
      <w:marLeft w:val="0"/>
      <w:marRight w:val="0"/>
      <w:marTop w:val="0"/>
      <w:marBottom w:val="0"/>
      <w:divBdr>
        <w:top w:val="none" w:sz="0" w:space="0" w:color="auto"/>
        <w:left w:val="none" w:sz="0" w:space="0" w:color="auto"/>
        <w:bottom w:val="none" w:sz="0" w:space="0" w:color="auto"/>
        <w:right w:val="none" w:sz="0" w:space="0" w:color="auto"/>
      </w:divBdr>
    </w:div>
    <w:div w:id="1372539230">
      <w:bodyDiv w:val="1"/>
      <w:marLeft w:val="0"/>
      <w:marRight w:val="0"/>
      <w:marTop w:val="0"/>
      <w:marBottom w:val="0"/>
      <w:divBdr>
        <w:top w:val="none" w:sz="0" w:space="0" w:color="auto"/>
        <w:left w:val="none" w:sz="0" w:space="0" w:color="auto"/>
        <w:bottom w:val="none" w:sz="0" w:space="0" w:color="auto"/>
        <w:right w:val="none" w:sz="0" w:space="0" w:color="auto"/>
      </w:divBdr>
    </w:div>
    <w:div w:id="1374421796">
      <w:bodyDiv w:val="1"/>
      <w:marLeft w:val="0"/>
      <w:marRight w:val="0"/>
      <w:marTop w:val="0"/>
      <w:marBottom w:val="0"/>
      <w:divBdr>
        <w:top w:val="none" w:sz="0" w:space="0" w:color="auto"/>
        <w:left w:val="none" w:sz="0" w:space="0" w:color="auto"/>
        <w:bottom w:val="none" w:sz="0" w:space="0" w:color="auto"/>
        <w:right w:val="none" w:sz="0" w:space="0" w:color="auto"/>
      </w:divBdr>
    </w:div>
    <w:div w:id="1380083757">
      <w:bodyDiv w:val="1"/>
      <w:marLeft w:val="0"/>
      <w:marRight w:val="0"/>
      <w:marTop w:val="0"/>
      <w:marBottom w:val="0"/>
      <w:divBdr>
        <w:top w:val="none" w:sz="0" w:space="0" w:color="auto"/>
        <w:left w:val="none" w:sz="0" w:space="0" w:color="auto"/>
        <w:bottom w:val="none" w:sz="0" w:space="0" w:color="auto"/>
        <w:right w:val="none" w:sz="0" w:space="0" w:color="auto"/>
      </w:divBdr>
    </w:div>
    <w:div w:id="1384256740">
      <w:bodyDiv w:val="1"/>
      <w:marLeft w:val="0"/>
      <w:marRight w:val="0"/>
      <w:marTop w:val="0"/>
      <w:marBottom w:val="0"/>
      <w:divBdr>
        <w:top w:val="none" w:sz="0" w:space="0" w:color="auto"/>
        <w:left w:val="none" w:sz="0" w:space="0" w:color="auto"/>
        <w:bottom w:val="none" w:sz="0" w:space="0" w:color="auto"/>
        <w:right w:val="none" w:sz="0" w:space="0" w:color="auto"/>
      </w:divBdr>
    </w:div>
    <w:div w:id="1384332538">
      <w:bodyDiv w:val="1"/>
      <w:marLeft w:val="0"/>
      <w:marRight w:val="0"/>
      <w:marTop w:val="0"/>
      <w:marBottom w:val="0"/>
      <w:divBdr>
        <w:top w:val="none" w:sz="0" w:space="0" w:color="auto"/>
        <w:left w:val="none" w:sz="0" w:space="0" w:color="auto"/>
        <w:bottom w:val="none" w:sz="0" w:space="0" w:color="auto"/>
        <w:right w:val="none" w:sz="0" w:space="0" w:color="auto"/>
      </w:divBdr>
    </w:div>
    <w:div w:id="1386373834">
      <w:bodyDiv w:val="1"/>
      <w:marLeft w:val="0"/>
      <w:marRight w:val="0"/>
      <w:marTop w:val="0"/>
      <w:marBottom w:val="0"/>
      <w:divBdr>
        <w:top w:val="none" w:sz="0" w:space="0" w:color="auto"/>
        <w:left w:val="none" w:sz="0" w:space="0" w:color="auto"/>
        <w:bottom w:val="none" w:sz="0" w:space="0" w:color="auto"/>
        <w:right w:val="none" w:sz="0" w:space="0" w:color="auto"/>
      </w:divBdr>
    </w:div>
    <w:div w:id="1387921859">
      <w:bodyDiv w:val="1"/>
      <w:marLeft w:val="0"/>
      <w:marRight w:val="0"/>
      <w:marTop w:val="0"/>
      <w:marBottom w:val="0"/>
      <w:divBdr>
        <w:top w:val="none" w:sz="0" w:space="0" w:color="auto"/>
        <w:left w:val="none" w:sz="0" w:space="0" w:color="auto"/>
        <w:bottom w:val="none" w:sz="0" w:space="0" w:color="auto"/>
        <w:right w:val="none" w:sz="0" w:space="0" w:color="auto"/>
      </w:divBdr>
    </w:div>
    <w:div w:id="1391464397">
      <w:bodyDiv w:val="1"/>
      <w:marLeft w:val="0"/>
      <w:marRight w:val="0"/>
      <w:marTop w:val="0"/>
      <w:marBottom w:val="0"/>
      <w:divBdr>
        <w:top w:val="none" w:sz="0" w:space="0" w:color="auto"/>
        <w:left w:val="none" w:sz="0" w:space="0" w:color="auto"/>
        <w:bottom w:val="none" w:sz="0" w:space="0" w:color="auto"/>
        <w:right w:val="none" w:sz="0" w:space="0" w:color="auto"/>
      </w:divBdr>
    </w:div>
    <w:div w:id="1392658033">
      <w:bodyDiv w:val="1"/>
      <w:marLeft w:val="0"/>
      <w:marRight w:val="0"/>
      <w:marTop w:val="0"/>
      <w:marBottom w:val="0"/>
      <w:divBdr>
        <w:top w:val="none" w:sz="0" w:space="0" w:color="auto"/>
        <w:left w:val="none" w:sz="0" w:space="0" w:color="auto"/>
        <w:bottom w:val="none" w:sz="0" w:space="0" w:color="auto"/>
        <w:right w:val="none" w:sz="0" w:space="0" w:color="auto"/>
      </w:divBdr>
    </w:div>
    <w:div w:id="1398894719">
      <w:bodyDiv w:val="1"/>
      <w:marLeft w:val="0"/>
      <w:marRight w:val="0"/>
      <w:marTop w:val="0"/>
      <w:marBottom w:val="0"/>
      <w:divBdr>
        <w:top w:val="none" w:sz="0" w:space="0" w:color="auto"/>
        <w:left w:val="none" w:sz="0" w:space="0" w:color="auto"/>
        <w:bottom w:val="none" w:sz="0" w:space="0" w:color="auto"/>
        <w:right w:val="none" w:sz="0" w:space="0" w:color="auto"/>
      </w:divBdr>
    </w:div>
    <w:div w:id="1399399775">
      <w:bodyDiv w:val="1"/>
      <w:marLeft w:val="0"/>
      <w:marRight w:val="0"/>
      <w:marTop w:val="0"/>
      <w:marBottom w:val="0"/>
      <w:divBdr>
        <w:top w:val="none" w:sz="0" w:space="0" w:color="auto"/>
        <w:left w:val="none" w:sz="0" w:space="0" w:color="auto"/>
        <w:bottom w:val="none" w:sz="0" w:space="0" w:color="auto"/>
        <w:right w:val="none" w:sz="0" w:space="0" w:color="auto"/>
      </w:divBdr>
    </w:div>
    <w:div w:id="1406369390">
      <w:bodyDiv w:val="1"/>
      <w:marLeft w:val="0"/>
      <w:marRight w:val="0"/>
      <w:marTop w:val="0"/>
      <w:marBottom w:val="0"/>
      <w:divBdr>
        <w:top w:val="none" w:sz="0" w:space="0" w:color="auto"/>
        <w:left w:val="none" w:sz="0" w:space="0" w:color="auto"/>
        <w:bottom w:val="none" w:sz="0" w:space="0" w:color="auto"/>
        <w:right w:val="none" w:sz="0" w:space="0" w:color="auto"/>
      </w:divBdr>
    </w:div>
    <w:div w:id="1414738882">
      <w:bodyDiv w:val="1"/>
      <w:marLeft w:val="0"/>
      <w:marRight w:val="0"/>
      <w:marTop w:val="0"/>
      <w:marBottom w:val="0"/>
      <w:divBdr>
        <w:top w:val="none" w:sz="0" w:space="0" w:color="auto"/>
        <w:left w:val="none" w:sz="0" w:space="0" w:color="auto"/>
        <w:bottom w:val="none" w:sz="0" w:space="0" w:color="auto"/>
        <w:right w:val="none" w:sz="0" w:space="0" w:color="auto"/>
      </w:divBdr>
    </w:div>
    <w:div w:id="1419012488">
      <w:bodyDiv w:val="1"/>
      <w:marLeft w:val="0"/>
      <w:marRight w:val="0"/>
      <w:marTop w:val="0"/>
      <w:marBottom w:val="0"/>
      <w:divBdr>
        <w:top w:val="none" w:sz="0" w:space="0" w:color="auto"/>
        <w:left w:val="none" w:sz="0" w:space="0" w:color="auto"/>
        <w:bottom w:val="none" w:sz="0" w:space="0" w:color="auto"/>
        <w:right w:val="none" w:sz="0" w:space="0" w:color="auto"/>
      </w:divBdr>
    </w:div>
    <w:div w:id="1425957638">
      <w:bodyDiv w:val="1"/>
      <w:marLeft w:val="0"/>
      <w:marRight w:val="0"/>
      <w:marTop w:val="0"/>
      <w:marBottom w:val="0"/>
      <w:divBdr>
        <w:top w:val="none" w:sz="0" w:space="0" w:color="auto"/>
        <w:left w:val="none" w:sz="0" w:space="0" w:color="auto"/>
        <w:bottom w:val="none" w:sz="0" w:space="0" w:color="auto"/>
        <w:right w:val="none" w:sz="0" w:space="0" w:color="auto"/>
      </w:divBdr>
    </w:div>
    <w:div w:id="1427455521">
      <w:bodyDiv w:val="1"/>
      <w:marLeft w:val="0"/>
      <w:marRight w:val="0"/>
      <w:marTop w:val="0"/>
      <w:marBottom w:val="0"/>
      <w:divBdr>
        <w:top w:val="none" w:sz="0" w:space="0" w:color="auto"/>
        <w:left w:val="none" w:sz="0" w:space="0" w:color="auto"/>
        <w:bottom w:val="none" w:sz="0" w:space="0" w:color="auto"/>
        <w:right w:val="none" w:sz="0" w:space="0" w:color="auto"/>
      </w:divBdr>
    </w:div>
    <w:div w:id="1431389404">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
    <w:div w:id="1436049390">
      <w:bodyDiv w:val="1"/>
      <w:marLeft w:val="0"/>
      <w:marRight w:val="0"/>
      <w:marTop w:val="0"/>
      <w:marBottom w:val="0"/>
      <w:divBdr>
        <w:top w:val="none" w:sz="0" w:space="0" w:color="auto"/>
        <w:left w:val="none" w:sz="0" w:space="0" w:color="auto"/>
        <w:bottom w:val="none" w:sz="0" w:space="0" w:color="auto"/>
        <w:right w:val="none" w:sz="0" w:space="0" w:color="auto"/>
      </w:divBdr>
    </w:div>
    <w:div w:id="1446650891">
      <w:bodyDiv w:val="1"/>
      <w:marLeft w:val="0"/>
      <w:marRight w:val="0"/>
      <w:marTop w:val="0"/>
      <w:marBottom w:val="0"/>
      <w:divBdr>
        <w:top w:val="none" w:sz="0" w:space="0" w:color="auto"/>
        <w:left w:val="none" w:sz="0" w:space="0" w:color="auto"/>
        <w:bottom w:val="none" w:sz="0" w:space="0" w:color="auto"/>
        <w:right w:val="none" w:sz="0" w:space="0" w:color="auto"/>
      </w:divBdr>
    </w:div>
    <w:div w:id="1450315759">
      <w:bodyDiv w:val="1"/>
      <w:marLeft w:val="0"/>
      <w:marRight w:val="0"/>
      <w:marTop w:val="0"/>
      <w:marBottom w:val="0"/>
      <w:divBdr>
        <w:top w:val="none" w:sz="0" w:space="0" w:color="auto"/>
        <w:left w:val="none" w:sz="0" w:space="0" w:color="auto"/>
        <w:bottom w:val="none" w:sz="0" w:space="0" w:color="auto"/>
        <w:right w:val="none" w:sz="0" w:space="0" w:color="auto"/>
      </w:divBdr>
    </w:div>
    <w:div w:id="1453204598">
      <w:bodyDiv w:val="1"/>
      <w:marLeft w:val="0"/>
      <w:marRight w:val="0"/>
      <w:marTop w:val="0"/>
      <w:marBottom w:val="0"/>
      <w:divBdr>
        <w:top w:val="none" w:sz="0" w:space="0" w:color="auto"/>
        <w:left w:val="none" w:sz="0" w:space="0" w:color="auto"/>
        <w:bottom w:val="none" w:sz="0" w:space="0" w:color="auto"/>
        <w:right w:val="none" w:sz="0" w:space="0" w:color="auto"/>
      </w:divBdr>
    </w:div>
    <w:div w:id="1458068618">
      <w:bodyDiv w:val="1"/>
      <w:marLeft w:val="0"/>
      <w:marRight w:val="0"/>
      <w:marTop w:val="0"/>
      <w:marBottom w:val="0"/>
      <w:divBdr>
        <w:top w:val="none" w:sz="0" w:space="0" w:color="auto"/>
        <w:left w:val="none" w:sz="0" w:space="0" w:color="auto"/>
        <w:bottom w:val="none" w:sz="0" w:space="0" w:color="auto"/>
        <w:right w:val="none" w:sz="0" w:space="0" w:color="auto"/>
      </w:divBdr>
    </w:div>
    <w:div w:id="1460612844">
      <w:bodyDiv w:val="1"/>
      <w:marLeft w:val="0"/>
      <w:marRight w:val="0"/>
      <w:marTop w:val="0"/>
      <w:marBottom w:val="0"/>
      <w:divBdr>
        <w:top w:val="none" w:sz="0" w:space="0" w:color="auto"/>
        <w:left w:val="none" w:sz="0" w:space="0" w:color="auto"/>
        <w:bottom w:val="none" w:sz="0" w:space="0" w:color="auto"/>
        <w:right w:val="none" w:sz="0" w:space="0" w:color="auto"/>
      </w:divBdr>
    </w:div>
    <w:div w:id="1461000392">
      <w:bodyDiv w:val="1"/>
      <w:marLeft w:val="0"/>
      <w:marRight w:val="0"/>
      <w:marTop w:val="0"/>
      <w:marBottom w:val="0"/>
      <w:divBdr>
        <w:top w:val="none" w:sz="0" w:space="0" w:color="auto"/>
        <w:left w:val="none" w:sz="0" w:space="0" w:color="auto"/>
        <w:bottom w:val="none" w:sz="0" w:space="0" w:color="auto"/>
        <w:right w:val="none" w:sz="0" w:space="0" w:color="auto"/>
      </w:divBdr>
    </w:div>
    <w:div w:id="1461339595">
      <w:bodyDiv w:val="1"/>
      <w:marLeft w:val="0"/>
      <w:marRight w:val="0"/>
      <w:marTop w:val="0"/>
      <w:marBottom w:val="0"/>
      <w:divBdr>
        <w:top w:val="none" w:sz="0" w:space="0" w:color="auto"/>
        <w:left w:val="none" w:sz="0" w:space="0" w:color="auto"/>
        <w:bottom w:val="none" w:sz="0" w:space="0" w:color="auto"/>
        <w:right w:val="none" w:sz="0" w:space="0" w:color="auto"/>
      </w:divBdr>
    </w:div>
    <w:div w:id="1465082725">
      <w:bodyDiv w:val="1"/>
      <w:marLeft w:val="0"/>
      <w:marRight w:val="0"/>
      <w:marTop w:val="0"/>
      <w:marBottom w:val="0"/>
      <w:divBdr>
        <w:top w:val="none" w:sz="0" w:space="0" w:color="auto"/>
        <w:left w:val="none" w:sz="0" w:space="0" w:color="auto"/>
        <w:bottom w:val="none" w:sz="0" w:space="0" w:color="auto"/>
        <w:right w:val="none" w:sz="0" w:space="0" w:color="auto"/>
      </w:divBdr>
    </w:div>
    <w:div w:id="1465350190">
      <w:bodyDiv w:val="1"/>
      <w:marLeft w:val="0"/>
      <w:marRight w:val="0"/>
      <w:marTop w:val="0"/>
      <w:marBottom w:val="0"/>
      <w:divBdr>
        <w:top w:val="none" w:sz="0" w:space="0" w:color="auto"/>
        <w:left w:val="none" w:sz="0" w:space="0" w:color="auto"/>
        <w:bottom w:val="none" w:sz="0" w:space="0" w:color="auto"/>
        <w:right w:val="none" w:sz="0" w:space="0" w:color="auto"/>
      </w:divBdr>
    </w:div>
    <w:div w:id="1471945571">
      <w:bodyDiv w:val="1"/>
      <w:marLeft w:val="0"/>
      <w:marRight w:val="0"/>
      <w:marTop w:val="0"/>
      <w:marBottom w:val="0"/>
      <w:divBdr>
        <w:top w:val="none" w:sz="0" w:space="0" w:color="auto"/>
        <w:left w:val="none" w:sz="0" w:space="0" w:color="auto"/>
        <w:bottom w:val="none" w:sz="0" w:space="0" w:color="auto"/>
        <w:right w:val="none" w:sz="0" w:space="0" w:color="auto"/>
      </w:divBdr>
    </w:div>
    <w:div w:id="1478690495">
      <w:bodyDiv w:val="1"/>
      <w:marLeft w:val="0"/>
      <w:marRight w:val="0"/>
      <w:marTop w:val="0"/>
      <w:marBottom w:val="0"/>
      <w:divBdr>
        <w:top w:val="none" w:sz="0" w:space="0" w:color="auto"/>
        <w:left w:val="none" w:sz="0" w:space="0" w:color="auto"/>
        <w:bottom w:val="none" w:sz="0" w:space="0" w:color="auto"/>
        <w:right w:val="none" w:sz="0" w:space="0" w:color="auto"/>
      </w:divBdr>
    </w:div>
    <w:div w:id="1479497128">
      <w:bodyDiv w:val="1"/>
      <w:marLeft w:val="0"/>
      <w:marRight w:val="0"/>
      <w:marTop w:val="0"/>
      <w:marBottom w:val="0"/>
      <w:divBdr>
        <w:top w:val="none" w:sz="0" w:space="0" w:color="auto"/>
        <w:left w:val="none" w:sz="0" w:space="0" w:color="auto"/>
        <w:bottom w:val="none" w:sz="0" w:space="0" w:color="auto"/>
        <w:right w:val="none" w:sz="0" w:space="0" w:color="auto"/>
      </w:divBdr>
    </w:div>
    <w:div w:id="1480683328">
      <w:bodyDiv w:val="1"/>
      <w:marLeft w:val="0"/>
      <w:marRight w:val="0"/>
      <w:marTop w:val="0"/>
      <w:marBottom w:val="0"/>
      <w:divBdr>
        <w:top w:val="none" w:sz="0" w:space="0" w:color="auto"/>
        <w:left w:val="none" w:sz="0" w:space="0" w:color="auto"/>
        <w:bottom w:val="none" w:sz="0" w:space="0" w:color="auto"/>
        <w:right w:val="none" w:sz="0" w:space="0" w:color="auto"/>
      </w:divBdr>
    </w:div>
    <w:div w:id="1482190113">
      <w:bodyDiv w:val="1"/>
      <w:marLeft w:val="0"/>
      <w:marRight w:val="0"/>
      <w:marTop w:val="0"/>
      <w:marBottom w:val="0"/>
      <w:divBdr>
        <w:top w:val="none" w:sz="0" w:space="0" w:color="auto"/>
        <w:left w:val="none" w:sz="0" w:space="0" w:color="auto"/>
        <w:bottom w:val="none" w:sz="0" w:space="0" w:color="auto"/>
        <w:right w:val="none" w:sz="0" w:space="0" w:color="auto"/>
      </w:divBdr>
    </w:div>
    <w:div w:id="1485318776">
      <w:bodyDiv w:val="1"/>
      <w:marLeft w:val="0"/>
      <w:marRight w:val="0"/>
      <w:marTop w:val="0"/>
      <w:marBottom w:val="0"/>
      <w:divBdr>
        <w:top w:val="none" w:sz="0" w:space="0" w:color="auto"/>
        <w:left w:val="none" w:sz="0" w:space="0" w:color="auto"/>
        <w:bottom w:val="none" w:sz="0" w:space="0" w:color="auto"/>
        <w:right w:val="none" w:sz="0" w:space="0" w:color="auto"/>
      </w:divBdr>
    </w:div>
    <w:div w:id="1488353597">
      <w:bodyDiv w:val="1"/>
      <w:marLeft w:val="0"/>
      <w:marRight w:val="0"/>
      <w:marTop w:val="0"/>
      <w:marBottom w:val="0"/>
      <w:divBdr>
        <w:top w:val="none" w:sz="0" w:space="0" w:color="auto"/>
        <w:left w:val="none" w:sz="0" w:space="0" w:color="auto"/>
        <w:bottom w:val="none" w:sz="0" w:space="0" w:color="auto"/>
        <w:right w:val="none" w:sz="0" w:space="0" w:color="auto"/>
      </w:divBdr>
    </w:div>
    <w:div w:id="1488354842">
      <w:bodyDiv w:val="1"/>
      <w:marLeft w:val="0"/>
      <w:marRight w:val="0"/>
      <w:marTop w:val="0"/>
      <w:marBottom w:val="0"/>
      <w:divBdr>
        <w:top w:val="none" w:sz="0" w:space="0" w:color="auto"/>
        <w:left w:val="none" w:sz="0" w:space="0" w:color="auto"/>
        <w:bottom w:val="none" w:sz="0" w:space="0" w:color="auto"/>
        <w:right w:val="none" w:sz="0" w:space="0" w:color="auto"/>
      </w:divBdr>
    </w:div>
    <w:div w:id="1494641105">
      <w:bodyDiv w:val="1"/>
      <w:marLeft w:val="0"/>
      <w:marRight w:val="0"/>
      <w:marTop w:val="0"/>
      <w:marBottom w:val="0"/>
      <w:divBdr>
        <w:top w:val="none" w:sz="0" w:space="0" w:color="auto"/>
        <w:left w:val="none" w:sz="0" w:space="0" w:color="auto"/>
        <w:bottom w:val="none" w:sz="0" w:space="0" w:color="auto"/>
        <w:right w:val="none" w:sz="0" w:space="0" w:color="auto"/>
      </w:divBdr>
    </w:div>
    <w:div w:id="1494645048">
      <w:bodyDiv w:val="1"/>
      <w:marLeft w:val="0"/>
      <w:marRight w:val="0"/>
      <w:marTop w:val="0"/>
      <w:marBottom w:val="0"/>
      <w:divBdr>
        <w:top w:val="none" w:sz="0" w:space="0" w:color="auto"/>
        <w:left w:val="none" w:sz="0" w:space="0" w:color="auto"/>
        <w:bottom w:val="none" w:sz="0" w:space="0" w:color="auto"/>
        <w:right w:val="none" w:sz="0" w:space="0" w:color="auto"/>
      </w:divBdr>
    </w:div>
    <w:div w:id="1499230451">
      <w:bodyDiv w:val="1"/>
      <w:marLeft w:val="0"/>
      <w:marRight w:val="0"/>
      <w:marTop w:val="0"/>
      <w:marBottom w:val="0"/>
      <w:divBdr>
        <w:top w:val="none" w:sz="0" w:space="0" w:color="auto"/>
        <w:left w:val="none" w:sz="0" w:space="0" w:color="auto"/>
        <w:bottom w:val="none" w:sz="0" w:space="0" w:color="auto"/>
        <w:right w:val="none" w:sz="0" w:space="0" w:color="auto"/>
      </w:divBdr>
    </w:div>
    <w:div w:id="1505853136">
      <w:bodyDiv w:val="1"/>
      <w:marLeft w:val="0"/>
      <w:marRight w:val="0"/>
      <w:marTop w:val="0"/>
      <w:marBottom w:val="0"/>
      <w:divBdr>
        <w:top w:val="none" w:sz="0" w:space="0" w:color="auto"/>
        <w:left w:val="none" w:sz="0" w:space="0" w:color="auto"/>
        <w:bottom w:val="none" w:sz="0" w:space="0" w:color="auto"/>
        <w:right w:val="none" w:sz="0" w:space="0" w:color="auto"/>
      </w:divBdr>
    </w:div>
    <w:div w:id="1507480607">
      <w:bodyDiv w:val="1"/>
      <w:marLeft w:val="0"/>
      <w:marRight w:val="0"/>
      <w:marTop w:val="0"/>
      <w:marBottom w:val="0"/>
      <w:divBdr>
        <w:top w:val="none" w:sz="0" w:space="0" w:color="auto"/>
        <w:left w:val="none" w:sz="0" w:space="0" w:color="auto"/>
        <w:bottom w:val="none" w:sz="0" w:space="0" w:color="auto"/>
        <w:right w:val="none" w:sz="0" w:space="0" w:color="auto"/>
      </w:divBdr>
    </w:div>
    <w:div w:id="1515411670">
      <w:bodyDiv w:val="1"/>
      <w:marLeft w:val="0"/>
      <w:marRight w:val="0"/>
      <w:marTop w:val="0"/>
      <w:marBottom w:val="0"/>
      <w:divBdr>
        <w:top w:val="none" w:sz="0" w:space="0" w:color="auto"/>
        <w:left w:val="none" w:sz="0" w:space="0" w:color="auto"/>
        <w:bottom w:val="none" w:sz="0" w:space="0" w:color="auto"/>
        <w:right w:val="none" w:sz="0" w:space="0" w:color="auto"/>
      </w:divBdr>
    </w:div>
    <w:div w:id="1515530355">
      <w:bodyDiv w:val="1"/>
      <w:marLeft w:val="0"/>
      <w:marRight w:val="0"/>
      <w:marTop w:val="0"/>
      <w:marBottom w:val="0"/>
      <w:divBdr>
        <w:top w:val="none" w:sz="0" w:space="0" w:color="auto"/>
        <w:left w:val="none" w:sz="0" w:space="0" w:color="auto"/>
        <w:bottom w:val="none" w:sz="0" w:space="0" w:color="auto"/>
        <w:right w:val="none" w:sz="0" w:space="0" w:color="auto"/>
      </w:divBdr>
    </w:div>
    <w:div w:id="1520654019">
      <w:bodyDiv w:val="1"/>
      <w:marLeft w:val="0"/>
      <w:marRight w:val="0"/>
      <w:marTop w:val="0"/>
      <w:marBottom w:val="0"/>
      <w:divBdr>
        <w:top w:val="none" w:sz="0" w:space="0" w:color="auto"/>
        <w:left w:val="none" w:sz="0" w:space="0" w:color="auto"/>
        <w:bottom w:val="none" w:sz="0" w:space="0" w:color="auto"/>
        <w:right w:val="none" w:sz="0" w:space="0" w:color="auto"/>
      </w:divBdr>
    </w:div>
    <w:div w:id="1531070458">
      <w:bodyDiv w:val="1"/>
      <w:marLeft w:val="0"/>
      <w:marRight w:val="0"/>
      <w:marTop w:val="0"/>
      <w:marBottom w:val="0"/>
      <w:divBdr>
        <w:top w:val="none" w:sz="0" w:space="0" w:color="auto"/>
        <w:left w:val="none" w:sz="0" w:space="0" w:color="auto"/>
        <w:bottom w:val="none" w:sz="0" w:space="0" w:color="auto"/>
        <w:right w:val="none" w:sz="0" w:space="0" w:color="auto"/>
      </w:divBdr>
    </w:div>
    <w:div w:id="1532451667">
      <w:bodyDiv w:val="1"/>
      <w:marLeft w:val="0"/>
      <w:marRight w:val="0"/>
      <w:marTop w:val="0"/>
      <w:marBottom w:val="0"/>
      <w:divBdr>
        <w:top w:val="none" w:sz="0" w:space="0" w:color="auto"/>
        <w:left w:val="none" w:sz="0" w:space="0" w:color="auto"/>
        <w:bottom w:val="none" w:sz="0" w:space="0" w:color="auto"/>
        <w:right w:val="none" w:sz="0" w:space="0" w:color="auto"/>
      </w:divBdr>
    </w:div>
    <w:div w:id="1532761230">
      <w:bodyDiv w:val="1"/>
      <w:marLeft w:val="0"/>
      <w:marRight w:val="0"/>
      <w:marTop w:val="0"/>
      <w:marBottom w:val="0"/>
      <w:divBdr>
        <w:top w:val="none" w:sz="0" w:space="0" w:color="auto"/>
        <w:left w:val="none" w:sz="0" w:space="0" w:color="auto"/>
        <w:bottom w:val="none" w:sz="0" w:space="0" w:color="auto"/>
        <w:right w:val="none" w:sz="0" w:space="0" w:color="auto"/>
      </w:divBdr>
    </w:div>
    <w:div w:id="1537422524">
      <w:bodyDiv w:val="1"/>
      <w:marLeft w:val="0"/>
      <w:marRight w:val="0"/>
      <w:marTop w:val="0"/>
      <w:marBottom w:val="0"/>
      <w:divBdr>
        <w:top w:val="none" w:sz="0" w:space="0" w:color="auto"/>
        <w:left w:val="none" w:sz="0" w:space="0" w:color="auto"/>
        <w:bottom w:val="none" w:sz="0" w:space="0" w:color="auto"/>
        <w:right w:val="none" w:sz="0" w:space="0" w:color="auto"/>
      </w:divBdr>
    </w:div>
    <w:div w:id="1539199161">
      <w:bodyDiv w:val="1"/>
      <w:marLeft w:val="0"/>
      <w:marRight w:val="0"/>
      <w:marTop w:val="0"/>
      <w:marBottom w:val="0"/>
      <w:divBdr>
        <w:top w:val="none" w:sz="0" w:space="0" w:color="auto"/>
        <w:left w:val="none" w:sz="0" w:space="0" w:color="auto"/>
        <w:bottom w:val="none" w:sz="0" w:space="0" w:color="auto"/>
        <w:right w:val="none" w:sz="0" w:space="0" w:color="auto"/>
      </w:divBdr>
    </w:div>
    <w:div w:id="1545672876">
      <w:bodyDiv w:val="1"/>
      <w:marLeft w:val="0"/>
      <w:marRight w:val="0"/>
      <w:marTop w:val="0"/>
      <w:marBottom w:val="0"/>
      <w:divBdr>
        <w:top w:val="none" w:sz="0" w:space="0" w:color="auto"/>
        <w:left w:val="none" w:sz="0" w:space="0" w:color="auto"/>
        <w:bottom w:val="none" w:sz="0" w:space="0" w:color="auto"/>
        <w:right w:val="none" w:sz="0" w:space="0" w:color="auto"/>
      </w:divBdr>
    </w:div>
    <w:div w:id="1546286409">
      <w:bodyDiv w:val="1"/>
      <w:marLeft w:val="0"/>
      <w:marRight w:val="0"/>
      <w:marTop w:val="0"/>
      <w:marBottom w:val="0"/>
      <w:divBdr>
        <w:top w:val="none" w:sz="0" w:space="0" w:color="auto"/>
        <w:left w:val="none" w:sz="0" w:space="0" w:color="auto"/>
        <w:bottom w:val="none" w:sz="0" w:space="0" w:color="auto"/>
        <w:right w:val="none" w:sz="0" w:space="0" w:color="auto"/>
      </w:divBdr>
    </w:div>
    <w:div w:id="1546716559">
      <w:bodyDiv w:val="1"/>
      <w:marLeft w:val="0"/>
      <w:marRight w:val="0"/>
      <w:marTop w:val="0"/>
      <w:marBottom w:val="0"/>
      <w:divBdr>
        <w:top w:val="none" w:sz="0" w:space="0" w:color="auto"/>
        <w:left w:val="none" w:sz="0" w:space="0" w:color="auto"/>
        <w:bottom w:val="none" w:sz="0" w:space="0" w:color="auto"/>
        <w:right w:val="none" w:sz="0" w:space="0" w:color="auto"/>
      </w:divBdr>
    </w:div>
    <w:div w:id="1547065707">
      <w:bodyDiv w:val="1"/>
      <w:marLeft w:val="0"/>
      <w:marRight w:val="0"/>
      <w:marTop w:val="0"/>
      <w:marBottom w:val="0"/>
      <w:divBdr>
        <w:top w:val="none" w:sz="0" w:space="0" w:color="auto"/>
        <w:left w:val="none" w:sz="0" w:space="0" w:color="auto"/>
        <w:bottom w:val="none" w:sz="0" w:space="0" w:color="auto"/>
        <w:right w:val="none" w:sz="0" w:space="0" w:color="auto"/>
      </w:divBdr>
    </w:div>
    <w:div w:id="1547331754">
      <w:bodyDiv w:val="1"/>
      <w:marLeft w:val="0"/>
      <w:marRight w:val="0"/>
      <w:marTop w:val="0"/>
      <w:marBottom w:val="0"/>
      <w:divBdr>
        <w:top w:val="none" w:sz="0" w:space="0" w:color="auto"/>
        <w:left w:val="none" w:sz="0" w:space="0" w:color="auto"/>
        <w:bottom w:val="none" w:sz="0" w:space="0" w:color="auto"/>
        <w:right w:val="none" w:sz="0" w:space="0" w:color="auto"/>
      </w:divBdr>
    </w:div>
    <w:div w:id="1549142988">
      <w:bodyDiv w:val="1"/>
      <w:marLeft w:val="0"/>
      <w:marRight w:val="0"/>
      <w:marTop w:val="0"/>
      <w:marBottom w:val="0"/>
      <w:divBdr>
        <w:top w:val="none" w:sz="0" w:space="0" w:color="auto"/>
        <w:left w:val="none" w:sz="0" w:space="0" w:color="auto"/>
        <w:bottom w:val="none" w:sz="0" w:space="0" w:color="auto"/>
        <w:right w:val="none" w:sz="0" w:space="0" w:color="auto"/>
      </w:divBdr>
    </w:div>
    <w:div w:id="1551184446">
      <w:bodyDiv w:val="1"/>
      <w:marLeft w:val="0"/>
      <w:marRight w:val="0"/>
      <w:marTop w:val="0"/>
      <w:marBottom w:val="0"/>
      <w:divBdr>
        <w:top w:val="none" w:sz="0" w:space="0" w:color="auto"/>
        <w:left w:val="none" w:sz="0" w:space="0" w:color="auto"/>
        <w:bottom w:val="none" w:sz="0" w:space="0" w:color="auto"/>
        <w:right w:val="none" w:sz="0" w:space="0" w:color="auto"/>
      </w:divBdr>
    </w:div>
    <w:div w:id="1558589172">
      <w:bodyDiv w:val="1"/>
      <w:marLeft w:val="0"/>
      <w:marRight w:val="0"/>
      <w:marTop w:val="0"/>
      <w:marBottom w:val="0"/>
      <w:divBdr>
        <w:top w:val="none" w:sz="0" w:space="0" w:color="auto"/>
        <w:left w:val="none" w:sz="0" w:space="0" w:color="auto"/>
        <w:bottom w:val="none" w:sz="0" w:space="0" w:color="auto"/>
        <w:right w:val="none" w:sz="0" w:space="0" w:color="auto"/>
      </w:divBdr>
    </w:div>
    <w:div w:id="1558589614">
      <w:bodyDiv w:val="1"/>
      <w:marLeft w:val="0"/>
      <w:marRight w:val="0"/>
      <w:marTop w:val="0"/>
      <w:marBottom w:val="0"/>
      <w:divBdr>
        <w:top w:val="none" w:sz="0" w:space="0" w:color="auto"/>
        <w:left w:val="none" w:sz="0" w:space="0" w:color="auto"/>
        <w:bottom w:val="none" w:sz="0" w:space="0" w:color="auto"/>
        <w:right w:val="none" w:sz="0" w:space="0" w:color="auto"/>
      </w:divBdr>
    </w:div>
    <w:div w:id="1563641851">
      <w:bodyDiv w:val="1"/>
      <w:marLeft w:val="0"/>
      <w:marRight w:val="0"/>
      <w:marTop w:val="0"/>
      <w:marBottom w:val="0"/>
      <w:divBdr>
        <w:top w:val="none" w:sz="0" w:space="0" w:color="auto"/>
        <w:left w:val="none" w:sz="0" w:space="0" w:color="auto"/>
        <w:bottom w:val="none" w:sz="0" w:space="0" w:color="auto"/>
        <w:right w:val="none" w:sz="0" w:space="0" w:color="auto"/>
      </w:divBdr>
    </w:div>
    <w:div w:id="1565413188">
      <w:bodyDiv w:val="1"/>
      <w:marLeft w:val="0"/>
      <w:marRight w:val="0"/>
      <w:marTop w:val="0"/>
      <w:marBottom w:val="0"/>
      <w:divBdr>
        <w:top w:val="none" w:sz="0" w:space="0" w:color="auto"/>
        <w:left w:val="none" w:sz="0" w:space="0" w:color="auto"/>
        <w:bottom w:val="none" w:sz="0" w:space="0" w:color="auto"/>
        <w:right w:val="none" w:sz="0" w:space="0" w:color="auto"/>
      </w:divBdr>
    </w:div>
    <w:div w:id="1568033283">
      <w:bodyDiv w:val="1"/>
      <w:marLeft w:val="0"/>
      <w:marRight w:val="0"/>
      <w:marTop w:val="0"/>
      <w:marBottom w:val="0"/>
      <w:divBdr>
        <w:top w:val="none" w:sz="0" w:space="0" w:color="auto"/>
        <w:left w:val="none" w:sz="0" w:space="0" w:color="auto"/>
        <w:bottom w:val="none" w:sz="0" w:space="0" w:color="auto"/>
        <w:right w:val="none" w:sz="0" w:space="0" w:color="auto"/>
      </w:divBdr>
    </w:div>
    <w:div w:id="1568153821">
      <w:bodyDiv w:val="1"/>
      <w:marLeft w:val="0"/>
      <w:marRight w:val="0"/>
      <w:marTop w:val="0"/>
      <w:marBottom w:val="0"/>
      <w:divBdr>
        <w:top w:val="none" w:sz="0" w:space="0" w:color="auto"/>
        <w:left w:val="none" w:sz="0" w:space="0" w:color="auto"/>
        <w:bottom w:val="none" w:sz="0" w:space="0" w:color="auto"/>
        <w:right w:val="none" w:sz="0" w:space="0" w:color="auto"/>
      </w:divBdr>
    </w:div>
    <w:div w:id="1568806389">
      <w:bodyDiv w:val="1"/>
      <w:marLeft w:val="0"/>
      <w:marRight w:val="0"/>
      <w:marTop w:val="0"/>
      <w:marBottom w:val="0"/>
      <w:divBdr>
        <w:top w:val="none" w:sz="0" w:space="0" w:color="auto"/>
        <w:left w:val="none" w:sz="0" w:space="0" w:color="auto"/>
        <w:bottom w:val="none" w:sz="0" w:space="0" w:color="auto"/>
        <w:right w:val="none" w:sz="0" w:space="0" w:color="auto"/>
      </w:divBdr>
    </w:div>
    <w:div w:id="1573813855">
      <w:bodyDiv w:val="1"/>
      <w:marLeft w:val="0"/>
      <w:marRight w:val="0"/>
      <w:marTop w:val="0"/>
      <w:marBottom w:val="0"/>
      <w:divBdr>
        <w:top w:val="none" w:sz="0" w:space="0" w:color="auto"/>
        <w:left w:val="none" w:sz="0" w:space="0" w:color="auto"/>
        <w:bottom w:val="none" w:sz="0" w:space="0" w:color="auto"/>
        <w:right w:val="none" w:sz="0" w:space="0" w:color="auto"/>
      </w:divBdr>
    </w:div>
    <w:div w:id="1577473933">
      <w:bodyDiv w:val="1"/>
      <w:marLeft w:val="0"/>
      <w:marRight w:val="0"/>
      <w:marTop w:val="0"/>
      <w:marBottom w:val="0"/>
      <w:divBdr>
        <w:top w:val="none" w:sz="0" w:space="0" w:color="auto"/>
        <w:left w:val="none" w:sz="0" w:space="0" w:color="auto"/>
        <w:bottom w:val="none" w:sz="0" w:space="0" w:color="auto"/>
        <w:right w:val="none" w:sz="0" w:space="0" w:color="auto"/>
      </w:divBdr>
    </w:div>
    <w:div w:id="1578248944">
      <w:bodyDiv w:val="1"/>
      <w:marLeft w:val="0"/>
      <w:marRight w:val="0"/>
      <w:marTop w:val="0"/>
      <w:marBottom w:val="0"/>
      <w:divBdr>
        <w:top w:val="none" w:sz="0" w:space="0" w:color="auto"/>
        <w:left w:val="none" w:sz="0" w:space="0" w:color="auto"/>
        <w:bottom w:val="none" w:sz="0" w:space="0" w:color="auto"/>
        <w:right w:val="none" w:sz="0" w:space="0" w:color="auto"/>
      </w:divBdr>
    </w:div>
    <w:div w:id="1578594064">
      <w:bodyDiv w:val="1"/>
      <w:marLeft w:val="0"/>
      <w:marRight w:val="0"/>
      <w:marTop w:val="0"/>
      <w:marBottom w:val="0"/>
      <w:divBdr>
        <w:top w:val="none" w:sz="0" w:space="0" w:color="auto"/>
        <w:left w:val="none" w:sz="0" w:space="0" w:color="auto"/>
        <w:bottom w:val="none" w:sz="0" w:space="0" w:color="auto"/>
        <w:right w:val="none" w:sz="0" w:space="0" w:color="auto"/>
      </w:divBdr>
    </w:div>
    <w:div w:id="1583836926">
      <w:bodyDiv w:val="1"/>
      <w:marLeft w:val="0"/>
      <w:marRight w:val="0"/>
      <w:marTop w:val="0"/>
      <w:marBottom w:val="0"/>
      <w:divBdr>
        <w:top w:val="none" w:sz="0" w:space="0" w:color="auto"/>
        <w:left w:val="none" w:sz="0" w:space="0" w:color="auto"/>
        <w:bottom w:val="none" w:sz="0" w:space="0" w:color="auto"/>
        <w:right w:val="none" w:sz="0" w:space="0" w:color="auto"/>
      </w:divBdr>
    </w:div>
    <w:div w:id="1591816870">
      <w:bodyDiv w:val="1"/>
      <w:marLeft w:val="0"/>
      <w:marRight w:val="0"/>
      <w:marTop w:val="0"/>
      <w:marBottom w:val="0"/>
      <w:divBdr>
        <w:top w:val="none" w:sz="0" w:space="0" w:color="auto"/>
        <w:left w:val="none" w:sz="0" w:space="0" w:color="auto"/>
        <w:bottom w:val="none" w:sz="0" w:space="0" w:color="auto"/>
        <w:right w:val="none" w:sz="0" w:space="0" w:color="auto"/>
      </w:divBdr>
    </w:div>
    <w:div w:id="1593002912">
      <w:bodyDiv w:val="1"/>
      <w:marLeft w:val="0"/>
      <w:marRight w:val="0"/>
      <w:marTop w:val="0"/>
      <w:marBottom w:val="0"/>
      <w:divBdr>
        <w:top w:val="none" w:sz="0" w:space="0" w:color="auto"/>
        <w:left w:val="none" w:sz="0" w:space="0" w:color="auto"/>
        <w:bottom w:val="none" w:sz="0" w:space="0" w:color="auto"/>
        <w:right w:val="none" w:sz="0" w:space="0" w:color="auto"/>
      </w:divBdr>
    </w:div>
    <w:div w:id="1593709220">
      <w:bodyDiv w:val="1"/>
      <w:marLeft w:val="0"/>
      <w:marRight w:val="0"/>
      <w:marTop w:val="0"/>
      <w:marBottom w:val="0"/>
      <w:divBdr>
        <w:top w:val="none" w:sz="0" w:space="0" w:color="auto"/>
        <w:left w:val="none" w:sz="0" w:space="0" w:color="auto"/>
        <w:bottom w:val="none" w:sz="0" w:space="0" w:color="auto"/>
        <w:right w:val="none" w:sz="0" w:space="0" w:color="auto"/>
      </w:divBdr>
    </w:div>
    <w:div w:id="1593858298">
      <w:bodyDiv w:val="1"/>
      <w:marLeft w:val="0"/>
      <w:marRight w:val="0"/>
      <w:marTop w:val="0"/>
      <w:marBottom w:val="0"/>
      <w:divBdr>
        <w:top w:val="none" w:sz="0" w:space="0" w:color="auto"/>
        <w:left w:val="none" w:sz="0" w:space="0" w:color="auto"/>
        <w:bottom w:val="none" w:sz="0" w:space="0" w:color="auto"/>
        <w:right w:val="none" w:sz="0" w:space="0" w:color="auto"/>
      </w:divBdr>
    </w:div>
    <w:div w:id="1597210357">
      <w:bodyDiv w:val="1"/>
      <w:marLeft w:val="0"/>
      <w:marRight w:val="0"/>
      <w:marTop w:val="0"/>
      <w:marBottom w:val="0"/>
      <w:divBdr>
        <w:top w:val="none" w:sz="0" w:space="0" w:color="auto"/>
        <w:left w:val="none" w:sz="0" w:space="0" w:color="auto"/>
        <w:bottom w:val="none" w:sz="0" w:space="0" w:color="auto"/>
        <w:right w:val="none" w:sz="0" w:space="0" w:color="auto"/>
      </w:divBdr>
    </w:div>
    <w:div w:id="1599362900">
      <w:bodyDiv w:val="1"/>
      <w:marLeft w:val="0"/>
      <w:marRight w:val="0"/>
      <w:marTop w:val="0"/>
      <w:marBottom w:val="0"/>
      <w:divBdr>
        <w:top w:val="none" w:sz="0" w:space="0" w:color="auto"/>
        <w:left w:val="none" w:sz="0" w:space="0" w:color="auto"/>
        <w:bottom w:val="none" w:sz="0" w:space="0" w:color="auto"/>
        <w:right w:val="none" w:sz="0" w:space="0" w:color="auto"/>
      </w:divBdr>
    </w:div>
    <w:div w:id="1601184328">
      <w:bodyDiv w:val="1"/>
      <w:marLeft w:val="0"/>
      <w:marRight w:val="0"/>
      <w:marTop w:val="0"/>
      <w:marBottom w:val="0"/>
      <w:divBdr>
        <w:top w:val="none" w:sz="0" w:space="0" w:color="auto"/>
        <w:left w:val="none" w:sz="0" w:space="0" w:color="auto"/>
        <w:bottom w:val="none" w:sz="0" w:space="0" w:color="auto"/>
        <w:right w:val="none" w:sz="0" w:space="0" w:color="auto"/>
      </w:divBdr>
    </w:div>
    <w:div w:id="1602642114">
      <w:bodyDiv w:val="1"/>
      <w:marLeft w:val="0"/>
      <w:marRight w:val="0"/>
      <w:marTop w:val="0"/>
      <w:marBottom w:val="0"/>
      <w:divBdr>
        <w:top w:val="none" w:sz="0" w:space="0" w:color="auto"/>
        <w:left w:val="none" w:sz="0" w:space="0" w:color="auto"/>
        <w:bottom w:val="none" w:sz="0" w:space="0" w:color="auto"/>
        <w:right w:val="none" w:sz="0" w:space="0" w:color="auto"/>
      </w:divBdr>
    </w:div>
    <w:div w:id="1602882204">
      <w:bodyDiv w:val="1"/>
      <w:marLeft w:val="0"/>
      <w:marRight w:val="0"/>
      <w:marTop w:val="0"/>
      <w:marBottom w:val="0"/>
      <w:divBdr>
        <w:top w:val="none" w:sz="0" w:space="0" w:color="auto"/>
        <w:left w:val="none" w:sz="0" w:space="0" w:color="auto"/>
        <w:bottom w:val="none" w:sz="0" w:space="0" w:color="auto"/>
        <w:right w:val="none" w:sz="0" w:space="0" w:color="auto"/>
      </w:divBdr>
    </w:div>
    <w:div w:id="1608390517">
      <w:bodyDiv w:val="1"/>
      <w:marLeft w:val="0"/>
      <w:marRight w:val="0"/>
      <w:marTop w:val="0"/>
      <w:marBottom w:val="0"/>
      <w:divBdr>
        <w:top w:val="none" w:sz="0" w:space="0" w:color="auto"/>
        <w:left w:val="none" w:sz="0" w:space="0" w:color="auto"/>
        <w:bottom w:val="none" w:sz="0" w:space="0" w:color="auto"/>
        <w:right w:val="none" w:sz="0" w:space="0" w:color="auto"/>
      </w:divBdr>
    </w:div>
    <w:div w:id="1609972195">
      <w:bodyDiv w:val="1"/>
      <w:marLeft w:val="0"/>
      <w:marRight w:val="0"/>
      <w:marTop w:val="0"/>
      <w:marBottom w:val="0"/>
      <w:divBdr>
        <w:top w:val="none" w:sz="0" w:space="0" w:color="auto"/>
        <w:left w:val="none" w:sz="0" w:space="0" w:color="auto"/>
        <w:bottom w:val="none" w:sz="0" w:space="0" w:color="auto"/>
        <w:right w:val="none" w:sz="0" w:space="0" w:color="auto"/>
      </w:divBdr>
    </w:div>
    <w:div w:id="1614899007">
      <w:bodyDiv w:val="1"/>
      <w:marLeft w:val="0"/>
      <w:marRight w:val="0"/>
      <w:marTop w:val="0"/>
      <w:marBottom w:val="0"/>
      <w:divBdr>
        <w:top w:val="none" w:sz="0" w:space="0" w:color="auto"/>
        <w:left w:val="none" w:sz="0" w:space="0" w:color="auto"/>
        <w:bottom w:val="none" w:sz="0" w:space="0" w:color="auto"/>
        <w:right w:val="none" w:sz="0" w:space="0" w:color="auto"/>
      </w:divBdr>
    </w:div>
    <w:div w:id="1615670769">
      <w:bodyDiv w:val="1"/>
      <w:marLeft w:val="0"/>
      <w:marRight w:val="0"/>
      <w:marTop w:val="0"/>
      <w:marBottom w:val="0"/>
      <w:divBdr>
        <w:top w:val="none" w:sz="0" w:space="0" w:color="auto"/>
        <w:left w:val="none" w:sz="0" w:space="0" w:color="auto"/>
        <w:bottom w:val="none" w:sz="0" w:space="0" w:color="auto"/>
        <w:right w:val="none" w:sz="0" w:space="0" w:color="auto"/>
      </w:divBdr>
    </w:div>
    <w:div w:id="1619679954">
      <w:bodyDiv w:val="1"/>
      <w:marLeft w:val="0"/>
      <w:marRight w:val="0"/>
      <w:marTop w:val="0"/>
      <w:marBottom w:val="0"/>
      <w:divBdr>
        <w:top w:val="none" w:sz="0" w:space="0" w:color="auto"/>
        <w:left w:val="none" w:sz="0" w:space="0" w:color="auto"/>
        <w:bottom w:val="none" w:sz="0" w:space="0" w:color="auto"/>
        <w:right w:val="none" w:sz="0" w:space="0" w:color="auto"/>
      </w:divBdr>
    </w:div>
    <w:div w:id="1622300081">
      <w:bodyDiv w:val="1"/>
      <w:marLeft w:val="0"/>
      <w:marRight w:val="0"/>
      <w:marTop w:val="0"/>
      <w:marBottom w:val="0"/>
      <w:divBdr>
        <w:top w:val="none" w:sz="0" w:space="0" w:color="auto"/>
        <w:left w:val="none" w:sz="0" w:space="0" w:color="auto"/>
        <w:bottom w:val="none" w:sz="0" w:space="0" w:color="auto"/>
        <w:right w:val="none" w:sz="0" w:space="0" w:color="auto"/>
      </w:divBdr>
    </w:div>
    <w:div w:id="1623654625">
      <w:bodyDiv w:val="1"/>
      <w:marLeft w:val="0"/>
      <w:marRight w:val="0"/>
      <w:marTop w:val="0"/>
      <w:marBottom w:val="0"/>
      <w:divBdr>
        <w:top w:val="none" w:sz="0" w:space="0" w:color="auto"/>
        <w:left w:val="none" w:sz="0" w:space="0" w:color="auto"/>
        <w:bottom w:val="none" w:sz="0" w:space="0" w:color="auto"/>
        <w:right w:val="none" w:sz="0" w:space="0" w:color="auto"/>
      </w:divBdr>
    </w:div>
    <w:div w:id="1623655900">
      <w:bodyDiv w:val="1"/>
      <w:marLeft w:val="0"/>
      <w:marRight w:val="0"/>
      <w:marTop w:val="0"/>
      <w:marBottom w:val="0"/>
      <w:divBdr>
        <w:top w:val="none" w:sz="0" w:space="0" w:color="auto"/>
        <w:left w:val="none" w:sz="0" w:space="0" w:color="auto"/>
        <w:bottom w:val="none" w:sz="0" w:space="0" w:color="auto"/>
        <w:right w:val="none" w:sz="0" w:space="0" w:color="auto"/>
      </w:divBdr>
    </w:div>
    <w:div w:id="1627732376">
      <w:bodyDiv w:val="1"/>
      <w:marLeft w:val="0"/>
      <w:marRight w:val="0"/>
      <w:marTop w:val="0"/>
      <w:marBottom w:val="0"/>
      <w:divBdr>
        <w:top w:val="none" w:sz="0" w:space="0" w:color="auto"/>
        <w:left w:val="none" w:sz="0" w:space="0" w:color="auto"/>
        <w:bottom w:val="none" w:sz="0" w:space="0" w:color="auto"/>
        <w:right w:val="none" w:sz="0" w:space="0" w:color="auto"/>
      </w:divBdr>
    </w:div>
    <w:div w:id="1634362512">
      <w:bodyDiv w:val="1"/>
      <w:marLeft w:val="0"/>
      <w:marRight w:val="0"/>
      <w:marTop w:val="0"/>
      <w:marBottom w:val="0"/>
      <w:divBdr>
        <w:top w:val="none" w:sz="0" w:space="0" w:color="auto"/>
        <w:left w:val="none" w:sz="0" w:space="0" w:color="auto"/>
        <w:bottom w:val="none" w:sz="0" w:space="0" w:color="auto"/>
        <w:right w:val="none" w:sz="0" w:space="0" w:color="auto"/>
      </w:divBdr>
    </w:div>
    <w:div w:id="1637679740">
      <w:bodyDiv w:val="1"/>
      <w:marLeft w:val="0"/>
      <w:marRight w:val="0"/>
      <w:marTop w:val="0"/>
      <w:marBottom w:val="0"/>
      <w:divBdr>
        <w:top w:val="none" w:sz="0" w:space="0" w:color="auto"/>
        <w:left w:val="none" w:sz="0" w:space="0" w:color="auto"/>
        <w:bottom w:val="none" w:sz="0" w:space="0" w:color="auto"/>
        <w:right w:val="none" w:sz="0" w:space="0" w:color="auto"/>
      </w:divBdr>
    </w:div>
    <w:div w:id="1639383146">
      <w:bodyDiv w:val="1"/>
      <w:marLeft w:val="0"/>
      <w:marRight w:val="0"/>
      <w:marTop w:val="0"/>
      <w:marBottom w:val="0"/>
      <w:divBdr>
        <w:top w:val="none" w:sz="0" w:space="0" w:color="auto"/>
        <w:left w:val="none" w:sz="0" w:space="0" w:color="auto"/>
        <w:bottom w:val="none" w:sz="0" w:space="0" w:color="auto"/>
        <w:right w:val="none" w:sz="0" w:space="0" w:color="auto"/>
      </w:divBdr>
    </w:div>
    <w:div w:id="1647392805">
      <w:bodyDiv w:val="1"/>
      <w:marLeft w:val="0"/>
      <w:marRight w:val="0"/>
      <w:marTop w:val="0"/>
      <w:marBottom w:val="0"/>
      <w:divBdr>
        <w:top w:val="none" w:sz="0" w:space="0" w:color="auto"/>
        <w:left w:val="none" w:sz="0" w:space="0" w:color="auto"/>
        <w:bottom w:val="none" w:sz="0" w:space="0" w:color="auto"/>
        <w:right w:val="none" w:sz="0" w:space="0" w:color="auto"/>
      </w:divBdr>
    </w:div>
    <w:div w:id="1650282611">
      <w:bodyDiv w:val="1"/>
      <w:marLeft w:val="0"/>
      <w:marRight w:val="0"/>
      <w:marTop w:val="0"/>
      <w:marBottom w:val="0"/>
      <w:divBdr>
        <w:top w:val="none" w:sz="0" w:space="0" w:color="auto"/>
        <w:left w:val="none" w:sz="0" w:space="0" w:color="auto"/>
        <w:bottom w:val="none" w:sz="0" w:space="0" w:color="auto"/>
        <w:right w:val="none" w:sz="0" w:space="0" w:color="auto"/>
      </w:divBdr>
    </w:div>
    <w:div w:id="1662153832">
      <w:bodyDiv w:val="1"/>
      <w:marLeft w:val="0"/>
      <w:marRight w:val="0"/>
      <w:marTop w:val="0"/>
      <w:marBottom w:val="0"/>
      <w:divBdr>
        <w:top w:val="none" w:sz="0" w:space="0" w:color="auto"/>
        <w:left w:val="none" w:sz="0" w:space="0" w:color="auto"/>
        <w:bottom w:val="none" w:sz="0" w:space="0" w:color="auto"/>
        <w:right w:val="none" w:sz="0" w:space="0" w:color="auto"/>
      </w:divBdr>
    </w:div>
    <w:div w:id="1667174056">
      <w:bodyDiv w:val="1"/>
      <w:marLeft w:val="0"/>
      <w:marRight w:val="0"/>
      <w:marTop w:val="0"/>
      <w:marBottom w:val="0"/>
      <w:divBdr>
        <w:top w:val="none" w:sz="0" w:space="0" w:color="auto"/>
        <w:left w:val="none" w:sz="0" w:space="0" w:color="auto"/>
        <w:bottom w:val="none" w:sz="0" w:space="0" w:color="auto"/>
        <w:right w:val="none" w:sz="0" w:space="0" w:color="auto"/>
      </w:divBdr>
    </w:div>
    <w:div w:id="1670325170">
      <w:bodyDiv w:val="1"/>
      <w:marLeft w:val="0"/>
      <w:marRight w:val="0"/>
      <w:marTop w:val="0"/>
      <w:marBottom w:val="0"/>
      <w:divBdr>
        <w:top w:val="none" w:sz="0" w:space="0" w:color="auto"/>
        <w:left w:val="none" w:sz="0" w:space="0" w:color="auto"/>
        <w:bottom w:val="none" w:sz="0" w:space="0" w:color="auto"/>
        <w:right w:val="none" w:sz="0" w:space="0" w:color="auto"/>
      </w:divBdr>
    </w:div>
    <w:div w:id="1672875043">
      <w:bodyDiv w:val="1"/>
      <w:marLeft w:val="0"/>
      <w:marRight w:val="0"/>
      <w:marTop w:val="0"/>
      <w:marBottom w:val="0"/>
      <w:divBdr>
        <w:top w:val="none" w:sz="0" w:space="0" w:color="auto"/>
        <w:left w:val="none" w:sz="0" w:space="0" w:color="auto"/>
        <w:bottom w:val="none" w:sz="0" w:space="0" w:color="auto"/>
        <w:right w:val="none" w:sz="0" w:space="0" w:color="auto"/>
      </w:divBdr>
    </w:div>
    <w:div w:id="1674870119">
      <w:bodyDiv w:val="1"/>
      <w:marLeft w:val="0"/>
      <w:marRight w:val="0"/>
      <w:marTop w:val="0"/>
      <w:marBottom w:val="0"/>
      <w:divBdr>
        <w:top w:val="none" w:sz="0" w:space="0" w:color="auto"/>
        <w:left w:val="none" w:sz="0" w:space="0" w:color="auto"/>
        <w:bottom w:val="none" w:sz="0" w:space="0" w:color="auto"/>
        <w:right w:val="none" w:sz="0" w:space="0" w:color="auto"/>
      </w:divBdr>
    </w:div>
    <w:div w:id="1678383055">
      <w:bodyDiv w:val="1"/>
      <w:marLeft w:val="0"/>
      <w:marRight w:val="0"/>
      <w:marTop w:val="0"/>
      <w:marBottom w:val="0"/>
      <w:divBdr>
        <w:top w:val="none" w:sz="0" w:space="0" w:color="auto"/>
        <w:left w:val="none" w:sz="0" w:space="0" w:color="auto"/>
        <w:bottom w:val="none" w:sz="0" w:space="0" w:color="auto"/>
        <w:right w:val="none" w:sz="0" w:space="0" w:color="auto"/>
      </w:divBdr>
    </w:div>
    <w:div w:id="1684353337">
      <w:bodyDiv w:val="1"/>
      <w:marLeft w:val="0"/>
      <w:marRight w:val="0"/>
      <w:marTop w:val="0"/>
      <w:marBottom w:val="0"/>
      <w:divBdr>
        <w:top w:val="none" w:sz="0" w:space="0" w:color="auto"/>
        <w:left w:val="none" w:sz="0" w:space="0" w:color="auto"/>
        <w:bottom w:val="none" w:sz="0" w:space="0" w:color="auto"/>
        <w:right w:val="none" w:sz="0" w:space="0" w:color="auto"/>
      </w:divBdr>
    </w:div>
    <w:div w:id="1687248432">
      <w:bodyDiv w:val="1"/>
      <w:marLeft w:val="0"/>
      <w:marRight w:val="0"/>
      <w:marTop w:val="0"/>
      <w:marBottom w:val="0"/>
      <w:divBdr>
        <w:top w:val="none" w:sz="0" w:space="0" w:color="auto"/>
        <w:left w:val="none" w:sz="0" w:space="0" w:color="auto"/>
        <w:bottom w:val="none" w:sz="0" w:space="0" w:color="auto"/>
        <w:right w:val="none" w:sz="0" w:space="0" w:color="auto"/>
      </w:divBdr>
    </w:div>
    <w:div w:id="1689719921">
      <w:bodyDiv w:val="1"/>
      <w:marLeft w:val="0"/>
      <w:marRight w:val="0"/>
      <w:marTop w:val="0"/>
      <w:marBottom w:val="0"/>
      <w:divBdr>
        <w:top w:val="none" w:sz="0" w:space="0" w:color="auto"/>
        <w:left w:val="none" w:sz="0" w:space="0" w:color="auto"/>
        <w:bottom w:val="none" w:sz="0" w:space="0" w:color="auto"/>
        <w:right w:val="none" w:sz="0" w:space="0" w:color="auto"/>
      </w:divBdr>
    </w:div>
    <w:div w:id="1689990551">
      <w:bodyDiv w:val="1"/>
      <w:marLeft w:val="0"/>
      <w:marRight w:val="0"/>
      <w:marTop w:val="0"/>
      <w:marBottom w:val="0"/>
      <w:divBdr>
        <w:top w:val="none" w:sz="0" w:space="0" w:color="auto"/>
        <w:left w:val="none" w:sz="0" w:space="0" w:color="auto"/>
        <w:bottom w:val="none" w:sz="0" w:space="0" w:color="auto"/>
        <w:right w:val="none" w:sz="0" w:space="0" w:color="auto"/>
      </w:divBdr>
    </w:div>
    <w:div w:id="1707295886">
      <w:bodyDiv w:val="1"/>
      <w:marLeft w:val="0"/>
      <w:marRight w:val="0"/>
      <w:marTop w:val="0"/>
      <w:marBottom w:val="0"/>
      <w:divBdr>
        <w:top w:val="none" w:sz="0" w:space="0" w:color="auto"/>
        <w:left w:val="none" w:sz="0" w:space="0" w:color="auto"/>
        <w:bottom w:val="none" w:sz="0" w:space="0" w:color="auto"/>
        <w:right w:val="none" w:sz="0" w:space="0" w:color="auto"/>
      </w:divBdr>
    </w:div>
    <w:div w:id="1718312324">
      <w:bodyDiv w:val="1"/>
      <w:marLeft w:val="0"/>
      <w:marRight w:val="0"/>
      <w:marTop w:val="0"/>
      <w:marBottom w:val="0"/>
      <w:divBdr>
        <w:top w:val="none" w:sz="0" w:space="0" w:color="auto"/>
        <w:left w:val="none" w:sz="0" w:space="0" w:color="auto"/>
        <w:bottom w:val="none" w:sz="0" w:space="0" w:color="auto"/>
        <w:right w:val="none" w:sz="0" w:space="0" w:color="auto"/>
      </w:divBdr>
    </w:div>
    <w:div w:id="1718822599">
      <w:bodyDiv w:val="1"/>
      <w:marLeft w:val="0"/>
      <w:marRight w:val="0"/>
      <w:marTop w:val="0"/>
      <w:marBottom w:val="0"/>
      <w:divBdr>
        <w:top w:val="none" w:sz="0" w:space="0" w:color="auto"/>
        <w:left w:val="none" w:sz="0" w:space="0" w:color="auto"/>
        <w:bottom w:val="none" w:sz="0" w:space="0" w:color="auto"/>
        <w:right w:val="none" w:sz="0" w:space="0" w:color="auto"/>
      </w:divBdr>
    </w:div>
    <w:div w:id="1724910222">
      <w:bodyDiv w:val="1"/>
      <w:marLeft w:val="0"/>
      <w:marRight w:val="0"/>
      <w:marTop w:val="0"/>
      <w:marBottom w:val="0"/>
      <w:divBdr>
        <w:top w:val="none" w:sz="0" w:space="0" w:color="auto"/>
        <w:left w:val="none" w:sz="0" w:space="0" w:color="auto"/>
        <w:bottom w:val="none" w:sz="0" w:space="0" w:color="auto"/>
        <w:right w:val="none" w:sz="0" w:space="0" w:color="auto"/>
      </w:divBdr>
    </w:div>
    <w:div w:id="1727416118">
      <w:bodyDiv w:val="1"/>
      <w:marLeft w:val="0"/>
      <w:marRight w:val="0"/>
      <w:marTop w:val="0"/>
      <w:marBottom w:val="0"/>
      <w:divBdr>
        <w:top w:val="none" w:sz="0" w:space="0" w:color="auto"/>
        <w:left w:val="none" w:sz="0" w:space="0" w:color="auto"/>
        <w:bottom w:val="none" w:sz="0" w:space="0" w:color="auto"/>
        <w:right w:val="none" w:sz="0" w:space="0" w:color="auto"/>
      </w:divBdr>
    </w:div>
    <w:div w:id="1731730242">
      <w:bodyDiv w:val="1"/>
      <w:marLeft w:val="0"/>
      <w:marRight w:val="0"/>
      <w:marTop w:val="0"/>
      <w:marBottom w:val="0"/>
      <w:divBdr>
        <w:top w:val="none" w:sz="0" w:space="0" w:color="auto"/>
        <w:left w:val="none" w:sz="0" w:space="0" w:color="auto"/>
        <w:bottom w:val="none" w:sz="0" w:space="0" w:color="auto"/>
        <w:right w:val="none" w:sz="0" w:space="0" w:color="auto"/>
      </w:divBdr>
    </w:div>
    <w:div w:id="1735159947">
      <w:bodyDiv w:val="1"/>
      <w:marLeft w:val="0"/>
      <w:marRight w:val="0"/>
      <w:marTop w:val="0"/>
      <w:marBottom w:val="0"/>
      <w:divBdr>
        <w:top w:val="none" w:sz="0" w:space="0" w:color="auto"/>
        <w:left w:val="none" w:sz="0" w:space="0" w:color="auto"/>
        <w:bottom w:val="none" w:sz="0" w:space="0" w:color="auto"/>
        <w:right w:val="none" w:sz="0" w:space="0" w:color="auto"/>
      </w:divBdr>
    </w:div>
    <w:div w:id="1735546768">
      <w:bodyDiv w:val="1"/>
      <w:marLeft w:val="0"/>
      <w:marRight w:val="0"/>
      <w:marTop w:val="0"/>
      <w:marBottom w:val="0"/>
      <w:divBdr>
        <w:top w:val="none" w:sz="0" w:space="0" w:color="auto"/>
        <w:left w:val="none" w:sz="0" w:space="0" w:color="auto"/>
        <w:bottom w:val="none" w:sz="0" w:space="0" w:color="auto"/>
        <w:right w:val="none" w:sz="0" w:space="0" w:color="auto"/>
      </w:divBdr>
    </w:div>
    <w:div w:id="1741102474">
      <w:bodyDiv w:val="1"/>
      <w:marLeft w:val="0"/>
      <w:marRight w:val="0"/>
      <w:marTop w:val="0"/>
      <w:marBottom w:val="0"/>
      <w:divBdr>
        <w:top w:val="none" w:sz="0" w:space="0" w:color="auto"/>
        <w:left w:val="none" w:sz="0" w:space="0" w:color="auto"/>
        <w:bottom w:val="none" w:sz="0" w:space="0" w:color="auto"/>
        <w:right w:val="none" w:sz="0" w:space="0" w:color="auto"/>
      </w:divBdr>
    </w:div>
    <w:div w:id="1746609178">
      <w:bodyDiv w:val="1"/>
      <w:marLeft w:val="0"/>
      <w:marRight w:val="0"/>
      <w:marTop w:val="0"/>
      <w:marBottom w:val="0"/>
      <w:divBdr>
        <w:top w:val="none" w:sz="0" w:space="0" w:color="auto"/>
        <w:left w:val="none" w:sz="0" w:space="0" w:color="auto"/>
        <w:bottom w:val="none" w:sz="0" w:space="0" w:color="auto"/>
        <w:right w:val="none" w:sz="0" w:space="0" w:color="auto"/>
      </w:divBdr>
    </w:div>
    <w:div w:id="1747530811">
      <w:bodyDiv w:val="1"/>
      <w:marLeft w:val="0"/>
      <w:marRight w:val="0"/>
      <w:marTop w:val="0"/>
      <w:marBottom w:val="0"/>
      <w:divBdr>
        <w:top w:val="none" w:sz="0" w:space="0" w:color="auto"/>
        <w:left w:val="none" w:sz="0" w:space="0" w:color="auto"/>
        <w:bottom w:val="none" w:sz="0" w:space="0" w:color="auto"/>
        <w:right w:val="none" w:sz="0" w:space="0" w:color="auto"/>
      </w:divBdr>
    </w:div>
    <w:div w:id="1750035654">
      <w:bodyDiv w:val="1"/>
      <w:marLeft w:val="0"/>
      <w:marRight w:val="0"/>
      <w:marTop w:val="0"/>
      <w:marBottom w:val="0"/>
      <w:divBdr>
        <w:top w:val="none" w:sz="0" w:space="0" w:color="auto"/>
        <w:left w:val="none" w:sz="0" w:space="0" w:color="auto"/>
        <w:bottom w:val="none" w:sz="0" w:space="0" w:color="auto"/>
        <w:right w:val="none" w:sz="0" w:space="0" w:color="auto"/>
      </w:divBdr>
    </w:div>
    <w:div w:id="1752965919">
      <w:bodyDiv w:val="1"/>
      <w:marLeft w:val="0"/>
      <w:marRight w:val="0"/>
      <w:marTop w:val="0"/>
      <w:marBottom w:val="0"/>
      <w:divBdr>
        <w:top w:val="none" w:sz="0" w:space="0" w:color="auto"/>
        <w:left w:val="none" w:sz="0" w:space="0" w:color="auto"/>
        <w:bottom w:val="none" w:sz="0" w:space="0" w:color="auto"/>
        <w:right w:val="none" w:sz="0" w:space="0" w:color="auto"/>
      </w:divBdr>
    </w:div>
    <w:div w:id="1754275761">
      <w:bodyDiv w:val="1"/>
      <w:marLeft w:val="0"/>
      <w:marRight w:val="0"/>
      <w:marTop w:val="0"/>
      <w:marBottom w:val="0"/>
      <w:divBdr>
        <w:top w:val="none" w:sz="0" w:space="0" w:color="auto"/>
        <w:left w:val="none" w:sz="0" w:space="0" w:color="auto"/>
        <w:bottom w:val="none" w:sz="0" w:space="0" w:color="auto"/>
        <w:right w:val="none" w:sz="0" w:space="0" w:color="auto"/>
      </w:divBdr>
    </w:div>
    <w:div w:id="1757828035">
      <w:bodyDiv w:val="1"/>
      <w:marLeft w:val="0"/>
      <w:marRight w:val="0"/>
      <w:marTop w:val="0"/>
      <w:marBottom w:val="0"/>
      <w:divBdr>
        <w:top w:val="none" w:sz="0" w:space="0" w:color="auto"/>
        <w:left w:val="none" w:sz="0" w:space="0" w:color="auto"/>
        <w:bottom w:val="none" w:sz="0" w:space="0" w:color="auto"/>
        <w:right w:val="none" w:sz="0" w:space="0" w:color="auto"/>
      </w:divBdr>
    </w:div>
    <w:div w:id="1762481199">
      <w:bodyDiv w:val="1"/>
      <w:marLeft w:val="0"/>
      <w:marRight w:val="0"/>
      <w:marTop w:val="0"/>
      <w:marBottom w:val="0"/>
      <w:divBdr>
        <w:top w:val="none" w:sz="0" w:space="0" w:color="auto"/>
        <w:left w:val="none" w:sz="0" w:space="0" w:color="auto"/>
        <w:bottom w:val="none" w:sz="0" w:space="0" w:color="auto"/>
        <w:right w:val="none" w:sz="0" w:space="0" w:color="auto"/>
      </w:divBdr>
    </w:div>
    <w:div w:id="1763992937">
      <w:bodyDiv w:val="1"/>
      <w:marLeft w:val="0"/>
      <w:marRight w:val="0"/>
      <w:marTop w:val="0"/>
      <w:marBottom w:val="0"/>
      <w:divBdr>
        <w:top w:val="none" w:sz="0" w:space="0" w:color="auto"/>
        <w:left w:val="none" w:sz="0" w:space="0" w:color="auto"/>
        <w:bottom w:val="none" w:sz="0" w:space="0" w:color="auto"/>
        <w:right w:val="none" w:sz="0" w:space="0" w:color="auto"/>
      </w:divBdr>
    </w:div>
    <w:div w:id="1764375686">
      <w:bodyDiv w:val="1"/>
      <w:marLeft w:val="0"/>
      <w:marRight w:val="0"/>
      <w:marTop w:val="0"/>
      <w:marBottom w:val="0"/>
      <w:divBdr>
        <w:top w:val="none" w:sz="0" w:space="0" w:color="auto"/>
        <w:left w:val="none" w:sz="0" w:space="0" w:color="auto"/>
        <w:bottom w:val="none" w:sz="0" w:space="0" w:color="auto"/>
        <w:right w:val="none" w:sz="0" w:space="0" w:color="auto"/>
      </w:divBdr>
    </w:div>
    <w:div w:id="1764454758">
      <w:bodyDiv w:val="1"/>
      <w:marLeft w:val="0"/>
      <w:marRight w:val="0"/>
      <w:marTop w:val="0"/>
      <w:marBottom w:val="0"/>
      <w:divBdr>
        <w:top w:val="none" w:sz="0" w:space="0" w:color="auto"/>
        <w:left w:val="none" w:sz="0" w:space="0" w:color="auto"/>
        <w:bottom w:val="none" w:sz="0" w:space="0" w:color="auto"/>
        <w:right w:val="none" w:sz="0" w:space="0" w:color="auto"/>
      </w:divBdr>
    </w:div>
    <w:div w:id="1766417277">
      <w:bodyDiv w:val="1"/>
      <w:marLeft w:val="0"/>
      <w:marRight w:val="0"/>
      <w:marTop w:val="0"/>
      <w:marBottom w:val="0"/>
      <w:divBdr>
        <w:top w:val="none" w:sz="0" w:space="0" w:color="auto"/>
        <w:left w:val="none" w:sz="0" w:space="0" w:color="auto"/>
        <w:bottom w:val="none" w:sz="0" w:space="0" w:color="auto"/>
        <w:right w:val="none" w:sz="0" w:space="0" w:color="auto"/>
      </w:divBdr>
    </w:div>
    <w:div w:id="1773088242">
      <w:bodyDiv w:val="1"/>
      <w:marLeft w:val="0"/>
      <w:marRight w:val="0"/>
      <w:marTop w:val="0"/>
      <w:marBottom w:val="0"/>
      <w:divBdr>
        <w:top w:val="none" w:sz="0" w:space="0" w:color="auto"/>
        <w:left w:val="none" w:sz="0" w:space="0" w:color="auto"/>
        <w:bottom w:val="none" w:sz="0" w:space="0" w:color="auto"/>
        <w:right w:val="none" w:sz="0" w:space="0" w:color="auto"/>
      </w:divBdr>
    </w:div>
    <w:div w:id="1774783206">
      <w:bodyDiv w:val="1"/>
      <w:marLeft w:val="0"/>
      <w:marRight w:val="0"/>
      <w:marTop w:val="0"/>
      <w:marBottom w:val="0"/>
      <w:divBdr>
        <w:top w:val="none" w:sz="0" w:space="0" w:color="auto"/>
        <w:left w:val="none" w:sz="0" w:space="0" w:color="auto"/>
        <w:bottom w:val="none" w:sz="0" w:space="0" w:color="auto"/>
        <w:right w:val="none" w:sz="0" w:space="0" w:color="auto"/>
      </w:divBdr>
    </w:div>
    <w:div w:id="1776241819">
      <w:bodyDiv w:val="1"/>
      <w:marLeft w:val="0"/>
      <w:marRight w:val="0"/>
      <w:marTop w:val="0"/>
      <w:marBottom w:val="0"/>
      <w:divBdr>
        <w:top w:val="none" w:sz="0" w:space="0" w:color="auto"/>
        <w:left w:val="none" w:sz="0" w:space="0" w:color="auto"/>
        <w:bottom w:val="none" w:sz="0" w:space="0" w:color="auto"/>
        <w:right w:val="none" w:sz="0" w:space="0" w:color="auto"/>
      </w:divBdr>
    </w:div>
    <w:div w:id="1780875686">
      <w:bodyDiv w:val="1"/>
      <w:marLeft w:val="0"/>
      <w:marRight w:val="0"/>
      <w:marTop w:val="0"/>
      <w:marBottom w:val="0"/>
      <w:divBdr>
        <w:top w:val="none" w:sz="0" w:space="0" w:color="auto"/>
        <w:left w:val="none" w:sz="0" w:space="0" w:color="auto"/>
        <w:bottom w:val="none" w:sz="0" w:space="0" w:color="auto"/>
        <w:right w:val="none" w:sz="0" w:space="0" w:color="auto"/>
      </w:divBdr>
    </w:div>
    <w:div w:id="1782070208">
      <w:bodyDiv w:val="1"/>
      <w:marLeft w:val="0"/>
      <w:marRight w:val="0"/>
      <w:marTop w:val="0"/>
      <w:marBottom w:val="0"/>
      <w:divBdr>
        <w:top w:val="none" w:sz="0" w:space="0" w:color="auto"/>
        <w:left w:val="none" w:sz="0" w:space="0" w:color="auto"/>
        <w:bottom w:val="none" w:sz="0" w:space="0" w:color="auto"/>
        <w:right w:val="none" w:sz="0" w:space="0" w:color="auto"/>
      </w:divBdr>
    </w:div>
    <w:div w:id="1790583089">
      <w:bodyDiv w:val="1"/>
      <w:marLeft w:val="0"/>
      <w:marRight w:val="0"/>
      <w:marTop w:val="0"/>
      <w:marBottom w:val="0"/>
      <w:divBdr>
        <w:top w:val="none" w:sz="0" w:space="0" w:color="auto"/>
        <w:left w:val="none" w:sz="0" w:space="0" w:color="auto"/>
        <w:bottom w:val="none" w:sz="0" w:space="0" w:color="auto"/>
        <w:right w:val="none" w:sz="0" w:space="0" w:color="auto"/>
      </w:divBdr>
    </w:div>
    <w:div w:id="1800490609">
      <w:bodyDiv w:val="1"/>
      <w:marLeft w:val="0"/>
      <w:marRight w:val="0"/>
      <w:marTop w:val="0"/>
      <w:marBottom w:val="0"/>
      <w:divBdr>
        <w:top w:val="none" w:sz="0" w:space="0" w:color="auto"/>
        <w:left w:val="none" w:sz="0" w:space="0" w:color="auto"/>
        <w:bottom w:val="none" w:sz="0" w:space="0" w:color="auto"/>
        <w:right w:val="none" w:sz="0" w:space="0" w:color="auto"/>
      </w:divBdr>
    </w:div>
    <w:div w:id="1807240381">
      <w:bodyDiv w:val="1"/>
      <w:marLeft w:val="0"/>
      <w:marRight w:val="0"/>
      <w:marTop w:val="0"/>
      <w:marBottom w:val="0"/>
      <w:divBdr>
        <w:top w:val="none" w:sz="0" w:space="0" w:color="auto"/>
        <w:left w:val="none" w:sz="0" w:space="0" w:color="auto"/>
        <w:bottom w:val="none" w:sz="0" w:space="0" w:color="auto"/>
        <w:right w:val="none" w:sz="0" w:space="0" w:color="auto"/>
      </w:divBdr>
    </w:div>
    <w:div w:id="1808813397">
      <w:bodyDiv w:val="1"/>
      <w:marLeft w:val="0"/>
      <w:marRight w:val="0"/>
      <w:marTop w:val="0"/>
      <w:marBottom w:val="0"/>
      <w:divBdr>
        <w:top w:val="none" w:sz="0" w:space="0" w:color="auto"/>
        <w:left w:val="none" w:sz="0" w:space="0" w:color="auto"/>
        <w:bottom w:val="none" w:sz="0" w:space="0" w:color="auto"/>
        <w:right w:val="none" w:sz="0" w:space="0" w:color="auto"/>
      </w:divBdr>
    </w:div>
    <w:div w:id="1812137178">
      <w:bodyDiv w:val="1"/>
      <w:marLeft w:val="0"/>
      <w:marRight w:val="0"/>
      <w:marTop w:val="0"/>
      <w:marBottom w:val="0"/>
      <w:divBdr>
        <w:top w:val="none" w:sz="0" w:space="0" w:color="auto"/>
        <w:left w:val="none" w:sz="0" w:space="0" w:color="auto"/>
        <w:bottom w:val="none" w:sz="0" w:space="0" w:color="auto"/>
        <w:right w:val="none" w:sz="0" w:space="0" w:color="auto"/>
      </w:divBdr>
    </w:div>
    <w:div w:id="1817868532">
      <w:bodyDiv w:val="1"/>
      <w:marLeft w:val="0"/>
      <w:marRight w:val="0"/>
      <w:marTop w:val="0"/>
      <w:marBottom w:val="0"/>
      <w:divBdr>
        <w:top w:val="none" w:sz="0" w:space="0" w:color="auto"/>
        <w:left w:val="none" w:sz="0" w:space="0" w:color="auto"/>
        <w:bottom w:val="none" w:sz="0" w:space="0" w:color="auto"/>
        <w:right w:val="none" w:sz="0" w:space="0" w:color="auto"/>
      </w:divBdr>
    </w:div>
    <w:div w:id="1818647800">
      <w:bodyDiv w:val="1"/>
      <w:marLeft w:val="0"/>
      <w:marRight w:val="0"/>
      <w:marTop w:val="0"/>
      <w:marBottom w:val="0"/>
      <w:divBdr>
        <w:top w:val="none" w:sz="0" w:space="0" w:color="auto"/>
        <w:left w:val="none" w:sz="0" w:space="0" w:color="auto"/>
        <w:bottom w:val="none" w:sz="0" w:space="0" w:color="auto"/>
        <w:right w:val="none" w:sz="0" w:space="0" w:color="auto"/>
      </w:divBdr>
    </w:div>
    <w:div w:id="1826042627">
      <w:bodyDiv w:val="1"/>
      <w:marLeft w:val="0"/>
      <w:marRight w:val="0"/>
      <w:marTop w:val="0"/>
      <w:marBottom w:val="0"/>
      <w:divBdr>
        <w:top w:val="none" w:sz="0" w:space="0" w:color="auto"/>
        <w:left w:val="none" w:sz="0" w:space="0" w:color="auto"/>
        <w:bottom w:val="none" w:sz="0" w:space="0" w:color="auto"/>
        <w:right w:val="none" w:sz="0" w:space="0" w:color="auto"/>
      </w:divBdr>
    </w:div>
    <w:div w:id="1827477531">
      <w:bodyDiv w:val="1"/>
      <w:marLeft w:val="0"/>
      <w:marRight w:val="0"/>
      <w:marTop w:val="0"/>
      <w:marBottom w:val="0"/>
      <w:divBdr>
        <w:top w:val="none" w:sz="0" w:space="0" w:color="auto"/>
        <w:left w:val="none" w:sz="0" w:space="0" w:color="auto"/>
        <w:bottom w:val="none" w:sz="0" w:space="0" w:color="auto"/>
        <w:right w:val="none" w:sz="0" w:space="0" w:color="auto"/>
      </w:divBdr>
    </w:div>
    <w:div w:id="1828085213">
      <w:bodyDiv w:val="1"/>
      <w:marLeft w:val="0"/>
      <w:marRight w:val="0"/>
      <w:marTop w:val="0"/>
      <w:marBottom w:val="0"/>
      <w:divBdr>
        <w:top w:val="none" w:sz="0" w:space="0" w:color="auto"/>
        <w:left w:val="none" w:sz="0" w:space="0" w:color="auto"/>
        <w:bottom w:val="none" w:sz="0" w:space="0" w:color="auto"/>
        <w:right w:val="none" w:sz="0" w:space="0" w:color="auto"/>
      </w:divBdr>
    </w:div>
    <w:div w:id="1840193388">
      <w:bodyDiv w:val="1"/>
      <w:marLeft w:val="0"/>
      <w:marRight w:val="0"/>
      <w:marTop w:val="0"/>
      <w:marBottom w:val="0"/>
      <w:divBdr>
        <w:top w:val="none" w:sz="0" w:space="0" w:color="auto"/>
        <w:left w:val="none" w:sz="0" w:space="0" w:color="auto"/>
        <w:bottom w:val="none" w:sz="0" w:space="0" w:color="auto"/>
        <w:right w:val="none" w:sz="0" w:space="0" w:color="auto"/>
      </w:divBdr>
    </w:div>
    <w:div w:id="1840852512">
      <w:bodyDiv w:val="1"/>
      <w:marLeft w:val="0"/>
      <w:marRight w:val="0"/>
      <w:marTop w:val="0"/>
      <w:marBottom w:val="0"/>
      <w:divBdr>
        <w:top w:val="none" w:sz="0" w:space="0" w:color="auto"/>
        <w:left w:val="none" w:sz="0" w:space="0" w:color="auto"/>
        <w:bottom w:val="none" w:sz="0" w:space="0" w:color="auto"/>
        <w:right w:val="none" w:sz="0" w:space="0" w:color="auto"/>
      </w:divBdr>
    </w:div>
    <w:div w:id="1845900875">
      <w:bodyDiv w:val="1"/>
      <w:marLeft w:val="0"/>
      <w:marRight w:val="0"/>
      <w:marTop w:val="0"/>
      <w:marBottom w:val="0"/>
      <w:divBdr>
        <w:top w:val="none" w:sz="0" w:space="0" w:color="auto"/>
        <w:left w:val="none" w:sz="0" w:space="0" w:color="auto"/>
        <w:bottom w:val="none" w:sz="0" w:space="0" w:color="auto"/>
        <w:right w:val="none" w:sz="0" w:space="0" w:color="auto"/>
      </w:divBdr>
    </w:div>
    <w:div w:id="1846555187">
      <w:bodyDiv w:val="1"/>
      <w:marLeft w:val="0"/>
      <w:marRight w:val="0"/>
      <w:marTop w:val="0"/>
      <w:marBottom w:val="0"/>
      <w:divBdr>
        <w:top w:val="none" w:sz="0" w:space="0" w:color="auto"/>
        <w:left w:val="none" w:sz="0" w:space="0" w:color="auto"/>
        <w:bottom w:val="none" w:sz="0" w:space="0" w:color="auto"/>
        <w:right w:val="none" w:sz="0" w:space="0" w:color="auto"/>
      </w:divBdr>
    </w:div>
    <w:div w:id="1846823676">
      <w:bodyDiv w:val="1"/>
      <w:marLeft w:val="0"/>
      <w:marRight w:val="0"/>
      <w:marTop w:val="0"/>
      <w:marBottom w:val="0"/>
      <w:divBdr>
        <w:top w:val="none" w:sz="0" w:space="0" w:color="auto"/>
        <w:left w:val="none" w:sz="0" w:space="0" w:color="auto"/>
        <w:bottom w:val="none" w:sz="0" w:space="0" w:color="auto"/>
        <w:right w:val="none" w:sz="0" w:space="0" w:color="auto"/>
      </w:divBdr>
    </w:div>
    <w:div w:id="1849900906">
      <w:bodyDiv w:val="1"/>
      <w:marLeft w:val="0"/>
      <w:marRight w:val="0"/>
      <w:marTop w:val="0"/>
      <w:marBottom w:val="0"/>
      <w:divBdr>
        <w:top w:val="none" w:sz="0" w:space="0" w:color="auto"/>
        <w:left w:val="none" w:sz="0" w:space="0" w:color="auto"/>
        <w:bottom w:val="none" w:sz="0" w:space="0" w:color="auto"/>
        <w:right w:val="none" w:sz="0" w:space="0" w:color="auto"/>
      </w:divBdr>
    </w:div>
    <w:div w:id="1850680599">
      <w:bodyDiv w:val="1"/>
      <w:marLeft w:val="0"/>
      <w:marRight w:val="0"/>
      <w:marTop w:val="0"/>
      <w:marBottom w:val="0"/>
      <w:divBdr>
        <w:top w:val="none" w:sz="0" w:space="0" w:color="auto"/>
        <w:left w:val="none" w:sz="0" w:space="0" w:color="auto"/>
        <w:bottom w:val="none" w:sz="0" w:space="0" w:color="auto"/>
        <w:right w:val="none" w:sz="0" w:space="0" w:color="auto"/>
      </w:divBdr>
    </w:div>
    <w:div w:id="1850868286">
      <w:bodyDiv w:val="1"/>
      <w:marLeft w:val="0"/>
      <w:marRight w:val="0"/>
      <w:marTop w:val="0"/>
      <w:marBottom w:val="0"/>
      <w:divBdr>
        <w:top w:val="none" w:sz="0" w:space="0" w:color="auto"/>
        <w:left w:val="none" w:sz="0" w:space="0" w:color="auto"/>
        <w:bottom w:val="none" w:sz="0" w:space="0" w:color="auto"/>
        <w:right w:val="none" w:sz="0" w:space="0" w:color="auto"/>
      </w:divBdr>
    </w:div>
    <w:div w:id="1852841183">
      <w:bodyDiv w:val="1"/>
      <w:marLeft w:val="0"/>
      <w:marRight w:val="0"/>
      <w:marTop w:val="0"/>
      <w:marBottom w:val="0"/>
      <w:divBdr>
        <w:top w:val="none" w:sz="0" w:space="0" w:color="auto"/>
        <w:left w:val="none" w:sz="0" w:space="0" w:color="auto"/>
        <w:bottom w:val="none" w:sz="0" w:space="0" w:color="auto"/>
        <w:right w:val="none" w:sz="0" w:space="0" w:color="auto"/>
      </w:divBdr>
    </w:div>
    <w:div w:id="1854373030">
      <w:bodyDiv w:val="1"/>
      <w:marLeft w:val="0"/>
      <w:marRight w:val="0"/>
      <w:marTop w:val="0"/>
      <w:marBottom w:val="0"/>
      <w:divBdr>
        <w:top w:val="none" w:sz="0" w:space="0" w:color="auto"/>
        <w:left w:val="none" w:sz="0" w:space="0" w:color="auto"/>
        <w:bottom w:val="none" w:sz="0" w:space="0" w:color="auto"/>
        <w:right w:val="none" w:sz="0" w:space="0" w:color="auto"/>
      </w:divBdr>
    </w:div>
    <w:div w:id="1854831686">
      <w:bodyDiv w:val="1"/>
      <w:marLeft w:val="0"/>
      <w:marRight w:val="0"/>
      <w:marTop w:val="0"/>
      <w:marBottom w:val="0"/>
      <w:divBdr>
        <w:top w:val="none" w:sz="0" w:space="0" w:color="auto"/>
        <w:left w:val="none" w:sz="0" w:space="0" w:color="auto"/>
        <w:bottom w:val="none" w:sz="0" w:space="0" w:color="auto"/>
        <w:right w:val="none" w:sz="0" w:space="0" w:color="auto"/>
      </w:divBdr>
    </w:div>
    <w:div w:id="1855529262">
      <w:bodyDiv w:val="1"/>
      <w:marLeft w:val="0"/>
      <w:marRight w:val="0"/>
      <w:marTop w:val="0"/>
      <w:marBottom w:val="0"/>
      <w:divBdr>
        <w:top w:val="none" w:sz="0" w:space="0" w:color="auto"/>
        <w:left w:val="none" w:sz="0" w:space="0" w:color="auto"/>
        <w:bottom w:val="none" w:sz="0" w:space="0" w:color="auto"/>
        <w:right w:val="none" w:sz="0" w:space="0" w:color="auto"/>
      </w:divBdr>
    </w:div>
    <w:div w:id="1857379079">
      <w:bodyDiv w:val="1"/>
      <w:marLeft w:val="0"/>
      <w:marRight w:val="0"/>
      <w:marTop w:val="0"/>
      <w:marBottom w:val="0"/>
      <w:divBdr>
        <w:top w:val="none" w:sz="0" w:space="0" w:color="auto"/>
        <w:left w:val="none" w:sz="0" w:space="0" w:color="auto"/>
        <w:bottom w:val="none" w:sz="0" w:space="0" w:color="auto"/>
        <w:right w:val="none" w:sz="0" w:space="0" w:color="auto"/>
      </w:divBdr>
    </w:div>
    <w:div w:id="1857426781">
      <w:bodyDiv w:val="1"/>
      <w:marLeft w:val="0"/>
      <w:marRight w:val="0"/>
      <w:marTop w:val="0"/>
      <w:marBottom w:val="0"/>
      <w:divBdr>
        <w:top w:val="none" w:sz="0" w:space="0" w:color="auto"/>
        <w:left w:val="none" w:sz="0" w:space="0" w:color="auto"/>
        <w:bottom w:val="none" w:sz="0" w:space="0" w:color="auto"/>
        <w:right w:val="none" w:sz="0" w:space="0" w:color="auto"/>
      </w:divBdr>
    </w:div>
    <w:div w:id="1860006418">
      <w:bodyDiv w:val="1"/>
      <w:marLeft w:val="0"/>
      <w:marRight w:val="0"/>
      <w:marTop w:val="0"/>
      <w:marBottom w:val="0"/>
      <w:divBdr>
        <w:top w:val="none" w:sz="0" w:space="0" w:color="auto"/>
        <w:left w:val="none" w:sz="0" w:space="0" w:color="auto"/>
        <w:bottom w:val="none" w:sz="0" w:space="0" w:color="auto"/>
        <w:right w:val="none" w:sz="0" w:space="0" w:color="auto"/>
      </w:divBdr>
    </w:div>
    <w:div w:id="1865822901">
      <w:bodyDiv w:val="1"/>
      <w:marLeft w:val="0"/>
      <w:marRight w:val="0"/>
      <w:marTop w:val="0"/>
      <w:marBottom w:val="0"/>
      <w:divBdr>
        <w:top w:val="none" w:sz="0" w:space="0" w:color="auto"/>
        <w:left w:val="none" w:sz="0" w:space="0" w:color="auto"/>
        <w:bottom w:val="none" w:sz="0" w:space="0" w:color="auto"/>
        <w:right w:val="none" w:sz="0" w:space="0" w:color="auto"/>
      </w:divBdr>
    </w:div>
    <w:div w:id="1870951339">
      <w:bodyDiv w:val="1"/>
      <w:marLeft w:val="0"/>
      <w:marRight w:val="0"/>
      <w:marTop w:val="0"/>
      <w:marBottom w:val="0"/>
      <w:divBdr>
        <w:top w:val="none" w:sz="0" w:space="0" w:color="auto"/>
        <w:left w:val="none" w:sz="0" w:space="0" w:color="auto"/>
        <w:bottom w:val="none" w:sz="0" w:space="0" w:color="auto"/>
        <w:right w:val="none" w:sz="0" w:space="0" w:color="auto"/>
      </w:divBdr>
    </w:div>
    <w:div w:id="1872721853">
      <w:bodyDiv w:val="1"/>
      <w:marLeft w:val="0"/>
      <w:marRight w:val="0"/>
      <w:marTop w:val="0"/>
      <w:marBottom w:val="0"/>
      <w:divBdr>
        <w:top w:val="none" w:sz="0" w:space="0" w:color="auto"/>
        <w:left w:val="none" w:sz="0" w:space="0" w:color="auto"/>
        <w:bottom w:val="none" w:sz="0" w:space="0" w:color="auto"/>
        <w:right w:val="none" w:sz="0" w:space="0" w:color="auto"/>
      </w:divBdr>
    </w:div>
    <w:div w:id="1872916651">
      <w:bodyDiv w:val="1"/>
      <w:marLeft w:val="0"/>
      <w:marRight w:val="0"/>
      <w:marTop w:val="0"/>
      <w:marBottom w:val="0"/>
      <w:divBdr>
        <w:top w:val="none" w:sz="0" w:space="0" w:color="auto"/>
        <w:left w:val="none" w:sz="0" w:space="0" w:color="auto"/>
        <w:bottom w:val="none" w:sz="0" w:space="0" w:color="auto"/>
        <w:right w:val="none" w:sz="0" w:space="0" w:color="auto"/>
      </w:divBdr>
    </w:div>
    <w:div w:id="1874684186">
      <w:bodyDiv w:val="1"/>
      <w:marLeft w:val="0"/>
      <w:marRight w:val="0"/>
      <w:marTop w:val="0"/>
      <w:marBottom w:val="0"/>
      <w:divBdr>
        <w:top w:val="none" w:sz="0" w:space="0" w:color="auto"/>
        <w:left w:val="none" w:sz="0" w:space="0" w:color="auto"/>
        <w:bottom w:val="none" w:sz="0" w:space="0" w:color="auto"/>
        <w:right w:val="none" w:sz="0" w:space="0" w:color="auto"/>
      </w:divBdr>
    </w:div>
    <w:div w:id="1883247254">
      <w:bodyDiv w:val="1"/>
      <w:marLeft w:val="0"/>
      <w:marRight w:val="0"/>
      <w:marTop w:val="0"/>
      <w:marBottom w:val="0"/>
      <w:divBdr>
        <w:top w:val="none" w:sz="0" w:space="0" w:color="auto"/>
        <w:left w:val="none" w:sz="0" w:space="0" w:color="auto"/>
        <w:bottom w:val="none" w:sz="0" w:space="0" w:color="auto"/>
        <w:right w:val="none" w:sz="0" w:space="0" w:color="auto"/>
      </w:divBdr>
    </w:div>
    <w:div w:id="1884906024">
      <w:bodyDiv w:val="1"/>
      <w:marLeft w:val="0"/>
      <w:marRight w:val="0"/>
      <w:marTop w:val="0"/>
      <w:marBottom w:val="0"/>
      <w:divBdr>
        <w:top w:val="none" w:sz="0" w:space="0" w:color="auto"/>
        <w:left w:val="none" w:sz="0" w:space="0" w:color="auto"/>
        <w:bottom w:val="none" w:sz="0" w:space="0" w:color="auto"/>
        <w:right w:val="none" w:sz="0" w:space="0" w:color="auto"/>
      </w:divBdr>
    </w:div>
    <w:div w:id="1891764913">
      <w:bodyDiv w:val="1"/>
      <w:marLeft w:val="0"/>
      <w:marRight w:val="0"/>
      <w:marTop w:val="0"/>
      <w:marBottom w:val="0"/>
      <w:divBdr>
        <w:top w:val="none" w:sz="0" w:space="0" w:color="auto"/>
        <w:left w:val="none" w:sz="0" w:space="0" w:color="auto"/>
        <w:bottom w:val="none" w:sz="0" w:space="0" w:color="auto"/>
        <w:right w:val="none" w:sz="0" w:space="0" w:color="auto"/>
      </w:divBdr>
    </w:div>
    <w:div w:id="1893229731">
      <w:bodyDiv w:val="1"/>
      <w:marLeft w:val="0"/>
      <w:marRight w:val="0"/>
      <w:marTop w:val="0"/>
      <w:marBottom w:val="0"/>
      <w:divBdr>
        <w:top w:val="none" w:sz="0" w:space="0" w:color="auto"/>
        <w:left w:val="none" w:sz="0" w:space="0" w:color="auto"/>
        <w:bottom w:val="none" w:sz="0" w:space="0" w:color="auto"/>
        <w:right w:val="none" w:sz="0" w:space="0" w:color="auto"/>
      </w:divBdr>
    </w:div>
    <w:div w:id="1895963717">
      <w:bodyDiv w:val="1"/>
      <w:marLeft w:val="0"/>
      <w:marRight w:val="0"/>
      <w:marTop w:val="0"/>
      <w:marBottom w:val="0"/>
      <w:divBdr>
        <w:top w:val="none" w:sz="0" w:space="0" w:color="auto"/>
        <w:left w:val="none" w:sz="0" w:space="0" w:color="auto"/>
        <w:bottom w:val="none" w:sz="0" w:space="0" w:color="auto"/>
        <w:right w:val="none" w:sz="0" w:space="0" w:color="auto"/>
      </w:divBdr>
    </w:div>
    <w:div w:id="1896968851">
      <w:bodyDiv w:val="1"/>
      <w:marLeft w:val="0"/>
      <w:marRight w:val="0"/>
      <w:marTop w:val="0"/>
      <w:marBottom w:val="0"/>
      <w:divBdr>
        <w:top w:val="none" w:sz="0" w:space="0" w:color="auto"/>
        <w:left w:val="none" w:sz="0" w:space="0" w:color="auto"/>
        <w:bottom w:val="none" w:sz="0" w:space="0" w:color="auto"/>
        <w:right w:val="none" w:sz="0" w:space="0" w:color="auto"/>
      </w:divBdr>
    </w:div>
    <w:div w:id="1897013356">
      <w:bodyDiv w:val="1"/>
      <w:marLeft w:val="0"/>
      <w:marRight w:val="0"/>
      <w:marTop w:val="0"/>
      <w:marBottom w:val="0"/>
      <w:divBdr>
        <w:top w:val="none" w:sz="0" w:space="0" w:color="auto"/>
        <w:left w:val="none" w:sz="0" w:space="0" w:color="auto"/>
        <w:bottom w:val="none" w:sz="0" w:space="0" w:color="auto"/>
        <w:right w:val="none" w:sz="0" w:space="0" w:color="auto"/>
      </w:divBdr>
    </w:div>
    <w:div w:id="1898541213">
      <w:bodyDiv w:val="1"/>
      <w:marLeft w:val="0"/>
      <w:marRight w:val="0"/>
      <w:marTop w:val="0"/>
      <w:marBottom w:val="0"/>
      <w:divBdr>
        <w:top w:val="none" w:sz="0" w:space="0" w:color="auto"/>
        <w:left w:val="none" w:sz="0" w:space="0" w:color="auto"/>
        <w:bottom w:val="none" w:sz="0" w:space="0" w:color="auto"/>
        <w:right w:val="none" w:sz="0" w:space="0" w:color="auto"/>
      </w:divBdr>
    </w:div>
    <w:div w:id="1900744572">
      <w:bodyDiv w:val="1"/>
      <w:marLeft w:val="0"/>
      <w:marRight w:val="0"/>
      <w:marTop w:val="0"/>
      <w:marBottom w:val="0"/>
      <w:divBdr>
        <w:top w:val="none" w:sz="0" w:space="0" w:color="auto"/>
        <w:left w:val="none" w:sz="0" w:space="0" w:color="auto"/>
        <w:bottom w:val="none" w:sz="0" w:space="0" w:color="auto"/>
        <w:right w:val="none" w:sz="0" w:space="0" w:color="auto"/>
      </w:divBdr>
    </w:div>
    <w:div w:id="1905069625">
      <w:bodyDiv w:val="1"/>
      <w:marLeft w:val="0"/>
      <w:marRight w:val="0"/>
      <w:marTop w:val="0"/>
      <w:marBottom w:val="0"/>
      <w:divBdr>
        <w:top w:val="none" w:sz="0" w:space="0" w:color="auto"/>
        <w:left w:val="none" w:sz="0" w:space="0" w:color="auto"/>
        <w:bottom w:val="none" w:sz="0" w:space="0" w:color="auto"/>
        <w:right w:val="none" w:sz="0" w:space="0" w:color="auto"/>
      </w:divBdr>
    </w:div>
    <w:div w:id="1905093642">
      <w:bodyDiv w:val="1"/>
      <w:marLeft w:val="0"/>
      <w:marRight w:val="0"/>
      <w:marTop w:val="0"/>
      <w:marBottom w:val="0"/>
      <w:divBdr>
        <w:top w:val="none" w:sz="0" w:space="0" w:color="auto"/>
        <w:left w:val="none" w:sz="0" w:space="0" w:color="auto"/>
        <w:bottom w:val="none" w:sz="0" w:space="0" w:color="auto"/>
        <w:right w:val="none" w:sz="0" w:space="0" w:color="auto"/>
      </w:divBdr>
    </w:div>
    <w:div w:id="1905485704">
      <w:bodyDiv w:val="1"/>
      <w:marLeft w:val="0"/>
      <w:marRight w:val="0"/>
      <w:marTop w:val="0"/>
      <w:marBottom w:val="0"/>
      <w:divBdr>
        <w:top w:val="none" w:sz="0" w:space="0" w:color="auto"/>
        <w:left w:val="none" w:sz="0" w:space="0" w:color="auto"/>
        <w:bottom w:val="none" w:sz="0" w:space="0" w:color="auto"/>
        <w:right w:val="none" w:sz="0" w:space="0" w:color="auto"/>
      </w:divBdr>
    </w:div>
    <w:div w:id="1913854410">
      <w:bodyDiv w:val="1"/>
      <w:marLeft w:val="0"/>
      <w:marRight w:val="0"/>
      <w:marTop w:val="0"/>
      <w:marBottom w:val="0"/>
      <w:divBdr>
        <w:top w:val="none" w:sz="0" w:space="0" w:color="auto"/>
        <w:left w:val="none" w:sz="0" w:space="0" w:color="auto"/>
        <w:bottom w:val="none" w:sz="0" w:space="0" w:color="auto"/>
        <w:right w:val="none" w:sz="0" w:space="0" w:color="auto"/>
      </w:divBdr>
    </w:div>
    <w:div w:id="1914467464">
      <w:bodyDiv w:val="1"/>
      <w:marLeft w:val="0"/>
      <w:marRight w:val="0"/>
      <w:marTop w:val="0"/>
      <w:marBottom w:val="0"/>
      <w:divBdr>
        <w:top w:val="none" w:sz="0" w:space="0" w:color="auto"/>
        <w:left w:val="none" w:sz="0" w:space="0" w:color="auto"/>
        <w:bottom w:val="none" w:sz="0" w:space="0" w:color="auto"/>
        <w:right w:val="none" w:sz="0" w:space="0" w:color="auto"/>
      </w:divBdr>
    </w:div>
    <w:div w:id="1924803336">
      <w:bodyDiv w:val="1"/>
      <w:marLeft w:val="0"/>
      <w:marRight w:val="0"/>
      <w:marTop w:val="0"/>
      <w:marBottom w:val="0"/>
      <w:divBdr>
        <w:top w:val="none" w:sz="0" w:space="0" w:color="auto"/>
        <w:left w:val="none" w:sz="0" w:space="0" w:color="auto"/>
        <w:bottom w:val="none" w:sz="0" w:space="0" w:color="auto"/>
        <w:right w:val="none" w:sz="0" w:space="0" w:color="auto"/>
      </w:divBdr>
    </w:div>
    <w:div w:id="1929384795">
      <w:bodyDiv w:val="1"/>
      <w:marLeft w:val="0"/>
      <w:marRight w:val="0"/>
      <w:marTop w:val="0"/>
      <w:marBottom w:val="0"/>
      <w:divBdr>
        <w:top w:val="none" w:sz="0" w:space="0" w:color="auto"/>
        <w:left w:val="none" w:sz="0" w:space="0" w:color="auto"/>
        <w:bottom w:val="none" w:sz="0" w:space="0" w:color="auto"/>
        <w:right w:val="none" w:sz="0" w:space="0" w:color="auto"/>
      </w:divBdr>
    </w:div>
    <w:div w:id="1934239303">
      <w:bodyDiv w:val="1"/>
      <w:marLeft w:val="0"/>
      <w:marRight w:val="0"/>
      <w:marTop w:val="0"/>
      <w:marBottom w:val="0"/>
      <w:divBdr>
        <w:top w:val="none" w:sz="0" w:space="0" w:color="auto"/>
        <w:left w:val="none" w:sz="0" w:space="0" w:color="auto"/>
        <w:bottom w:val="none" w:sz="0" w:space="0" w:color="auto"/>
        <w:right w:val="none" w:sz="0" w:space="0" w:color="auto"/>
      </w:divBdr>
    </w:div>
    <w:div w:id="1938707095">
      <w:bodyDiv w:val="1"/>
      <w:marLeft w:val="0"/>
      <w:marRight w:val="0"/>
      <w:marTop w:val="0"/>
      <w:marBottom w:val="0"/>
      <w:divBdr>
        <w:top w:val="none" w:sz="0" w:space="0" w:color="auto"/>
        <w:left w:val="none" w:sz="0" w:space="0" w:color="auto"/>
        <w:bottom w:val="none" w:sz="0" w:space="0" w:color="auto"/>
        <w:right w:val="none" w:sz="0" w:space="0" w:color="auto"/>
      </w:divBdr>
    </w:div>
    <w:div w:id="1941571490">
      <w:bodyDiv w:val="1"/>
      <w:marLeft w:val="0"/>
      <w:marRight w:val="0"/>
      <w:marTop w:val="0"/>
      <w:marBottom w:val="0"/>
      <w:divBdr>
        <w:top w:val="none" w:sz="0" w:space="0" w:color="auto"/>
        <w:left w:val="none" w:sz="0" w:space="0" w:color="auto"/>
        <w:bottom w:val="none" w:sz="0" w:space="0" w:color="auto"/>
        <w:right w:val="none" w:sz="0" w:space="0" w:color="auto"/>
      </w:divBdr>
    </w:div>
    <w:div w:id="1941989869">
      <w:bodyDiv w:val="1"/>
      <w:marLeft w:val="0"/>
      <w:marRight w:val="0"/>
      <w:marTop w:val="0"/>
      <w:marBottom w:val="0"/>
      <w:divBdr>
        <w:top w:val="none" w:sz="0" w:space="0" w:color="auto"/>
        <w:left w:val="none" w:sz="0" w:space="0" w:color="auto"/>
        <w:bottom w:val="none" w:sz="0" w:space="0" w:color="auto"/>
        <w:right w:val="none" w:sz="0" w:space="0" w:color="auto"/>
      </w:divBdr>
    </w:div>
    <w:div w:id="1943486613">
      <w:bodyDiv w:val="1"/>
      <w:marLeft w:val="0"/>
      <w:marRight w:val="0"/>
      <w:marTop w:val="0"/>
      <w:marBottom w:val="0"/>
      <w:divBdr>
        <w:top w:val="none" w:sz="0" w:space="0" w:color="auto"/>
        <w:left w:val="none" w:sz="0" w:space="0" w:color="auto"/>
        <w:bottom w:val="none" w:sz="0" w:space="0" w:color="auto"/>
        <w:right w:val="none" w:sz="0" w:space="0" w:color="auto"/>
      </w:divBdr>
    </w:div>
    <w:div w:id="1948586440">
      <w:bodyDiv w:val="1"/>
      <w:marLeft w:val="0"/>
      <w:marRight w:val="0"/>
      <w:marTop w:val="0"/>
      <w:marBottom w:val="0"/>
      <w:divBdr>
        <w:top w:val="none" w:sz="0" w:space="0" w:color="auto"/>
        <w:left w:val="none" w:sz="0" w:space="0" w:color="auto"/>
        <w:bottom w:val="none" w:sz="0" w:space="0" w:color="auto"/>
        <w:right w:val="none" w:sz="0" w:space="0" w:color="auto"/>
      </w:divBdr>
    </w:div>
    <w:div w:id="1949385819">
      <w:bodyDiv w:val="1"/>
      <w:marLeft w:val="0"/>
      <w:marRight w:val="0"/>
      <w:marTop w:val="0"/>
      <w:marBottom w:val="0"/>
      <w:divBdr>
        <w:top w:val="none" w:sz="0" w:space="0" w:color="auto"/>
        <w:left w:val="none" w:sz="0" w:space="0" w:color="auto"/>
        <w:bottom w:val="none" w:sz="0" w:space="0" w:color="auto"/>
        <w:right w:val="none" w:sz="0" w:space="0" w:color="auto"/>
      </w:divBdr>
    </w:div>
    <w:div w:id="1951812102">
      <w:bodyDiv w:val="1"/>
      <w:marLeft w:val="0"/>
      <w:marRight w:val="0"/>
      <w:marTop w:val="0"/>
      <w:marBottom w:val="0"/>
      <w:divBdr>
        <w:top w:val="none" w:sz="0" w:space="0" w:color="auto"/>
        <w:left w:val="none" w:sz="0" w:space="0" w:color="auto"/>
        <w:bottom w:val="none" w:sz="0" w:space="0" w:color="auto"/>
        <w:right w:val="none" w:sz="0" w:space="0" w:color="auto"/>
      </w:divBdr>
    </w:div>
    <w:div w:id="1957759385">
      <w:bodyDiv w:val="1"/>
      <w:marLeft w:val="0"/>
      <w:marRight w:val="0"/>
      <w:marTop w:val="0"/>
      <w:marBottom w:val="0"/>
      <w:divBdr>
        <w:top w:val="none" w:sz="0" w:space="0" w:color="auto"/>
        <w:left w:val="none" w:sz="0" w:space="0" w:color="auto"/>
        <w:bottom w:val="none" w:sz="0" w:space="0" w:color="auto"/>
        <w:right w:val="none" w:sz="0" w:space="0" w:color="auto"/>
      </w:divBdr>
    </w:div>
    <w:div w:id="1967001897">
      <w:bodyDiv w:val="1"/>
      <w:marLeft w:val="0"/>
      <w:marRight w:val="0"/>
      <w:marTop w:val="0"/>
      <w:marBottom w:val="0"/>
      <w:divBdr>
        <w:top w:val="none" w:sz="0" w:space="0" w:color="auto"/>
        <w:left w:val="none" w:sz="0" w:space="0" w:color="auto"/>
        <w:bottom w:val="none" w:sz="0" w:space="0" w:color="auto"/>
        <w:right w:val="none" w:sz="0" w:space="0" w:color="auto"/>
      </w:divBdr>
    </w:div>
    <w:div w:id="1967614870">
      <w:bodyDiv w:val="1"/>
      <w:marLeft w:val="0"/>
      <w:marRight w:val="0"/>
      <w:marTop w:val="0"/>
      <w:marBottom w:val="0"/>
      <w:divBdr>
        <w:top w:val="none" w:sz="0" w:space="0" w:color="auto"/>
        <w:left w:val="none" w:sz="0" w:space="0" w:color="auto"/>
        <w:bottom w:val="none" w:sz="0" w:space="0" w:color="auto"/>
        <w:right w:val="none" w:sz="0" w:space="0" w:color="auto"/>
      </w:divBdr>
    </w:div>
    <w:div w:id="1970815592">
      <w:bodyDiv w:val="1"/>
      <w:marLeft w:val="0"/>
      <w:marRight w:val="0"/>
      <w:marTop w:val="0"/>
      <w:marBottom w:val="0"/>
      <w:divBdr>
        <w:top w:val="none" w:sz="0" w:space="0" w:color="auto"/>
        <w:left w:val="none" w:sz="0" w:space="0" w:color="auto"/>
        <w:bottom w:val="none" w:sz="0" w:space="0" w:color="auto"/>
        <w:right w:val="none" w:sz="0" w:space="0" w:color="auto"/>
      </w:divBdr>
    </w:div>
    <w:div w:id="1979528662">
      <w:bodyDiv w:val="1"/>
      <w:marLeft w:val="0"/>
      <w:marRight w:val="0"/>
      <w:marTop w:val="0"/>
      <w:marBottom w:val="0"/>
      <w:divBdr>
        <w:top w:val="none" w:sz="0" w:space="0" w:color="auto"/>
        <w:left w:val="none" w:sz="0" w:space="0" w:color="auto"/>
        <w:bottom w:val="none" w:sz="0" w:space="0" w:color="auto"/>
        <w:right w:val="none" w:sz="0" w:space="0" w:color="auto"/>
      </w:divBdr>
    </w:div>
    <w:div w:id="1984578259">
      <w:bodyDiv w:val="1"/>
      <w:marLeft w:val="0"/>
      <w:marRight w:val="0"/>
      <w:marTop w:val="0"/>
      <w:marBottom w:val="0"/>
      <w:divBdr>
        <w:top w:val="none" w:sz="0" w:space="0" w:color="auto"/>
        <w:left w:val="none" w:sz="0" w:space="0" w:color="auto"/>
        <w:bottom w:val="none" w:sz="0" w:space="0" w:color="auto"/>
        <w:right w:val="none" w:sz="0" w:space="0" w:color="auto"/>
      </w:divBdr>
    </w:div>
    <w:div w:id="2001425060">
      <w:bodyDiv w:val="1"/>
      <w:marLeft w:val="0"/>
      <w:marRight w:val="0"/>
      <w:marTop w:val="0"/>
      <w:marBottom w:val="0"/>
      <w:divBdr>
        <w:top w:val="none" w:sz="0" w:space="0" w:color="auto"/>
        <w:left w:val="none" w:sz="0" w:space="0" w:color="auto"/>
        <w:bottom w:val="none" w:sz="0" w:space="0" w:color="auto"/>
        <w:right w:val="none" w:sz="0" w:space="0" w:color="auto"/>
      </w:divBdr>
    </w:div>
    <w:div w:id="2006783941">
      <w:bodyDiv w:val="1"/>
      <w:marLeft w:val="0"/>
      <w:marRight w:val="0"/>
      <w:marTop w:val="0"/>
      <w:marBottom w:val="0"/>
      <w:divBdr>
        <w:top w:val="none" w:sz="0" w:space="0" w:color="auto"/>
        <w:left w:val="none" w:sz="0" w:space="0" w:color="auto"/>
        <w:bottom w:val="none" w:sz="0" w:space="0" w:color="auto"/>
        <w:right w:val="none" w:sz="0" w:space="0" w:color="auto"/>
      </w:divBdr>
    </w:div>
    <w:div w:id="2007828014">
      <w:bodyDiv w:val="1"/>
      <w:marLeft w:val="0"/>
      <w:marRight w:val="0"/>
      <w:marTop w:val="0"/>
      <w:marBottom w:val="0"/>
      <w:divBdr>
        <w:top w:val="none" w:sz="0" w:space="0" w:color="auto"/>
        <w:left w:val="none" w:sz="0" w:space="0" w:color="auto"/>
        <w:bottom w:val="none" w:sz="0" w:space="0" w:color="auto"/>
        <w:right w:val="none" w:sz="0" w:space="0" w:color="auto"/>
      </w:divBdr>
    </w:div>
    <w:div w:id="2008244745">
      <w:bodyDiv w:val="1"/>
      <w:marLeft w:val="0"/>
      <w:marRight w:val="0"/>
      <w:marTop w:val="0"/>
      <w:marBottom w:val="0"/>
      <w:divBdr>
        <w:top w:val="none" w:sz="0" w:space="0" w:color="auto"/>
        <w:left w:val="none" w:sz="0" w:space="0" w:color="auto"/>
        <w:bottom w:val="none" w:sz="0" w:space="0" w:color="auto"/>
        <w:right w:val="none" w:sz="0" w:space="0" w:color="auto"/>
      </w:divBdr>
    </w:div>
    <w:div w:id="2009402996">
      <w:bodyDiv w:val="1"/>
      <w:marLeft w:val="0"/>
      <w:marRight w:val="0"/>
      <w:marTop w:val="0"/>
      <w:marBottom w:val="0"/>
      <w:divBdr>
        <w:top w:val="none" w:sz="0" w:space="0" w:color="auto"/>
        <w:left w:val="none" w:sz="0" w:space="0" w:color="auto"/>
        <w:bottom w:val="none" w:sz="0" w:space="0" w:color="auto"/>
        <w:right w:val="none" w:sz="0" w:space="0" w:color="auto"/>
      </w:divBdr>
    </w:div>
    <w:div w:id="2013337968">
      <w:bodyDiv w:val="1"/>
      <w:marLeft w:val="0"/>
      <w:marRight w:val="0"/>
      <w:marTop w:val="0"/>
      <w:marBottom w:val="0"/>
      <w:divBdr>
        <w:top w:val="none" w:sz="0" w:space="0" w:color="auto"/>
        <w:left w:val="none" w:sz="0" w:space="0" w:color="auto"/>
        <w:bottom w:val="none" w:sz="0" w:space="0" w:color="auto"/>
        <w:right w:val="none" w:sz="0" w:space="0" w:color="auto"/>
      </w:divBdr>
    </w:div>
    <w:div w:id="2014330850">
      <w:bodyDiv w:val="1"/>
      <w:marLeft w:val="0"/>
      <w:marRight w:val="0"/>
      <w:marTop w:val="0"/>
      <w:marBottom w:val="0"/>
      <w:divBdr>
        <w:top w:val="none" w:sz="0" w:space="0" w:color="auto"/>
        <w:left w:val="none" w:sz="0" w:space="0" w:color="auto"/>
        <w:bottom w:val="none" w:sz="0" w:space="0" w:color="auto"/>
        <w:right w:val="none" w:sz="0" w:space="0" w:color="auto"/>
      </w:divBdr>
    </w:div>
    <w:div w:id="2018384323">
      <w:bodyDiv w:val="1"/>
      <w:marLeft w:val="0"/>
      <w:marRight w:val="0"/>
      <w:marTop w:val="0"/>
      <w:marBottom w:val="0"/>
      <w:divBdr>
        <w:top w:val="none" w:sz="0" w:space="0" w:color="auto"/>
        <w:left w:val="none" w:sz="0" w:space="0" w:color="auto"/>
        <w:bottom w:val="none" w:sz="0" w:space="0" w:color="auto"/>
        <w:right w:val="none" w:sz="0" w:space="0" w:color="auto"/>
      </w:divBdr>
    </w:div>
    <w:div w:id="2021344998">
      <w:bodyDiv w:val="1"/>
      <w:marLeft w:val="0"/>
      <w:marRight w:val="0"/>
      <w:marTop w:val="0"/>
      <w:marBottom w:val="0"/>
      <w:divBdr>
        <w:top w:val="none" w:sz="0" w:space="0" w:color="auto"/>
        <w:left w:val="none" w:sz="0" w:space="0" w:color="auto"/>
        <w:bottom w:val="none" w:sz="0" w:space="0" w:color="auto"/>
        <w:right w:val="none" w:sz="0" w:space="0" w:color="auto"/>
      </w:divBdr>
    </w:div>
    <w:div w:id="2025553601">
      <w:bodyDiv w:val="1"/>
      <w:marLeft w:val="0"/>
      <w:marRight w:val="0"/>
      <w:marTop w:val="0"/>
      <w:marBottom w:val="0"/>
      <w:divBdr>
        <w:top w:val="none" w:sz="0" w:space="0" w:color="auto"/>
        <w:left w:val="none" w:sz="0" w:space="0" w:color="auto"/>
        <w:bottom w:val="none" w:sz="0" w:space="0" w:color="auto"/>
        <w:right w:val="none" w:sz="0" w:space="0" w:color="auto"/>
      </w:divBdr>
    </w:div>
    <w:div w:id="2027752940">
      <w:bodyDiv w:val="1"/>
      <w:marLeft w:val="0"/>
      <w:marRight w:val="0"/>
      <w:marTop w:val="0"/>
      <w:marBottom w:val="0"/>
      <w:divBdr>
        <w:top w:val="none" w:sz="0" w:space="0" w:color="auto"/>
        <w:left w:val="none" w:sz="0" w:space="0" w:color="auto"/>
        <w:bottom w:val="none" w:sz="0" w:space="0" w:color="auto"/>
        <w:right w:val="none" w:sz="0" w:space="0" w:color="auto"/>
      </w:divBdr>
    </w:div>
    <w:div w:id="2028410375">
      <w:bodyDiv w:val="1"/>
      <w:marLeft w:val="0"/>
      <w:marRight w:val="0"/>
      <w:marTop w:val="0"/>
      <w:marBottom w:val="0"/>
      <w:divBdr>
        <w:top w:val="none" w:sz="0" w:space="0" w:color="auto"/>
        <w:left w:val="none" w:sz="0" w:space="0" w:color="auto"/>
        <w:bottom w:val="none" w:sz="0" w:space="0" w:color="auto"/>
        <w:right w:val="none" w:sz="0" w:space="0" w:color="auto"/>
      </w:divBdr>
    </w:div>
    <w:div w:id="2031639025">
      <w:bodyDiv w:val="1"/>
      <w:marLeft w:val="0"/>
      <w:marRight w:val="0"/>
      <w:marTop w:val="0"/>
      <w:marBottom w:val="0"/>
      <w:divBdr>
        <w:top w:val="none" w:sz="0" w:space="0" w:color="auto"/>
        <w:left w:val="none" w:sz="0" w:space="0" w:color="auto"/>
        <w:bottom w:val="none" w:sz="0" w:space="0" w:color="auto"/>
        <w:right w:val="none" w:sz="0" w:space="0" w:color="auto"/>
      </w:divBdr>
    </w:div>
    <w:div w:id="2036301361">
      <w:bodyDiv w:val="1"/>
      <w:marLeft w:val="0"/>
      <w:marRight w:val="0"/>
      <w:marTop w:val="0"/>
      <w:marBottom w:val="0"/>
      <w:divBdr>
        <w:top w:val="none" w:sz="0" w:space="0" w:color="auto"/>
        <w:left w:val="none" w:sz="0" w:space="0" w:color="auto"/>
        <w:bottom w:val="none" w:sz="0" w:space="0" w:color="auto"/>
        <w:right w:val="none" w:sz="0" w:space="0" w:color="auto"/>
      </w:divBdr>
    </w:div>
    <w:div w:id="2037189987">
      <w:bodyDiv w:val="1"/>
      <w:marLeft w:val="0"/>
      <w:marRight w:val="0"/>
      <w:marTop w:val="0"/>
      <w:marBottom w:val="0"/>
      <w:divBdr>
        <w:top w:val="none" w:sz="0" w:space="0" w:color="auto"/>
        <w:left w:val="none" w:sz="0" w:space="0" w:color="auto"/>
        <w:bottom w:val="none" w:sz="0" w:space="0" w:color="auto"/>
        <w:right w:val="none" w:sz="0" w:space="0" w:color="auto"/>
      </w:divBdr>
    </w:div>
    <w:div w:id="2042045668">
      <w:bodyDiv w:val="1"/>
      <w:marLeft w:val="0"/>
      <w:marRight w:val="0"/>
      <w:marTop w:val="0"/>
      <w:marBottom w:val="0"/>
      <w:divBdr>
        <w:top w:val="none" w:sz="0" w:space="0" w:color="auto"/>
        <w:left w:val="none" w:sz="0" w:space="0" w:color="auto"/>
        <w:bottom w:val="none" w:sz="0" w:space="0" w:color="auto"/>
        <w:right w:val="none" w:sz="0" w:space="0" w:color="auto"/>
      </w:divBdr>
    </w:div>
    <w:div w:id="2047100537">
      <w:bodyDiv w:val="1"/>
      <w:marLeft w:val="0"/>
      <w:marRight w:val="0"/>
      <w:marTop w:val="0"/>
      <w:marBottom w:val="0"/>
      <w:divBdr>
        <w:top w:val="none" w:sz="0" w:space="0" w:color="auto"/>
        <w:left w:val="none" w:sz="0" w:space="0" w:color="auto"/>
        <w:bottom w:val="none" w:sz="0" w:space="0" w:color="auto"/>
        <w:right w:val="none" w:sz="0" w:space="0" w:color="auto"/>
      </w:divBdr>
    </w:div>
    <w:div w:id="2055808670">
      <w:bodyDiv w:val="1"/>
      <w:marLeft w:val="0"/>
      <w:marRight w:val="0"/>
      <w:marTop w:val="0"/>
      <w:marBottom w:val="0"/>
      <w:divBdr>
        <w:top w:val="none" w:sz="0" w:space="0" w:color="auto"/>
        <w:left w:val="none" w:sz="0" w:space="0" w:color="auto"/>
        <w:bottom w:val="none" w:sz="0" w:space="0" w:color="auto"/>
        <w:right w:val="none" w:sz="0" w:space="0" w:color="auto"/>
      </w:divBdr>
    </w:div>
    <w:div w:id="2062711811">
      <w:bodyDiv w:val="1"/>
      <w:marLeft w:val="0"/>
      <w:marRight w:val="0"/>
      <w:marTop w:val="0"/>
      <w:marBottom w:val="0"/>
      <w:divBdr>
        <w:top w:val="none" w:sz="0" w:space="0" w:color="auto"/>
        <w:left w:val="none" w:sz="0" w:space="0" w:color="auto"/>
        <w:bottom w:val="none" w:sz="0" w:space="0" w:color="auto"/>
        <w:right w:val="none" w:sz="0" w:space="0" w:color="auto"/>
      </w:divBdr>
    </w:div>
    <w:div w:id="2063673806">
      <w:bodyDiv w:val="1"/>
      <w:marLeft w:val="0"/>
      <w:marRight w:val="0"/>
      <w:marTop w:val="0"/>
      <w:marBottom w:val="0"/>
      <w:divBdr>
        <w:top w:val="none" w:sz="0" w:space="0" w:color="auto"/>
        <w:left w:val="none" w:sz="0" w:space="0" w:color="auto"/>
        <w:bottom w:val="none" w:sz="0" w:space="0" w:color="auto"/>
        <w:right w:val="none" w:sz="0" w:space="0" w:color="auto"/>
      </w:divBdr>
    </w:div>
    <w:div w:id="2066684338">
      <w:bodyDiv w:val="1"/>
      <w:marLeft w:val="0"/>
      <w:marRight w:val="0"/>
      <w:marTop w:val="0"/>
      <w:marBottom w:val="0"/>
      <w:divBdr>
        <w:top w:val="none" w:sz="0" w:space="0" w:color="auto"/>
        <w:left w:val="none" w:sz="0" w:space="0" w:color="auto"/>
        <w:bottom w:val="none" w:sz="0" w:space="0" w:color="auto"/>
        <w:right w:val="none" w:sz="0" w:space="0" w:color="auto"/>
      </w:divBdr>
    </w:div>
    <w:div w:id="2071422427">
      <w:bodyDiv w:val="1"/>
      <w:marLeft w:val="0"/>
      <w:marRight w:val="0"/>
      <w:marTop w:val="0"/>
      <w:marBottom w:val="0"/>
      <w:divBdr>
        <w:top w:val="none" w:sz="0" w:space="0" w:color="auto"/>
        <w:left w:val="none" w:sz="0" w:space="0" w:color="auto"/>
        <w:bottom w:val="none" w:sz="0" w:space="0" w:color="auto"/>
        <w:right w:val="none" w:sz="0" w:space="0" w:color="auto"/>
      </w:divBdr>
    </w:div>
    <w:div w:id="2075927541">
      <w:bodyDiv w:val="1"/>
      <w:marLeft w:val="0"/>
      <w:marRight w:val="0"/>
      <w:marTop w:val="0"/>
      <w:marBottom w:val="0"/>
      <w:divBdr>
        <w:top w:val="none" w:sz="0" w:space="0" w:color="auto"/>
        <w:left w:val="none" w:sz="0" w:space="0" w:color="auto"/>
        <w:bottom w:val="none" w:sz="0" w:space="0" w:color="auto"/>
        <w:right w:val="none" w:sz="0" w:space="0" w:color="auto"/>
      </w:divBdr>
    </w:div>
    <w:div w:id="2079667254">
      <w:bodyDiv w:val="1"/>
      <w:marLeft w:val="0"/>
      <w:marRight w:val="0"/>
      <w:marTop w:val="0"/>
      <w:marBottom w:val="0"/>
      <w:divBdr>
        <w:top w:val="none" w:sz="0" w:space="0" w:color="auto"/>
        <w:left w:val="none" w:sz="0" w:space="0" w:color="auto"/>
        <w:bottom w:val="none" w:sz="0" w:space="0" w:color="auto"/>
        <w:right w:val="none" w:sz="0" w:space="0" w:color="auto"/>
      </w:divBdr>
    </w:div>
    <w:div w:id="2091999417">
      <w:bodyDiv w:val="1"/>
      <w:marLeft w:val="0"/>
      <w:marRight w:val="0"/>
      <w:marTop w:val="0"/>
      <w:marBottom w:val="0"/>
      <w:divBdr>
        <w:top w:val="none" w:sz="0" w:space="0" w:color="auto"/>
        <w:left w:val="none" w:sz="0" w:space="0" w:color="auto"/>
        <w:bottom w:val="none" w:sz="0" w:space="0" w:color="auto"/>
        <w:right w:val="none" w:sz="0" w:space="0" w:color="auto"/>
      </w:divBdr>
    </w:div>
    <w:div w:id="2092585106">
      <w:bodyDiv w:val="1"/>
      <w:marLeft w:val="0"/>
      <w:marRight w:val="0"/>
      <w:marTop w:val="0"/>
      <w:marBottom w:val="0"/>
      <w:divBdr>
        <w:top w:val="none" w:sz="0" w:space="0" w:color="auto"/>
        <w:left w:val="none" w:sz="0" w:space="0" w:color="auto"/>
        <w:bottom w:val="none" w:sz="0" w:space="0" w:color="auto"/>
        <w:right w:val="none" w:sz="0" w:space="0" w:color="auto"/>
      </w:divBdr>
    </w:div>
    <w:div w:id="2093043762">
      <w:bodyDiv w:val="1"/>
      <w:marLeft w:val="0"/>
      <w:marRight w:val="0"/>
      <w:marTop w:val="0"/>
      <w:marBottom w:val="0"/>
      <w:divBdr>
        <w:top w:val="none" w:sz="0" w:space="0" w:color="auto"/>
        <w:left w:val="none" w:sz="0" w:space="0" w:color="auto"/>
        <w:bottom w:val="none" w:sz="0" w:space="0" w:color="auto"/>
        <w:right w:val="none" w:sz="0" w:space="0" w:color="auto"/>
      </w:divBdr>
    </w:div>
    <w:div w:id="2097821181">
      <w:bodyDiv w:val="1"/>
      <w:marLeft w:val="0"/>
      <w:marRight w:val="0"/>
      <w:marTop w:val="0"/>
      <w:marBottom w:val="0"/>
      <w:divBdr>
        <w:top w:val="none" w:sz="0" w:space="0" w:color="auto"/>
        <w:left w:val="none" w:sz="0" w:space="0" w:color="auto"/>
        <w:bottom w:val="none" w:sz="0" w:space="0" w:color="auto"/>
        <w:right w:val="none" w:sz="0" w:space="0" w:color="auto"/>
      </w:divBdr>
    </w:div>
    <w:div w:id="2098137927">
      <w:bodyDiv w:val="1"/>
      <w:marLeft w:val="0"/>
      <w:marRight w:val="0"/>
      <w:marTop w:val="0"/>
      <w:marBottom w:val="0"/>
      <w:divBdr>
        <w:top w:val="none" w:sz="0" w:space="0" w:color="auto"/>
        <w:left w:val="none" w:sz="0" w:space="0" w:color="auto"/>
        <w:bottom w:val="none" w:sz="0" w:space="0" w:color="auto"/>
        <w:right w:val="none" w:sz="0" w:space="0" w:color="auto"/>
      </w:divBdr>
    </w:div>
    <w:div w:id="2098550573">
      <w:bodyDiv w:val="1"/>
      <w:marLeft w:val="0"/>
      <w:marRight w:val="0"/>
      <w:marTop w:val="0"/>
      <w:marBottom w:val="0"/>
      <w:divBdr>
        <w:top w:val="none" w:sz="0" w:space="0" w:color="auto"/>
        <w:left w:val="none" w:sz="0" w:space="0" w:color="auto"/>
        <w:bottom w:val="none" w:sz="0" w:space="0" w:color="auto"/>
        <w:right w:val="none" w:sz="0" w:space="0" w:color="auto"/>
      </w:divBdr>
    </w:div>
    <w:div w:id="2106535977">
      <w:bodyDiv w:val="1"/>
      <w:marLeft w:val="0"/>
      <w:marRight w:val="0"/>
      <w:marTop w:val="0"/>
      <w:marBottom w:val="0"/>
      <w:divBdr>
        <w:top w:val="none" w:sz="0" w:space="0" w:color="auto"/>
        <w:left w:val="none" w:sz="0" w:space="0" w:color="auto"/>
        <w:bottom w:val="none" w:sz="0" w:space="0" w:color="auto"/>
        <w:right w:val="none" w:sz="0" w:space="0" w:color="auto"/>
      </w:divBdr>
    </w:div>
    <w:div w:id="2115398973">
      <w:bodyDiv w:val="1"/>
      <w:marLeft w:val="0"/>
      <w:marRight w:val="0"/>
      <w:marTop w:val="0"/>
      <w:marBottom w:val="0"/>
      <w:divBdr>
        <w:top w:val="none" w:sz="0" w:space="0" w:color="auto"/>
        <w:left w:val="none" w:sz="0" w:space="0" w:color="auto"/>
        <w:bottom w:val="none" w:sz="0" w:space="0" w:color="auto"/>
        <w:right w:val="none" w:sz="0" w:space="0" w:color="auto"/>
      </w:divBdr>
    </w:div>
    <w:div w:id="2119636551">
      <w:bodyDiv w:val="1"/>
      <w:marLeft w:val="0"/>
      <w:marRight w:val="0"/>
      <w:marTop w:val="0"/>
      <w:marBottom w:val="0"/>
      <w:divBdr>
        <w:top w:val="none" w:sz="0" w:space="0" w:color="auto"/>
        <w:left w:val="none" w:sz="0" w:space="0" w:color="auto"/>
        <w:bottom w:val="none" w:sz="0" w:space="0" w:color="auto"/>
        <w:right w:val="none" w:sz="0" w:space="0" w:color="auto"/>
      </w:divBdr>
    </w:div>
    <w:div w:id="2119640231">
      <w:bodyDiv w:val="1"/>
      <w:marLeft w:val="0"/>
      <w:marRight w:val="0"/>
      <w:marTop w:val="0"/>
      <w:marBottom w:val="0"/>
      <w:divBdr>
        <w:top w:val="none" w:sz="0" w:space="0" w:color="auto"/>
        <w:left w:val="none" w:sz="0" w:space="0" w:color="auto"/>
        <w:bottom w:val="none" w:sz="0" w:space="0" w:color="auto"/>
        <w:right w:val="none" w:sz="0" w:space="0" w:color="auto"/>
      </w:divBdr>
    </w:div>
    <w:div w:id="2123255628">
      <w:bodyDiv w:val="1"/>
      <w:marLeft w:val="0"/>
      <w:marRight w:val="0"/>
      <w:marTop w:val="0"/>
      <w:marBottom w:val="0"/>
      <w:divBdr>
        <w:top w:val="none" w:sz="0" w:space="0" w:color="auto"/>
        <w:left w:val="none" w:sz="0" w:space="0" w:color="auto"/>
        <w:bottom w:val="none" w:sz="0" w:space="0" w:color="auto"/>
        <w:right w:val="none" w:sz="0" w:space="0" w:color="auto"/>
      </w:divBdr>
    </w:div>
    <w:div w:id="2124225558">
      <w:bodyDiv w:val="1"/>
      <w:marLeft w:val="0"/>
      <w:marRight w:val="0"/>
      <w:marTop w:val="0"/>
      <w:marBottom w:val="0"/>
      <w:divBdr>
        <w:top w:val="none" w:sz="0" w:space="0" w:color="auto"/>
        <w:left w:val="none" w:sz="0" w:space="0" w:color="auto"/>
        <w:bottom w:val="none" w:sz="0" w:space="0" w:color="auto"/>
        <w:right w:val="none" w:sz="0" w:space="0" w:color="auto"/>
      </w:divBdr>
    </w:div>
    <w:div w:id="2125735582">
      <w:bodyDiv w:val="1"/>
      <w:marLeft w:val="0"/>
      <w:marRight w:val="0"/>
      <w:marTop w:val="0"/>
      <w:marBottom w:val="0"/>
      <w:divBdr>
        <w:top w:val="none" w:sz="0" w:space="0" w:color="auto"/>
        <w:left w:val="none" w:sz="0" w:space="0" w:color="auto"/>
        <w:bottom w:val="none" w:sz="0" w:space="0" w:color="auto"/>
        <w:right w:val="none" w:sz="0" w:space="0" w:color="auto"/>
      </w:divBdr>
    </w:div>
    <w:div w:id="2128967427">
      <w:bodyDiv w:val="1"/>
      <w:marLeft w:val="0"/>
      <w:marRight w:val="0"/>
      <w:marTop w:val="0"/>
      <w:marBottom w:val="0"/>
      <w:divBdr>
        <w:top w:val="none" w:sz="0" w:space="0" w:color="auto"/>
        <w:left w:val="none" w:sz="0" w:space="0" w:color="auto"/>
        <w:bottom w:val="none" w:sz="0" w:space="0" w:color="auto"/>
        <w:right w:val="none" w:sz="0" w:space="0" w:color="auto"/>
      </w:divBdr>
    </w:div>
    <w:div w:id="2130469465">
      <w:bodyDiv w:val="1"/>
      <w:marLeft w:val="0"/>
      <w:marRight w:val="0"/>
      <w:marTop w:val="0"/>
      <w:marBottom w:val="0"/>
      <w:divBdr>
        <w:top w:val="none" w:sz="0" w:space="0" w:color="auto"/>
        <w:left w:val="none" w:sz="0" w:space="0" w:color="auto"/>
        <w:bottom w:val="none" w:sz="0" w:space="0" w:color="auto"/>
        <w:right w:val="none" w:sz="0" w:space="0" w:color="auto"/>
      </w:divBdr>
    </w:div>
    <w:div w:id="2133480789">
      <w:bodyDiv w:val="1"/>
      <w:marLeft w:val="0"/>
      <w:marRight w:val="0"/>
      <w:marTop w:val="0"/>
      <w:marBottom w:val="0"/>
      <w:divBdr>
        <w:top w:val="none" w:sz="0" w:space="0" w:color="auto"/>
        <w:left w:val="none" w:sz="0" w:space="0" w:color="auto"/>
        <w:bottom w:val="none" w:sz="0" w:space="0" w:color="auto"/>
        <w:right w:val="none" w:sz="0" w:space="0" w:color="auto"/>
      </w:divBdr>
    </w:div>
    <w:div w:id="2135978822">
      <w:bodyDiv w:val="1"/>
      <w:marLeft w:val="0"/>
      <w:marRight w:val="0"/>
      <w:marTop w:val="0"/>
      <w:marBottom w:val="0"/>
      <w:divBdr>
        <w:top w:val="none" w:sz="0" w:space="0" w:color="auto"/>
        <w:left w:val="none" w:sz="0" w:space="0" w:color="auto"/>
        <w:bottom w:val="none" w:sz="0" w:space="0" w:color="auto"/>
        <w:right w:val="none" w:sz="0" w:space="0" w:color="auto"/>
      </w:divBdr>
    </w:div>
    <w:div w:id="2138062486">
      <w:bodyDiv w:val="1"/>
      <w:marLeft w:val="0"/>
      <w:marRight w:val="0"/>
      <w:marTop w:val="0"/>
      <w:marBottom w:val="0"/>
      <w:divBdr>
        <w:top w:val="none" w:sz="0" w:space="0" w:color="auto"/>
        <w:left w:val="none" w:sz="0" w:space="0" w:color="auto"/>
        <w:bottom w:val="none" w:sz="0" w:space="0" w:color="auto"/>
        <w:right w:val="none" w:sz="0" w:space="0" w:color="auto"/>
      </w:divBdr>
    </w:div>
    <w:div w:id="2140217619">
      <w:bodyDiv w:val="1"/>
      <w:marLeft w:val="0"/>
      <w:marRight w:val="0"/>
      <w:marTop w:val="0"/>
      <w:marBottom w:val="0"/>
      <w:divBdr>
        <w:top w:val="none" w:sz="0" w:space="0" w:color="auto"/>
        <w:left w:val="none" w:sz="0" w:space="0" w:color="auto"/>
        <w:bottom w:val="none" w:sz="0" w:space="0" w:color="auto"/>
        <w:right w:val="none" w:sz="0" w:space="0" w:color="auto"/>
      </w:divBdr>
    </w:div>
    <w:div w:id="2141068322">
      <w:bodyDiv w:val="1"/>
      <w:marLeft w:val="0"/>
      <w:marRight w:val="0"/>
      <w:marTop w:val="0"/>
      <w:marBottom w:val="0"/>
      <w:divBdr>
        <w:top w:val="none" w:sz="0" w:space="0" w:color="auto"/>
        <w:left w:val="none" w:sz="0" w:space="0" w:color="auto"/>
        <w:bottom w:val="none" w:sz="0" w:space="0" w:color="auto"/>
        <w:right w:val="none" w:sz="0" w:space="0" w:color="auto"/>
      </w:divBdr>
    </w:div>
    <w:div w:id="2141259747">
      <w:bodyDiv w:val="1"/>
      <w:marLeft w:val="0"/>
      <w:marRight w:val="0"/>
      <w:marTop w:val="0"/>
      <w:marBottom w:val="0"/>
      <w:divBdr>
        <w:top w:val="none" w:sz="0" w:space="0" w:color="auto"/>
        <w:left w:val="none" w:sz="0" w:space="0" w:color="auto"/>
        <w:bottom w:val="none" w:sz="0" w:space="0" w:color="auto"/>
        <w:right w:val="none" w:sz="0" w:space="0" w:color="auto"/>
      </w:divBdr>
    </w:div>
    <w:div w:id="2143690056">
      <w:bodyDiv w:val="1"/>
      <w:marLeft w:val="0"/>
      <w:marRight w:val="0"/>
      <w:marTop w:val="0"/>
      <w:marBottom w:val="0"/>
      <w:divBdr>
        <w:top w:val="none" w:sz="0" w:space="0" w:color="auto"/>
        <w:left w:val="none" w:sz="0" w:space="0" w:color="auto"/>
        <w:bottom w:val="none" w:sz="0" w:space="0" w:color="auto"/>
        <w:right w:val="none" w:sz="0" w:space="0" w:color="auto"/>
      </w:divBdr>
    </w:div>
    <w:div w:id="21459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isionaustralia.org/" TargetMode="External"/><Relationship Id="rId18" Type="http://schemas.openxmlformats.org/officeDocument/2006/relationships/header" Target="header3.xml"/><Relationship Id="rId26" Type="http://schemas.openxmlformats.org/officeDocument/2006/relationships/hyperlink" Target="http://www.visionaustralia.org/about-us/who-we-are-and-what-we-do/governance/board-and-committee-charters" TargetMode="External"/><Relationship Id="rId39" Type="http://schemas.openxmlformats.org/officeDocument/2006/relationships/hyperlink" Target="file:///C:/Users/athotakura/AppData/Local/Microsoft/Windows/Temporary%20Internet%20Files/Content.MSO/3C2A9B2E.xlsx" TargetMode="External"/><Relationship Id="rId21" Type="http://schemas.openxmlformats.org/officeDocument/2006/relationships/hyperlink" Target="http://www.visionaustralia.org/about-us/who-we-are-and-what-we-do/governance/board-and-committee-charters" TargetMode="External"/><Relationship Id="rId34" Type="http://schemas.openxmlformats.org/officeDocument/2006/relationships/hyperlink" Target="file:///C:/Users/athotakura/AppData/Local/Microsoft/Windows/Temporary%20Internet%20Files/Content.MSO/3C2A9B2E.xlsx" TargetMode="External"/><Relationship Id="rId42" Type="http://schemas.openxmlformats.org/officeDocument/2006/relationships/hyperlink" Target="file:///C:/Users/athotakura/AppData/Local/Microsoft/Windows/Temporary%20Internet%20Files/Content.MSO/3C2A9B2E.xlsx" TargetMode="External"/><Relationship Id="rId47" Type="http://schemas.openxmlformats.org/officeDocument/2006/relationships/header" Target="header4.xml"/><Relationship Id="rId50" Type="http://schemas.openxmlformats.org/officeDocument/2006/relationships/header" Target="header7.xml"/><Relationship Id="rId55" Type="http://schemas.openxmlformats.org/officeDocument/2006/relationships/image" Target="media/image2.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visionaustralia.org/about-us/who-we-are-and-what-we-do/governance/board-and-committee-charters" TargetMode="External"/><Relationship Id="rId33" Type="http://schemas.openxmlformats.org/officeDocument/2006/relationships/hyperlink" Target="file:///C:/Users/athotakura/AppData/Local/Microsoft/Windows/Temporary%20Internet%20Files/Content.MSO/3C2A9B2E.xlsx" TargetMode="External"/><Relationship Id="rId38" Type="http://schemas.openxmlformats.org/officeDocument/2006/relationships/hyperlink" Target="file:///C:/Users/athotakura/AppData/Local/Microsoft/Windows/Temporary%20Internet%20Files/Content.MSO/3C2A9B2E.xlsx" TargetMode="External"/><Relationship Id="rId46" Type="http://schemas.openxmlformats.org/officeDocument/2006/relationships/hyperlink" Target="file:///C:/Users/athotakura/AppData/Local/Microsoft/Windows/Temporary%20Internet%20Files/Content.MSO/3C2A9B2E.xls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visionaustralia.org/about-us/who-we-are-and-what-we-do/governance/board-and-committee-charters" TargetMode="External"/><Relationship Id="rId29" Type="http://schemas.openxmlformats.org/officeDocument/2006/relationships/hyperlink" Target="file:///C:/Users/athotakura/AppData/Local/Microsoft/Windows/Temporary%20Internet%20Files/Content.MSO/3C2A9B2E.xlsx" TargetMode="External"/><Relationship Id="rId41" Type="http://schemas.openxmlformats.org/officeDocument/2006/relationships/hyperlink" Target="file:///C:/Users/athotakura/AppData/Local/Microsoft/Windows/Temporary%20Internet%20Files/Content.MSO/3C2A9B2E.xlsx"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visionaustralia.org/about-us/who-we-are-and-what-we-do/governance/board-and-committee-charters" TargetMode="External"/><Relationship Id="rId32" Type="http://schemas.openxmlformats.org/officeDocument/2006/relationships/hyperlink" Target="file:///C:/Users/athotakura/AppData/Local/Microsoft/Windows/Temporary%20Internet%20Files/Content.MSO/3C2A9B2E.xlsx" TargetMode="External"/><Relationship Id="rId37" Type="http://schemas.openxmlformats.org/officeDocument/2006/relationships/hyperlink" Target="file:///C:/Users/athotakura/AppData/Local/Microsoft/Windows/Temporary%20Internet%20Files/Content.MSO/3C2A9B2E.xlsx" TargetMode="External"/><Relationship Id="rId40" Type="http://schemas.openxmlformats.org/officeDocument/2006/relationships/hyperlink" Target="file:///C:/Users/athotakura/AppData/Local/Microsoft/Windows/Temporary%20Internet%20Files/Content.MSO/3C2A9B2E.xlsx" TargetMode="External"/><Relationship Id="rId45" Type="http://schemas.openxmlformats.org/officeDocument/2006/relationships/hyperlink" Target="file:///C:/Users/athotakura/AppData/Local/Microsoft/Windows/Temporary%20Internet%20Files/Content.MSO/3C2A9B2E.xlsx" TargetMode="External"/><Relationship Id="rId53" Type="http://schemas.openxmlformats.org/officeDocument/2006/relationships/hyperlink" Target="http://www.deloitte.com/au/about"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visionaustralia.org/about-us/who-we-are-and-what-we-do/governance/board-and-committee-charters" TargetMode="External"/><Relationship Id="rId28" Type="http://schemas.openxmlformats.org/officeDocument/2006/relationships/hyperlink" Target="http://www.visionaustralia.org/about-us/who-we-are-and-what-we-do/governance/board-and-committee-charters" TargetMode="External"/><Relationship Id="rId36" Type="http://schemas.openxmlformats.org/officeDocument/2006/relationships/hyperlink" Target="file:///C:/Users/athotakura/AppData/Local/Microsoft/Windows/Temporary%20Internet%20Files/Content.MSO/3C2A9B2E.xlsx" TargetMode="External"/><Relationship Id="rId49" Type="http://schemas.openxmlformats.org/officeDocument/2006/relationships/header" Target="header6.xm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file:///C:/Users/athotakura/AppData/Local/Microsoft/Windows/Temporary%20Internet%20Files/Content.MSO/3C2A9B2E.xlsx" TargetMode="External"/><Relationship Id="rId44" Type="http://schemas.openxmlformats.org/officeDocument/2006/relationships/hyperlink" Target="file:///C:/Users/athotakura/AppData/Local/Microsoft/Windows/Temporary%20Internet%20Files/Content.MSO/3C2A9B2E.xlsx" TargetMode="External"/><Relationship Id="rId52"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isionaustralia.org/" TargetMode="External"/><Relationship Id="rId22" Type="http://schemas.openxmlformats.org/officeDocument/2006/relationships/hyperlink" Target="http://www.visionaustralia.org/about-us/who-we-are-and-what-we-do/governance/board-and-committee-charters" TargetMode="External"/><Relationship Id="rId27" Type="http://schemas.openxmlformats.org/officeDocument/2006/relationships/hyperlink" Target="http://www.visionaustralia.org/about-us/who-we-are-and-what-we-do/governance/board-and-committee-charters" TargetMode="External"/><Relationship Id="rId30" Type="http://schemas.openxmlformats.org/officeDocument/2006/relationships/hyperlink" Target="file:///C:/Users/athotakura/AppData/Local/Microsoft/Windows/Temporary%20Internet%20Files/Content.MSO/3C2A9B2E.xlsx" TargetMode="External"/><Relationship Id="rId35" Type="http://schemas.openxmlformats.org/officeDocument/2006/relationships/hyperlink" Target="file:///C:/Users/athotakura/AppData/Local/Microsoft/Windows/Temporary%20Internet%20Files/Content.MSO/3C2A9B2E.xlsx" TargetMode="External"/><Relationship Id="rId43" Type="http://schemas.openxmlformats.org/officeDocument/2006/relationships/hyperlink" Target="file:///C:/Users/athotakura/AppData/Local/Microsoft/Windows/Temporary%20Internet%20Files/Content.MSO/3C2A9B2E.xlsx" TargetMode="External"/><Relationship Id="rId48" Type="http://schemas.openxmlformats.org/officeDocument/2006/relationships/header" Target="header5.xml"/><Relationship Id="rId56" Type="http://schemas.openxmlformats.org/officeDocument/2006/relationships/header" Target="header10.xml"/><Relationship Id="rId8" Type="http://schemas.microsoft.com/office/2007/relationships/stylesWithEffects" Target="stylesWithEffects.xml"/><Relationship Id="rId51" Type="http://schemas.openxmlformats.org/officeDocument/2006/relationships/header" Target="header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VA_x0020_Financial_x0020_Yr_x002e_ xmlns="1a10002d-52a1-4d42-85c6-fd5ef44997ed">FY 2014-15</VA_x0020_Financial_x0020_Yr_x002e_>
    <VA_x0020_Financial_x0020_Period xmlns="39882228-e2ba-44a0-84c8-8b83032f204a">12</VA_x0020_Financial_x0020_Period>
    <Department_x0020_Name xmlns="1a10002d-52a1-4d42-85c6-fd5ef44997ed">VA</Department_x0020_Name>
    <Document_x0020_Type xmlns="1a10002d-52a1-4d42-85c6-fd5ef44997ed">Year End</Document_x0020_Type>
    <Description0 xmlns="1a10002d-52a1-4d42-85c6-fd5ef44997ed">Vision Australia Ltd consolidated 30-6-15</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6B9E772609342898E4EC0FF878004" ma:contentTypeVersion="5" ma:contentTypeDescription="Create a new document." ma:contentTypeScope="" ma:versionID="098e24fc8c6129beb2e716a549e4834f">
  <xsd:schema xmlns:xsd="http://www.w3.org/2001/XMLSchema" xmlns:xs="http://www.w3.org/2001/XMLSchema" xmlns:p="http://schemas.microsoft.com/office/2006/metadata/properties" xmlns:ns2="1a10002d-52a1-4d42-85c6-fd5ef44997ed" xmlns:ns3="39882228-e2ba-44a0-84c8-8b83032f204a" targetNamespace="http://schemas.microsoft.com/office/2006/metadata/properties" ma:root="true" ma:fieldsID="1bdc9339e593f644402810c174759c56" ns2:_="" ns3:_="">
    <xsd:import namespace="1a10002d-52a1-4d42-85c6-fd5ef44997ed"/>
    <xsd:import namespace="39882228-e2ba-44a0-84c8-8b83032f204a"/>
    <xsd:element name="properties">
      <xsd:complexType>
        <xsd:sequence>
          <xsd:element name="documentManagement">
            <xsd:complexType>
              <xsd:all>
                <xsd:element ref="ns2:Document_x0020_Type"/>
                <xsd:element ref="ns2:Department_x0020_Name"/>
                <xsd:element ref="ns2:Description0"/>
                <xsd:element ref="ns3:VA_x0020_Financial_x0020_Period"/>
                <xsd:element ref="ns2:VA_x0020_Financial_x0020_Yr_x002e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0002d-52a1-4d42-85c6-fd5ef44997ed"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Audit - External"/>
          <xsd:enumeration value="Audit - Internal"/>
          <xsd:enumeration value="Chart of Accounts"/>
          <xsd:enumeration value="Fixed Assets"/>
          <xsd:enumeration value="FY 15 Budget"/>
          <xsd:enumeration value="Investment"/>
          <xsd:enumeration value="Journals"/>
          <xsd:enumeration value="Month End - Journals"/>
          <xsd:enumeration value="Month End - Reconciliations"/>
          <xsd:enumeration value="Month End - Reporting"/>
          <xsd:enumeration value="Other"/>
          <xsd:enumeration value="Timesheets"/>
          <xsd:enumeration value="Year End"/>
          <xsd:enumeration value="Accounts Structure"/>
        </xsd:restriction>
      </xsd:simpleType>
    </xsd:element>
    <xsd:element name="Department_x0020_Name" ma:index="9" ma:displayName="Department Name" ma:format="Dropdown" ma:internalName="Department_x0020_Name">
      <xsd:simpleType>
        <xsd:restriction base="dms:Choice">
          <xsd:enumeration value="BD"/>
          <xsd:enumeration value="Fin &amp; Admin"/>
          <xsd:enumeration value="FY12 Attri."/>
          <xsd:enumeration value="IA"/>
          <xsd:enumeration value="ILS"/>
          <xsd:enumeration value="ISG"/>
          <xsd:enumeration value="ISR"/>
          <xsd:enumeration value="MD"/>
          <xsd:enumeration value="Org Dev"/>
          <xsd:enumeration value="RA"/>
          <xsd:enumeration value="SEDOM"/>
          <xsd:enumeration value="VA"/>
        </xsd:restriction>
      </xsd:simpleType>
    </xsd:element>
    <xsd:element name="Description0" ma:index="10" ma:displayName="Description" ma:internalName="Description0">
      <xsd:simpleType>
        <xsd:restriction base="dms:Note">
          <xsd:maxLength value="255"/>
        </xsd:restriction>
      </xsd:simpleType>
    </xsd:element>
    <xsd:element name="VA_x0020_Financial_x0020_Yr_x002e_" ma:index="12" ma:displayName="VA Financial Yr." ma:default="FY 2014-15" ma:format="Dropdown" ma:internalName="VA_x0020_Financial_x0020_Yr_x002e_">
      <xsd:simpleType>
        <xsd:restriction base="dms:Choice">
          <xsd:enumeration value="All Years"/>
          <xsd:enumeration value="PreFY2009-10"/>
          <xsd:enumeration value="FY 2009-10"/>
          <xsd:enumeration value="FY 2010-11"/>
          <xsd:enumeration value="FY 2011-12"/>
          <xsd:enumeration value="FY 2012-13"/>
          <xsd:enumeration value="FY 2013-14"/>
          <xsd:enumeration value="FY 2014-15"/>
          <xsd:enumeration value="FY 2015-16"/>
        </xsd:restriction>
      </xsd:simpleType>
    </xsd:element>
  </xsd:schema>
  <xsd:schema xmlns:xsd="http://www.w3.org/2001/XMLSchema" xmlns:xs="http://www.w3.org/2001/XMLSchema" xmlns:dms="http://schemas.microsoft.com/office/2006/documentManagement/types" xmlns:pc="http://schemas.microsoft.com/office/infopath/2007/PartnerControls" targetNamespace="39882228-e2ba-44a0-84c8-8b83032f204a" elementFormDefault="qualified">
    <xsd:import namespace="http://schemas.microsoft.com/office/2006/documentManagement/types"/>
    <xsd:import namespace="http://schemas.microsoft.com/office/infopath/2007/PartnerControls"/>
    <xsd:element name="VA_x0020_Financial_x0020_Period" ma:index="11" ma:displayName="VA Financial Period" ma:format="Dropdown" ma:internalName="VA_x0020_Financial_x0020_Period">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97EAB-F926-4F84-BD0E-A9C7A800C04B}">
  <ds:schemaRefs>
    <ds:schemaRef ds:uri="http://schemas.microsoft.com/office/2006/metadata/longProperties"/>
  </ds:schemaRefs>
</ds:datastoreItem>
</file>

<file path=customXml/itemProps2.xml><?xml version="1.0" encoding="utf-8"?>
<ds:datastoreItem xmlns:ds="http://schemas.openxmlformats.org/officeDocument/2006/customXml" ds:itemID="{3E3FC58B-54B0-450C-AA2F-F82DA8F5F60F}">
  <ds:schemaRefs>
    <ds:schemaRef ds:uri="http://schemas.microsoft.com/office/2006/metadata/properties"/>
    <ds:schemaRef ds:uri="http://schemas.microsoft.com/office/infopath/2007/PartnerControls"/>
    <ds:schemaRef ds:uri="1a10002d-52a1-4d42-85c6-fd5ef44997ed"/>
    <ds:schemaRef ds:uri="39882228-e2ba-44a0-84c8-8b83032f204a"/>
  </ds:schemaRefs>
</ds:datastoreItem>
</file>

<file path=customXml/itemProps3.xml><?xml version="1.0" encoding="utf-8"?>
<ds:datastoreItem xmlns:ds="http://schemas.openxmlformats.org/officeDocument/2006/customXml" ds:itemID="{1BE97A55-C815-401E-8BC7-F73CDBF2F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0002d-52a1-4d42-85c6-fd5ef44997ed"/>
    <ds:schemaRef ds:uri="39882228-e2ba-44a0-84c8-8b83032f2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A873D-9909-42D8-81CC-9BFF65250B08}">
  <ds:schemaRefs>
    <ds:schemaRef ds:uri="http://schemas.microsoft.com/sharepoint/v3/contenttype/forms"/>
  </ds:schemaRefs>
</ds:datastoreItem>
</file>

<file path=customXml/itemProps5.xml><?xml version="1.0" encoding="utf-8"?>
<ds:datastoreItem xmlns:ds="http://schemas.openxmlformats.org/officeDocument/2006/customXml" ds:itemID="{8EFA0EE2-0B1E-4D9C-9134-399AD6EC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61</Pages>
  <Words>17593</Words>
  <Characters>100283</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5.0 Vision Australia Ltd consolidated Year End Accounts 30-6-15_CLEAN</vt:lpstr>
    </vt:vector>
  </TitlesOfParts>
  <Company>RVIB</Company>
  <LinksUpToDate>false</LinksUpToDate>
  <CharactersWithSpaces>117641</CharactersWithSpaces>
  <SharedDoc>false</SharedDoc>
  <HLinks>
    <vt:vector size="162" baseType="variant">
      <vt:variant>
        <vt:i4>7471175</vt:i4>
      </vt:variant>
      <vt:variant>
        <vt:i4>78</vt:i4>
      </vt:variant>
      <vt:variant>
        <vt:i4>0</vt:i4>
      </vt:variant>
      <vt:variant>
        <vt:i4>5</vt:i4>
      </vt:variant>
      <vt:variant>
        <vt:lpwstr>C:\Users\athotakura\AppData\Local\Microsoft\Windows\Temporary Internet Files\Content.MSO\3C2A9B2E.xlsx</vt:lpwstr>
      </vt:variant>
      <vt:variant>
        <vt:lpwstr>'Note 17,19'!A1</vt:lpwstr>
      </vt:variant>
      <vt:variant>
        <vt:i4>1114166</vt:i4>
      </vt:variant>
      <vt:variant>
        <vt:i4>75</vt:i4>
      </vt:variant>
      <vt:variant>
        <vt:i4>0</vt:i4>
      </vt:variant>
      <vt:variant>
        <vt:i4>5</vt:i4>
      </vt:variant>
      <vt:variant>
        <vt:lpwstr>C:\Users\athotakura\AppData\Local\Microsoft\Windows\Temporary Internet Files\Content.MSO\3C2A9B2E.xlsx</vt:lpwstr>
      </vt:variant>
      <vt:variant>
        <vt:lpwstr>'Note 20, 21, 22'!A1</vt:lpwstr>
      </vt:variant>
      <vt:variant>
        <vt:i4>3997725</vt:i4>
      </vt:variant>
      <vt:variant>
        <vt:i4>72</vt:i4>
      </vt:variant>
      <vt:variant>
        <vt:i4>0</vt:i4>
      </vt:variant>
      <vt:variant>
        <vt:i4>5</vt:i4>
      </vt:variant>
      <vt:variant>
        <vt:lpwstr>C:\Users\athotakura\AppData\Local\Microsoft\Windows\Temporary Internet Files\Content.MSO\3C2A9B2E.xlsx</vt:lpwstr>
      </vt:variant>
      <vt:variant>
        <vt:lpwstr>'Note 14,15,16'!A1</vt:lpwstr>
      </vt:variant>
      <vt:variant>
        <vt:i4>3997725</vt:i4>
      </vt:variant>
      <vt:variant>
        <vt:i4>69</vt:i4>
      </vt:variant>
      <vt:variant>
        <vt:i4>0</vt:i4>
      </vt:variant>
      <vt:variant>
        <vt:i4>5</vt:i4>
      </vt:variant>
      <vt:variant>
        <vt:lpwstr>C:\Users\athotakura\AppData\Local\Microsoft\Windows\Temporary Internet Files\Content.MSO\3C2A9B2E.xlsx</vt:lpwstr>
      </vt:variant>
      <vt:variant>
        <vt:lpwstr>'Note 14,15,16'!A1</vt:lpwstr>
      </vt:variant>
      <vt:variant>
        <vt:i4>7471175</vt:i4>
      </vt:variant>
      <vt:variant>
        <vt:i4>66</vt:i4>
      </vt:variant>
      <vt:variant>
        <vt:i4>0</vt:i4>
      </vt:variant>
      <vt:variant>
        <vt:i4>5</vt:i4>
      </vt:variant>
      <vt:variant>
        <vt:lpwstr>C:\Users\athotakura\AppData\Local\Microsoft\Windows\Temporary Internet Files\Content.MSO\3C2A9B2E.xlsx</vt:lpwstr>
      </vt:variant>
      <vt:variant>
        <vt:lpwstr>'Note 17,19'!A1</vt:lpwstr>
      </vt:variant>
      <vt:variant>
        <vt:i4>3997725</vt:i4>
      </vt:variant>
      <vt:variant>
        <vt:i4>63</vt:i4>
      </vt:variant>
      <vt:variant>
        <vt:i4>0</vt:i4>
      </vt:variant>
      <vt:variant>
        <vt:i4>5</vt:i4>
      </vt:variant>
      <vt:variant>
        <vt:lpwstr>C:\Users\athotakura\AppData\Local\Microsoft\Windows\Temporary Internet Files\Content.MSO\3C2A9B2E.xlsx</vt:lpwstr>
      </vt:variant>
      <vt:variant>
        <vt:lpwstr>'Note 14,15,16'!A1</vt:lpwstr>
      </vt:variant>
      <vt:variant>
        <vt:i4>3997725</vt:i4>
      </vt:variant>
      <vt:variant>
        <vt:i4>60</vt:i4>
      </vt:variant>
      <vt:variant>
        <vt:i4>0</vt:i4>
      </vt:variant>
      <vt:variant>
        <vt:i4>5</vt:i4>
      </vt:variant>
      <vt:variant>
        <vt:lpwstr>C:\Users\athotakura\AppData\Local\Microsoft\Windows\Temporary Internet Files\Content.MSO\3C2A9B2E.xlsx</vt:lpwstr>
      </vt:variant>
      <vt:variant>
        <vt:lpwstr>'Note 14,15,16'!A1</vt:lpwstr>
      </vt:variant>
      <vt:variant>
        <vt:i4>327720</vt:i4>
      </vt:variant>
      <vt:variant>
        <vt:i4>57</vt:i4>
      </vt:variant>
      <vt:variant>
        <vt:i4>0</vt:i4>
      </vt:variant>
      <vt:variant>
        <vt:i4>5</vt:i4>
      </vt:variant>
      <vt:variant>
        <vt:lpwstr>C:\Users\athotakura\AppData\Local\Microsoft\Windows\Temporary Internet Files\Content.MSO\3C2A9B2E.xlsx</vt:lpwstr>
      </vt:variant>
      <vt:variant>
        <vt:lpwstr>'Note 13, 14'!A1</vt:lpwstr>
      </vt:variant>
      <vt:variant>
        <vt:i4>327720</vt:i4>
      </vt:variant>
      <vt:variant>
        <vt:i4>54</vt:i4>
      </vt:variant>
      <vt:variant>
        <vt:i4>0</vt:i4>
      </vt:variant>
      <vt:variant>
        <vt:i4>5</vt:i4>
      </vt:variant>
      <vt:variant>
        <vt:lpwstr>C:\Users\athotakura\AppData\Local\Microsoft\Windows\Temporary Internet Files\Content.MSO\3C2A9B2E.xlsx</vt:lpwstr>
      </vt:variant>
      <vt:variant>
        <vt:lpwstr>'Note 13, 14'!A1</vt:lpwstr>
      </vt:variant>
      <vt:variant>
        <vt:i4>1048629</vt:i4>
      </vt:variant>
      <vt:variant>
        <vt:i4>51</vt:i4>
      </vt:variant>
      <vt:variant>
        <vt:i4>0</vt:i4>
      </vt:variant>
      <vt:variant>
        <vt:i4>5</vt:i4>
      </vt:variant>
      <vt:variant>
        <vt:lpwstr>C:\Users\athotakura\AppData\Local\Microsoft\Windows\Temporary Internet Files\Content.MSO\3C2A9B2E.xlsx</vt:lpwstr>
      </vt:variant>
      <vt:variant>
        <vt:lpwstr>'Note 12'!A1</vt:lpwstr>
      </vt:variant>
      <vt:variant>
        <vt:i4>5767276</vt:i4>
      </vt:variant>
      <vt:variant>
        <vt:i4>48</vt:i4>
      </vt:variant>
      <vt:variant>
        <vt:i4>0</vt:i4>
      </vt:variant>
      <vt:variant>
        <vt:i4>5</vt:i4>
      </vt:variant>
      <vt:variant>
        <vt:lpwstr>C:\Users\athotakura\AppData\Local\Microsoft\Windows\Temporary Internet Files\Content.MSO\3C2A9B2E.xlsx</vt:lpwstr>
      </vt:variant>
      <vt:variant>
        <vt:lpwstr>'Note 7,8'!A1</vt:lpwstr>
      </vt:variant>
      <vt:variant>
        <vt:i4>3539022</vt:i4>
      </vt:variant>
      <vt:variant>
        <vt:i4>45</vt:i4>
      </vt:variant>
      <vt:variant>
        <vt:i4>0</vt:i4>
      </vt:variant>
      <vt:variant>
        <vt:i4>5</vt:i4>
      </vt:variant>
      <vt:variant>
        <vt:lpwstr>C:\Users\athotakura\AppData\Local\Microsoft\Windows\Temporary Internet Files\Content.MSO\3C2A9B2E.xlsx</vt:lpwstr>
      </vt:variant>
      <vt:variant>
        <vt:lpwstr>'Note 6b, 7'!A1</vt:lpwstr>
      </vt:variant>
      <vt:variant>
        <vt:i4>1245237</vt:i4>
      </vt:variant>
      <vt:variant>
        <vt:i4>42</vt:i4>
      </vt:variant>
      <vt:variant>
        <vt:i4>0</vt:i4>
      </vt:variant>
      <vt:variant>
        <vt:i4>5</vt:i4>
      </vt:variant>
      <vt:variant>
        <vt:lpwstr>C:\Users\athotakura\AppData\Local\Microsoft\Windows\Temporary Internet Files\Content.MSO\3C2A9B2E.xlsx</vt:lpwstr>
      </vt:variant>
      <vt:variant>
        <vt:lpwstr>'Note 11'!A1</vt:lpwstr>
      </vt:variant>
      <vt:variant>
        <vt:i4>6881354</vt:i4>
      </vt:variant>
      <vt:variant>
        <vt:i4>39</vt:i4>
      </vt:variant>
      <vt:variant>
        <vt:i4>0</vt:i4>
      </vt:variant>
      <vt:variant>
        <vt:i4>5</vt:i4>
      </vt:variant>
      <vt:variant>
        <vt:lpwstr>C:\Users\athotakura\AppData\Local\Microsoft\Windows\Temporary Internet Files\Content.MSO\3C2A9B2E.xlsx</vt:lpwstr>
      </vt:variant>
      <vt:variant>
        <vt:lpwstr>'Note 9, 10'!A1</vt:lpwstr>
      </vt:variant>
      <vt:variant>
        <vt:i4>6881354</vt:i4>
      </vt:variant>
      <vt:variant>
        <vt:i4>36</vt:i4>
      </vt:variant>
      <vt:variant>
        <vt:i4>0</vt:i4>
      </vt:variant>
      <vt:variant>
        <vt:i4>5</vt:i4>
      </vt:variant>
      <vt:variant>
        <vt:lpwstr>C:\Users\athotakura\AppData\Local\Microsoft\Windows\Temporary Internet Files\Content.MSO\3C2A9B2E.xlsx</vt:lpwstr>
      </vt:variant>
      <vt:variant>
        <vt:lpwstr>'Note 9, 10'!A1</vt:lpwstr>
      </vt:variant>
      <vt:variant>
        <vt:i4>5767276</vt:i4>
      </vt:variant>
      <vt:variant>
        <vt:i4>33</vt:i4>
      </vt:variant>
      <vt:variant>
        <vt:i4>0</vt:i4>
      </vt:variant>
      <vt:variant>
        <vt:i4>5</vt:i4>
      </vt:variant>
      <vt:variant>
        <vt:lpwstr>C:\Users\athotakura\AppData\Local\Microsoft\Windows\Temporary Internet Files\Content.MSO\3C2A9B2E.xlsx</vt:lpwstr>
      </vt:variant>
      <vt:variant>
        <vt:lpwstr>'Note 7,8'!A1</vt:lpwstr>
      </vt:variant>
      <vt:variant>
        <vt:i4>3539022</vt:i4>
      </vt:variant>
      <vt:variant>
        <vt:i4>30</vt:i4>
      </vt:variant>
      <vt:variant>
        <vt:i4>0</vt:i4>
      </vt:variant>
      <vt:variant>
        <vt:i4>5</vt:i4>
      </vt:variant>
      <vt:variant>
        <vt:lpwstr>C:\Users\athotakura\AppData\Local\Microsoft\Windows\Temporary Internet Files\Content.MSO\3C2A9B2E.xlsx</vt:lpwstr>
      </vt:variant>
      <vt:variant>
        <vt:lpwstr>'Note 6b, 7'!A1</vt:lpwstr>
      </vt:variant>
      <vt:variant>
        <vt:i4>1441846</vt:i4>
      </vt:variant>
      <vt:variant>
        <vt:i4>27</vt:i4>
      </vt:variant>
      <vt:variant>
        <vt:i4>0</vt:i4>
      </vt:variant>
      <vt:variant>
        <vt:i4>5</vt:i4>
      </vt:variant>
      <vt:variant>
        <vt:lpwstr>C:\Users\athotakura\AppData\Local\Microsoft\Windows\Temporary Internet Files\Content.MSO\3C2A9B2E.xlsx</vt:lpwstr>
      </vt:variant>
      <vt:variant>
        <vt:lpwstr>'Note 24'!A1</vt:lpwstr>
      </vt:variant>
      <vt:variant>
        <vt:i4>3735612</vt:i4>
      </vt:variant>
      <vt:variant>
        <vt:i4>24</vt:i4>
      </vt:variant>
      <vt:variant>
        <vt:i4>0</vt:i4>
      </vt:variant>
      <vt:variant>
        <vt:i4>5</vt:i4>
      </vt:variant>
      <vt:variant>
        <vt:lpwstr>http://www.visionaustralia.org/chartersandpolicies</vt:lpwstr>
      </vt:variant>
      <vt:variant>
        <vt:lpwstr/>
      </vt:variant>
      <vt:variant>
        <vt:i4>5177350</vt:i4>
      </vt:variant>
      <vt:variant>
        <vt:i4>21</vt:i4>
      </vt:variant>
      <vt:variant>
        <vt:i4>0</vt:i4>
      </vt:variant>
      <vt:variant>
        <vt:i4>5</vt:i4>
      </vt:variant>
      <vt:variant>
        <vt:lpwstr>http://www.visionaustralia.org/about-us/who-we-are-and-what-we-do/governance/board-and-committee-charters</vt:lpwstr>
      </vt:variant>
      <vt:variant>
        <vt:lpwstr/>
      </vt:variant>
      <vt:variant>
        <vt:i4>5374039</vt:i4>
      </vt:variant>
      <vt:variant>
        <vt:i4>18</vt:i4>
      </vt:variant>
      <vt:variant>
        <vt:i4>0</vt:i4>
      </vt:variant>
      <vt:variant>
        <vt:i4>5</vt:i4>
      </vt:variant>
      <vt:variant>
        <vt:lpwstr>http://www.visionaustralia.org/charters-and-policies</vt:lpwstr>
      </vt:variant>
      <vt:variant>
        <vt:lpwstr/>
      </vt:variant>
      <vt:variant>
        <vt:i4>5374039</vt:i4>
      </vt:variant>
      <vt:variant>
        <vt:i4>15</vt:i4>
      </vt:variant>
      <vt:variant>
        <vt:i4>0</vt:i4>
      </vt:variant>
      <vt:variant>
        <vt:i4>5</vt:i4>
      </vt:variant>
      <vt:variant>
        <vt:lpwstr>http://www.visionaustralia.org/charters-and-policies</vt:lpwstr>
      </vt:variant>
      <vt:variant>
        <vt:lpwstr/>
      </vt:variant>
      <vt:variant>
        <vt:i4>5374039</vt:i4>
      </vt:variant>
      <vt:variant>
        <vt:i4>11</vt:i4>
      </vt:variant>
      <vt:variant>
        <vt:i4>0</vt:i4>
      </vt:variant>
      <vt:variant>
        <vt:i4>5</vt:i4>
      </vt:variant>
      <vt:variant>
        <vt:lpwstr>http://www.visionaustralia.org/charters-and-policies</vt:lpwstr>
      </vt:variant>
      <vt:variant>
        <vt:lpwstr/>
      </vt:variant>
      <vt:variant>
        <vt:i4>720965</vt:i4>
      </vt:variant>
      <vt:variant>
        <vt:i4>9</vt:i4>
      </vt:variant>
      <vt:variant>
        <vt:i4>0</vt:i4>
      </vt:variant>
      <vt:variant>
        <vt:i4>5</vt:i4>
      </vt:variant>
      <vt:variant>
        <vt:lpwstr>http://www.visionaustralia.org./</vt:lpwstr>
      </vt:variant>
      <vt:variant>
        <vt:lpwstr/>
      </vt:variant>
      <vt:variant>
        <vt:i4>3735612</vt:i4>
      </vt:variant>
      <vt:variant>
        <vt:i4>6</vt:i4>
      </vt:variant>
      <vt:variant>
        <vt:i4>0</vt:i4>
      </vt:variant>
      <vt:variant>
        <vt:i4>5</vt:i4>
      </vt:variant>
      <vt:variant>
        <vt:lpwstr>http://www.visionaustralia.org/chartersandpolicies</vt:lpwstr>
      </vt:variant>
      <vt:variant>
        <vt:lpwstr/>
      </vt:variant>
      <vt:variant>
        <vt:i4>3735612</vt:i4>
      </vt:variant>
      <vt:variant>
        <vt:i4>3</vt:i4>
      </vt:variant>
      <vt:variant>
        <vt:i4>0</vt:i4>
      </vt:variant>
      <vt:variant>
        <vt:i4>5</vt:i4>
      </vt:variant>
      <vt:variant>
        <vt:lpwstr>http://www.visionaustralia.org/chartersandpolicies</vt:lpwstr>
      </vt:variant>
      <vt:variant>
        <vt:lpwstr/>
      </vt:variant>
      <vt:variant>
        <vt:i4>2359403</vt:i4>
      </vt:variant>
      <vt:variant>
        <vt:i4>0</vt:i4>
      </vt:variant>
      <vt:variant>
        <vt:i4>0</vt:i4>
      </vt:variant>
      <vt:variant>
        <vt:i4>5</vt:i4>
      </vt:variant>
      <vt:variant>
        <vt:lpwstr>http://www.visionaustralia.org/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Vision Australia Ltd consolidated Year End Accounts 30-6-15_CLEAN</dc:title>
  <dc:creator>Anjelin Thotakura</dc:creator>
  <cp:lastModifiedBy>Liz Duus</cp:lastModifiedBy>
  <cp:revision>4</cp:revision>
  <cp:lastPrinted>2015-07-23T02:07:00Z</cp:lastPrinted>
  <dcterms:created xsi:type="dcterms:W3CDTF">2015-10-01T03:19:00Z</dcterms:created>
  <dcterms:modified xsi:type="dcterms:W3CDTF">2015-10-01T05:14:00Z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0x010100B886B9E772609342898E4EC0FF878004</vt:lpwstr>
  </property>
  <property fmtid="{D5CDD505-2E9C-101B-9397-08002B2CF9AE}" pid="3" name="Item Number">
    <vt:lpwstr>3.00000000000000</vt:lpwstr>
  </property>
  <property fmtid="{D5CDD505-2E9C-101B-9397-08002B2CF9AE}" pid="4" name="Meeting Date">
    <vt:lpwstr>2014-08-14T00:00:00Z</vt:lpwstr>
  </property>
  <property fmtid="{D5CDD505-2E9C-101B-9397-08002B2CF9AE}" pid="5" name="Category Type">
    <vt:lpwstr>Meeting Paper</vt:lpwstr>
  </property>
</Properties>
</file>