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AC403" w14:textId="77777777" w:rsidR="00A6117B" w:rsidRDefault="00974D47" w:rsidP="00A6117B">
      <w:pPr>
        <w:rPr>
          <w:rFonts w:ascii="Arial" w:hAnsi="Arial" w:cs="Arial"/>
          <w:b/>
          <w:bCs/>
          <w:sz w:val="24"/>
          <w:szCs w:val="24"/>
        </w:rPr>
      </w:pPr>
      <w:bookmarkStart w:id="0" w:name="_GoBack"/>
      <w:bookmarkEnd w:id="0"/>
      <w:r w:rsidRPr="00974D47">
        <w:rPr>
          <w:rFonts w:ascii="Arial" w:hAnsi="Arial" w:cs="Arial"/>
          <w:b/>
          <w:noProof/>
          <w:sz w:val="24"/>
          <w:szCs w:val="24"/>
          <w:lang w:eastAsia="en-AU"/>
        </w:rPr>
        <w:drawing>
          <wp:anchor distT="0" distB="0" distL="114300" distR="114300" simplePos="0" relativeHeight="251659264" behindDoc="0" locked="0" layoutInCell="1" allowOverlap="1" wp14:anchorId="73524B76" wp14:editId="3725E9E0">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082EA0CF" w14:textId="77777777" w:rsidR="00A6117B" w:rsidRDefault="00A6117B" w:rsidP="00A6117B">
      <w:pPr>
        <w:rPr>
          <w:rFonts w:ascii="Arial" w:hAnsi="Arial" w:cs="Arial"/>
          <w:b/>
          <w:bCs/>
          <w:sz w:val="24"/>
          <w:szCs w:val="24"/>
        </w:rPr>
      </w:pPr>
    </w:p>
    <w:p w14:paraId="303F5495" w14:textId="77777777" w:rsidR="00A6117B" w:rsidRDefault="00A6117B" w:rsidP="00A6117B">
      <w:pPr>
        <w:rPr>
          <w:rFonts w:ascii="Arial" w:hAnsi="Arial" w:cs="Arial"/>
          <w:b/>
          <w:bCs/>
          <w:sz w:val="24"/>
          <w:szCs w:val="24"/>
        </w:rPr>
      </w:pPr>
    </w:p>
    <w:p w14:paraId="58341344" w14:textId="7FDBD9CC" w:rsidR="00974D47" w:rsidRPr="00974D47" w:rsidRDefault="00974D47" w:rsidP="00A6117B">
      <w:pPr>
        <w:rPr>
          <w:rFonts w:ascii="Arial" w:hAnsi="Arial" w:cs="Arial"/>
          <w:b/>
          <w:bCs/>
          <w:sz w:val="24"/>
          <w:szCs w:val="24"/>
        </w:rPr>
      </w:pPr>
      <w:r w:rsidRPr="00974D47">
        <w:rPr>
          <w:rFonts w:ascii="Arial" w:hAnsi="Arial" w:cs="Arial"/>
          <w:b/>
          <w:bCs/>
          <w:sz w:val="24"/>
          <w:szCs w:val="24"/>
        </w:rPr>
        <w:t>Vision Australia submission</w:t>
      </w:r>
    </w:p>
    <w:p w14:paraId="73802BDF" w14:textId="33FF8ED5" w:rsidR="000034CA" w:rsidRDefault="00974D47" w:rsidP="000034CA">
      <w:pPr>
        <w:numPr>
          <w:ilvl w:val="1"/>
          <w:numId w:val="0"/>
        </w:numPr>
        <w:spacing w:after="200" w:line="276" w:lineRule="auto"/>
        <w:rPr>
          <w:rFonts w:ascii="Arial" w:eastAsiaTheme="majorEastAsia" w:hAnsi="Arial" w:cstheme="majorBidi"/>
          <w:b/>
          <w:iCs/>
          <w:spacing w:val="15"/>
          <w:sz w:val="24"/>
          <w:szCs w:val="24"/>
        </w:rPr>
      </w:pPr>
      <w:r w:rsidRPr="00974D47">
        <w:rPr>
          <w:rFonts w:ascii="Arial" w:hAnsi="Arial" w:cs="Arial"/>
          <w:sz w:val="24"/>
          <w:szCs w:val="24"/>
        </w:rPr>
        <w:t>Submission to:</w:t>
      </w:r>
      <w:r w:rsidR="00070FBA">
        <w:rPr>
          <w:rFonts w:ascii="Arial" w:hAnsi="Arial" w:cs="Arial"/>
          <w:sz w:val="24"/>
          <w:szCs w:val="24"/>
        </w:rPr>
        <w:t xml:space="preserve"> </w:t>
      </w:r>
      <w:r w:rsidR="000034CA">
        <w:rPr>
          <w:rFonts w:ascii="Arial" w:eastAsiaTheme="majorEastAsia" w:hAnsi="Arial" w:cstheme="majorBidi"/>
          <w:b/>
          <w:iCs/>
          <w:spacing w:val="15"/>
          <w:sz w:val="24"/>
          <w:szCs w:val="24"/>
        </w:rPr>
        <w:t>Victorian Department of Premier and Cabinet, Review of Elec</w:t>
      </w:r>
      <w:r w:rsidR="00070FBA">
        <w:rPr>
          <w:rFonts w:ascii="Arial" w:eastAsiaTheme="majorEastAsia" w:hAnsi="Arial" w:cstheme="majorBidi"/>
          <w:b/>
          <w:iCs/>
          <w:spacing w:val="15"/>
          <w:sz w:val="24"/>
          <w:szCs w:val="24"/>
        </w:rPr>
        <w:t>t</w:t>
      </w:r>
      <w:r w:rsidR="000034CA">
        <w:rPr>
          <w:rFonts w:ascii="Arial" w:eastAsiaTheme="majorEastAsia" w:hAnsi="Arial" w:cstheme="majorBidi"/>
          <w:b/>
          <w:iCs/>
          <w:spacing w:val="15"/>
          <w:sz w:val="24"/>
          <w:szCs w:val="24"/>
        </w:rPr>
        <w:t>oral Regulations</w:t>
      </w:r>
      <w:r w:rsidR="00666A8C">
        <w:rPr>
          <w:rFonts w:ascii="Arial" w:eastAsiaTheme="majorEastAsia" w:hAnsi="Arial" w:cstheme="majorBidi"/>
          <w:b/>
          <w:iCs/>
          <w:spacing w:val="15"/>
          <w:sz w:val="24"/>
          <w:szCs w:val="24"/>
        </w:rPr>
        <w:t xml:space="preserve"> 2012</w:t>
      </w:r>
    </w:p>
    <w:p w14:paraId="5563DF73" w14:textId="238C816E" w:rsidR="000034CA" w:rsidRDefault="00666A8C" w:rsidP="000034CA">
      <w:pPr>
        <w:numPr>
          <w:ilvl w:val="1"/>
          <w:numId w:val="0"/>
        </w:numPr>
        <w:spacing w:after="200" w:line="276" w:lineRule="auto"/>
        <w:rPr>
          <w:rFonts w:ascii="Arial" w:hAnsi="Arial" w:cs="Arial"/>
          <w:sz w:val="24"/>
          <w:szCs w:val="24"/>
        </w:rPr>
      </w:pPr>
      <w:r>
        <w:rPr>
          <w:rFonts w:ascii="Arial" w:hAnsi="Arial" w:cs="Arial"/>
          <w:sz w:val="24"/>
          <w:szCs w:val="24"/>
        </w:rPr>
        <w:t>Submitted to: legislationreform@dpc.vic.gov.au</w:t>
      </w:r>
      <w:r w:rsidR="000034CA">
        <w:rPr>
          <w:rFonts w:ascii="Arial" w:hAnsi="Arial" w:cs="Arial"/>
          <w:sz w:val="24"/>
          <w:szCs w:val="24"/>
        </w:rPr>
        <w:tab/>
      </w:r>
    </w:p>
    <w:p w14:paraId="33A64F69" w14:textId="3DA24552" w:rsidR="00974D47" w:rsidRPr="00974D47" w:rsidRDefault="00974D47" w:rsidP="00974D47">
      <w:pPr>
        <w:rPr>
          <w:rFonts w:ascii="Arial" w:hAnsi="Arial" w:cs="Arial"/>
          <w:sz w:val="24"/>
          <w:szCs w:val="24"/>
        </w:rPr>
      </w:pPr>
      <w:r w:rsidRPr="00974D47">
        <w:rPr>
          <w:rFonts w:ascii="Arial" w:hAnsi="Arial" w:cs="Arial"/>
          <w:sz w:val="24"/>
          <w:szCs w:val="24"/>
        </w:rPr>
        <w:t xml:space="preserve">Date: </w:t>
      </w:r>
      <w:r w:rsidR="00557C15">
        <w:rPr>
          <w:rFonts w:ascii="Arial" w:hAnsi="Arial" w:cs="Arial"/>
          <w:sz w:val="24"/>
          <w:szCs w:val="24"/>
        </w:rPr>
        <w:t>12</w:t>
      </w:r>
      <w:r w:rsidRPr="00974D47">
        <w:rPr>
          <w:rFonts w:ascii="Arial" w:hAnsi="Arial" w:cs="Arial"/>
          <w:sz w:val="24"/>
          <w:szCs w:val="24"/>
        </w:rPr>
        <w:t xml:space="preserve"> </w:t>
      </w:r>
      <w:r w:rsidR="00557C15">
        <w:rPr>
          <w:rFonts w:ascii="Arial" w:hAnsi="Arial" w:cs="Arial"/>
          <w:sz w:val="24"/>
          <w:szCs w:val="24"/>
        </w:rPr>
        <w:t>June</w:t>
      </w:r>
      <w:r w:rsidRPr="00974D47">
        <w:rPr>
          <w:rFonts w:ascii="Arial" w:hAnsi="Arial" w:cs="Arial"/>
          <w:sz w:val="24"/>
          <w:szCs w:val="24"/>
        </w:rPr>
        <w:t xml:space="preserve"> 2022 </w:t>
      </w:r>
    </w:p>
    <w:p w14:paraId="0E412E03" w14:textId="2A007591" w:rsidR="00974D47" w:rsidRPr="00974D47" w:rsidRDefault="00974D47" w:rsidP="00974D47">
      <w:pPr>
        <w:pBdr>
          <w:bottom w:val="single" w:sz="6" w:space="1" w:color="auto"/>
        </w:pBdr>
        <w:rPr>
          <w:rFonts w:ascii="Arial" w:hAnsi="Arial" w:cs="Arial"/>
          <w:sz w:val="24"/>
          <w:szCs w:val="24"/>
        </w:rPr>
      </w:pPr>
      <w:r w:rsidRPr="00974D47">
        <w:rPr>
          <w:rFonts w:ascii="Arial" w:hAnsi="Arial" w:cs="Arial"/>
          <w:sz w:val="24"/>
          <w:szCs w:val="24"/>
        </w:rPr>
        <w:t xml:space="preserve">Submission approved by: </w:t>
      </w:r>
      <w:r w:rsidR="00557C15">
        <w:rPr>
          <w:rFonts w:ascii="Arial" w:hAnsi="Arial" w:cs="Arial"/>
          <w:sz w:val="24"/>
          <w:szCs w:val="24"/>
        </w:rPr>
        <w:t>Chris Edwards</w:t>
      </w:r>
      <w:r w:rsidR="00EB60CB">
        <w:rPr>
          <w:rFonts w:ascii="Arial" w:hAnsi="Arial" w:cs="Arial"/>
          <w:sz w:val="24"/>
          <w:szCs w:val="24"/>
        </w:rPr>
        <w:t xml:space="preserve">, Manager Government Relations and Advocacy, NDIS and </w:t>
      </w:r>
      <w:r w:rsidR="004765E6">
        <w:rPr>
          <w:rFonts w:ascii="Arial" w:hAnsi="Arial" w:cs="Arial"/>
          <w:sz w:val="24"/>
          <w:szCs w:val="24"/>
        </w:rPr>
        <w:t>Aged Care, Vision Australia</w:t>
      </w:r>
    </w:p>
    <w:p w14:paraId="02F8D7C1" w14:textId="777176BA" w:rsidR="00A6117B" w:rsidRPr="00A6117B" w:rsidRDefault="001A5079" w:rsidP="00A6117B">
      <w:pPr>
        <w:pStyle w:val="Heading2"/>
        <w:spacing w:after="0"/>
        <w:contextualSpacing/>
        <w:jc w:val="both"/>
      </w:pPr>
      <w:r>
        <w:t>Introduction</w:t>
      </w:r>
    </w:p>
    <w:p w14:paraId="26A8C65B" w14:textId="2AB6C2D8"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Vision Australia is providing this short submission to the review of Victoria’s Electoral Regulations 2012 (the Regulations) in order to draw attention to barriers that exist for people who are blind or have low vision when attempting to participate in Victoria’s electoral process</w:t>
      </w:r>
      <w:r w:rsidR="00423CF2" w:rsidRPr="00A6117B">
        <w:rPr>
          <w:rFonts w:ascii="Arial" w:hAnsi="Arial" w:cs="Arial"/>
          <w:sz w:val="24"/>
          <w:szCs w:val="24"/>
        </w:rPr>
        <w:t>es</w:t>
      </w:r>
      <w:r w:rsidRPr="00A6117B">
        <w:rPr>
          <w:rFonts w:ascii="Arial" w:hAnsi="Arial" w:cs="Arial"/>
          <w:sz w:val="24"/>
          <w:szCs w:val="24"/>
        </w:rPr>
        <w:t>, and to offer suggestions for how these barriers could be substantially eliminated by changes to the Regulations. We would be happy to provide further information</w:t>
      </w:r>
      <w:r w:rsidR="008C1A53" w:rsidRPr="00A6117B">
        <w:rPr>
          <w:rFonts w:ascii="Arial" w:hAnsi="Arial" w:cs="Arial"/>
          <w:sz w:val="24"/>
          <w:szCs w:val="24"/>
        </w:rPr>
        <w:t xml:space="preserve"> and to meet with the Department to discuss our concerns and suggestions in more detail.</w:t>
      </w:r>
    </w:p>
    <w:p w14:paraId="405DA62C" w14:textId="77777777" w:rsidR="00A6117B" w:rsidRPr="00A6117B" w:rsidRDefault="00A6117B" w:rsidP="00A6117B">
      <w:pPr>
        <w:spacing w:after="0" w:line="240" w:lineRule="auto"/>
        <w:contextualSpacing/>
        <w:jc w:val="both"/>
        <w:rPr>
          <w:rFonts w:ascii="Arial" w:hAnsi="Arial" w:cs="Arial"/>
          <w:sz w:val="24"/>
          <w:szCs w:val="24"/>
        </w:rPr>
      </w:pPr>
    </w:p>
    <w:p w14:paraId="0D55B45B" w14:textId="63BCB2D2"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Being able to participate fully and independently in the political process is one of the rights asserted by the United Nations Convention on the Rights of Persons with Disabilities (Article 29). Australia signed and ratified the Convention in 2008, yet Australians who are blind or have low vision are still not able to participate in many aspects of the political process on an equal basis with the rest of the community.</w:t>
      </w:r>
    </w:p>
    <w:p w14:paraId="592519B9" w14:textId="77777777" w:rsidR="00A6117B" w:rsidRPr="00A6117B" w:rsidRDefault="00A6117B" w:rsidP="00A6117B">
      <w:pPr>
        <w:spacing w:after="0" w:line="240" w:lineRule="auto"/>
        <w:contextualSpacing/>
        <w:jc w:val="both"/>
        <w:rPr>
          <w:rFonts w:ascii="Arial" w:hAnsi="Arial" w:cs="Arial"/>
          <w:sz w:val="24"/>
          <w:szCs w:val="24"/>
        </w:rPr>
      </w:pPr>
    </w:p>
    <w:p w14:paraId="677F619C" w14:textId="0A474299"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In Victor</w:t>
      </w:r>
      <w:r w:rsidR="00A6117B" w:rsidRPr="00A6117B">
        <w:rPr>
          <w:rFonts w:ascii="Arial" w:hAnsi="Arial" w:cs="Arial"/>
          <w:sz w:val="24"/>
          <w:szCs w:val="24"/>
        </w:rPr>
        <w:t>i</w:t>
      </w:r>
      <w:r w:rsidRPr="00A6117B">
        <w:rPr>
          <w:rFonts w:ascii="Arial" w:hAnsi="Arial" w:cs="Arial"/>
          <w:sz w:val="24"/>
          <w:szCs w:val="24"/>
        </w:rPr>
        <w:t>a, people who are blind or have low vision have never had access to independent, secret and verifiable voting options in state and local government elections, unlike their NSW counterparts, who used the iVote platform from 2011 until 2021.</w:t>
      </w:r>
    </w:p>
    <w:p w14:paraId="6AD2B056" w14:textId="77777777" w:rsidR="00A6117B" w:rsidRPr="00A6117B" w:rsidRDefault="00A6117B" w:rsidP="00A6117B">
      <w:pPr>
        <w:spacing w:after="0" w:line="240" w:lineRule="auto"/>
        <w:contextualSpacing/>
        <w:jc w:val="both"/>
        <w:rPr>
          <w:rFonts w:ascii="Arial" w:hAnsi="Arial" w:cs="Arial"/>
          <w:sz w:val="24"/>
          <w:szCs w:val="24"/>
        </w:rPr>
      </w:pPr>
    </w:p>
    <w:p w14:paraId="0942B7B1" w14:textId="3A6F1D0C"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There are a number of long-standing barriers to the full and equal participation of people who are blind or have low vision in Victoria’s political life, and in reviewing the Regulations we have identified three general areas where targeted updates could bring significant benefits to the blind and low vision community.</w:t>
      </w:r>
    </w:p>
    <w:p w14:paraId="58631EBA" w14:textId="14D26900" w:rsidR="00A26EAC" w:rsidRDefault="00A26EAC" w:rsidP="00A6117B">
      <w:pPr>
        <w:pStyle w:val="Heading2"/>
        <w:spacing w:after="0"/>
        <w:contextualSpacing/>
        <w:jc w:val="both"/>
      </w:pPr>
      <w:r>
        <w:t>Updates to Print-Dependent Processes</w:t>
      </w:r>
    </w:p>
    <w:p w14:paraId="78BB17CC" w14:textId="00F3F97C"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In Part 2 – Enrolment Procedures and Information, the Regulations prescribe a number of forms to be used, inter alia, when applying for enrolment, change of address, or to be a general postal voter. These forms are shown in hardcopy print form in the Schedule, and there is no explicit requirement that digital alternatives will or must be available.</w:t>
      </w:r>
    </w:p>
    <w:p w14:paraId="044275C8" w14:textId="56E4AF9C"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lastRenderedPageBreak/>
        <w:t>Many people who are blind or have low vision find it difficult to complete and submit documents that are only available in hardcopy print (which, of course, they cannot read independently). Digital technologies are now readily available to provide accessible alternatives to printed forms, and it is important that the Regulations stipulate that accessible digital alternatives must be provided as part of the assertion of the right of people who are blind or have low vision to participate fully in political life.</w:t>
      </w:r>
    </w:p>
    <w:p w14:paraId="1E31DF32" w14:textId="77777777" w:rsidR="00A6117B" w:rsidRPr="00A6117B" w:rsidRDefault="00A6117B" w:rsidP="00A6117B">
      <w:pPr>
        <w:spacing w:after="0" w:line="240" w:lineRule="auto"/>
        <w:contextualSpacing/>
        <w:jc w:val="both"/>
        <w:rPr>
          <w:rFonts w:ascii="Arial" w:hAnsi="Arial" w:cs="Arial"/>
          <w:sz w:val="24"/>
          <w:szCs w:val="24"/>
        </w:rPr>
      </w:pPr>
    </w:p>
    <w:p w14:paraId="0158F229" w14:textId="23A14D4B"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Experience in other jurisdictions is that providing digital alternatives to print without also considering the accessibility implications of such alternatives can be little better than the original, inaccessible, print. For example, if a digital version of a form includes a requirement that a person must use a mouse or other pointing device to generate a digital signature, it will not be accessible to people who are blind or have low vision. The provision of digital versions of print forms must therefore comply with accessibility standard</w:t>
      </w:r>
      <w:r w:rsidR="008D78AF">
        <w:rPr>
          <w:rFonts w:ascii="Arial" w:hAnsi="Arial" w:cs="Arial"/>
          <w:sz w:val="24"/>
          <w:szCs w:val="24"/>
        </w:rPr>
        <w:t>s</w:t>
      </w:r>
      <w:r w:rsidRPr="00A6117B">
        <w:rPr>
          <w:rFonts w:ascii="Arial" w:hAnsi="Arial" w:cs="Arial"/>
          <w:sz w:val="24"/>
          <w:szCs w:val="24"/>
        </w:rPr>
        <w:t xml:space="preserve"> such as the Web Content Accessibility Guidelines (WCAG), and not merely replicate the structure and processes associated with the printed form.</w:t>
      </w:r>
    </w:p>
    <w:p w14:paraId="01F7058C" w14:textId="07C58407" w:rsidR="00A26EAC" w:rsidRDefault="00A26EAC" w:rsidP="00A6117B">
      <w:pPr>
        <w:pStyle w:val="Heading2"/>
        <w:spacing w:after="0"/>
        <w:contextualSpacing/>
        <w:jc w:val="both"/>
      </w:pPr>
      <w:r>
        <w:t>Inequitable Access to the Voting Process</w:t>
      </w:r>
    </w:p>
    <w:p w14:paraId="7C9C72BE" w14:textId="7A4C4DBD"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Being able to cast an independent, secret and verifiable vote is such a basic cornerstone of Australian democracy that it is taken for granted and rarely discussed.</w:t>
      </w:r>
    </w:p>
    <w:p w14:paraId="5C4F3DED" w14:textId="77777777" w:rsidR="00A6117B" w:rsidRPr="00A6117B" w:rsidRDefault="00A6117B" w:rsidP="00A6117B">
      <w:pPr>
        <w:spacing w:after="0" w:line="240" w:lineRule="auto"/>
        <w:contextualSpacing/>
        <w:jc w:val="both"/>
        <w:rPr>
          <w:rFonts w:ascii="Arial" w:hAnsi="Arial" w:cs="Arial"/>
          <w:sz w:val="24"/>
          <w:szCs w:val="24"/>
        </w:rPr>
      </w:pPr>
    </w:p>
    <w:p w14:paraId="07AB9ED9" w14:textId="67078716"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Only when it is jeopardised does this right become a topic of public discourse. When it appeared that a group of people who had missed the deadline to apply for a postal vote because they had only recently tested positive for COVID19, there was such a strong and immediate public outcry that the rules for use of the Australian Electoral Commission’s COVID-19 telephoning voting service were quickly amended so that this group would not be disenfranchised.</w:t>
      </w:r>
    </w:p>
    <w:p w14:paraId="26D6369A" w14:textId="77777777" w:rsidR="00A6117B" w:rsidRPr="00A6117B" w:rsidRDefault="00A6117B" w:rsidP="00A6117B">
      <w:pPr>
        <w:spacing w:after="0" w:line="240" w:lineRule="auto"/>
        <w:contextualSpacing/>
        <w:jc w:val="both"/>
        <w:rPr>
          <w:rFonts w:ascii="Arial" w:hAnsi="Arial" w:cs="Arial"/>
          <w:sz w:val="24"/>
          <w:szCs w:val="24"/>
        </w:rPr>
      </w:pPr>
    </w:p>
    <w:p w14:paraId="4C3DEE3E" w14:textId="7E1F049E" w:rsidR="00A26EAC"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It is very likely that there are more Victorian</w:t>
      </w:r>
      <w:r w:rsidR="0011203B" w:rsidRPr="00A6117B">
        <w:rPr>
          <w:rFonts w:ascii="Arial" w:hAnsi="Arial" w:cs="Arial"/>
          <w:sz w:val="24"/>
          <w:szCs w:val="24"/>
        </w:rPr>
        <w:t>s</w:t>
      </w:r>
      <w:r w:rsidRPr="00A6117B">
        <w:rPr>
          <w:rFonts w:ascii="Arial" w:hAnsi="Arial" w:cs="Arial"/>
          <w:sz w:val="24"/>
          <w:szCs w:val="24"/>
        </w:rPr>
        <w:t xml:space="preserve"> who are blind or have low vision than there were in this group who were concerned that they may be unable to vote in the 2022 Federal election. Yet Victorians who are blind or have low vision have never had equal and full access to the voting process in state and local government elections. Unfortunately, the Regulations did not provide this access.</w:t>
      </w:r>
    </w:p>
    <w:p w14:paraId="07012174" w14:textId="77777777" w:rsidR="008D78AF" w:rsidRPr="00A6117B" w:rsidRDefault="008D78AF" w:rsidP="00A6117B">
      <w:pPr>
        <w:spacing w:after="0" w:line="240" w:lineRule="auto"/>
        <w:contextualSpacing/>
        <w:jc w:val="both"/>
        <w:rPr>
          <w:rFonts w:ascii="Arial" w:hAnsi="Arial" w:cs="Arial"/>
          <w:sz w:val="24"/>
          <w:szCs w:val="24"/>
        </w:rPr>
      </w:pPr>
    </w:p>
    <w:p w14:paraId="62245B58" w14:textId="12FD6515"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Since 2012 the Victorian Electoral Commission has used, on various occasions, human-assisted telephone voting, and “supercentres” that included voting machines, to provide some level of specific access to voting for people who are blind or have low vision. At the most recent local government elections the only option provided, in addition to attending a polling booth, was postal voting. No</w:t>
      </w:r>
      <w:r w:rsidR="00256F0F">
        <w:rPr>
          <w:rFonts w:ascii="Arial" w:hAnsi="Arial" w:cs="Arial"/>
          <w:sz w:val="24"/>
          <w:szCs w:val="24"/>
        </w:rPr>
        <w:t>n</w:t>
      </w:r>
      <w:r w:rsidRPr="00A6117B">
        <w:rPr>
          <w:rFonts w:ascii="Arial" w:hAnsi="Arial" w:cs="Arial"/>
          <w:sz w:val="24"/>
          <w:szCs w:val="24"/>
        </w:rPr>
        <w:t>e of these options by themselves provide the full and independent access to voting that is expected by our community and required as part of Australia’s obligations under the UN Convention on the Rights of Persons with Disabilities.</w:t>
      </w:r>
    </w:p>
    <w:p w14:paraId="3926FEB2" w14:textId="77777777" w:rsidR="00A6117B" w:rsidRPr="00A6117B" w:rsidRDefault="00A6117B" w:rsidP="00A6117B">
      <w:pPr>
        <w:spacing w:after="0" w:line="240" w:lineRule="auto"/>
        <w:contextualSpacing/>
        <w:jc w:val="both"/>
        <w:rPr>
          <w:rFonts w:ascii="Arial" w:hAnsi="Arial" w:cs="Arial"/>
          <w:sz w:val="24"/>
          <w:szCs w:val="24"/>
        </w:rPr>
      </w:pPr>
    </w:p>
    <w:p w14:paraId="1ED0AAEC" w14:textId="2805B761"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 xml:space="preserve">Overall, we believe that human-assisted telephone voting is the “least worst option” if in-home electronic voting is not available. However, such voting is, by definition, not independent, it is not secret in the way that casting one’s own ballot without having to verbalise it to anyone else is secret, and the person who is using the telephone voting </w:t>
      </w:r>
      <w:r w:rsidRPr="00A6117B">
        <w:rPr>
          <w:rFonts w:ascii="Arial" w:hAnsi="Arial" w:cs="Arial"/>
          <w:sz w:val="24"/>
          <w:szCs w:val="24"/>
        </w:rPr>
        <w:lastRenderedPageBreak/>
        <w:t>service has no way of verifying that their vote has been recorded according to their preferences and actually put in the ballot box.</w:t>
      </w:r>
    </w:p>
    <w:p w14:paraId="7E58BE01" w14:textId="77777777" w:rsidR="00A6117B" w:rsidRPr="00A6117B" w:rsidRDefault="00A6117B" w:rsidP="00A6117B">
      <w:pPr>
        <w:spacing w:after="0" w:line="240" w:lineRule="auto"/>
        <w:contextualSpacing/>
        <w:jc w:val="both"/>
        <w:rPr>
          <w:rFonts w:ascii="Arial" w:hAnsi="Arial" w:cs="Arial"/>
          <w:sz w:val="24"/>
          <w:szCs w:val="24"/>
        </w:rPr>
      </w:pPr>
    </w:p>
    <w:p w14:paraId="34208803" w14:textId="2D7E2E4A"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Vision Australia is currently conducting a survey of the experiences of people who are blind or have low vision voting in the recent Federal election. Although the survey is still open, preliminary results indicate that only 54% of respondents used the human-assisted telephone service provided by the Australian Electoral Commission, and 34% of those that did use it found aspects of the experience challenging. This is despite the fact that the service has been offered at every Federal election after 2007 and has therefore had ample time to address initial technical and training issues. Moreover, almost 25% of respondents said that they were not confident that their vote was secret, and almost 20% were not confident that their vote had been recorded according to their preferences and submitted correctly. We suggest that if such levels of unconfidence about the voting process were present in the general community, there would be a public outcry and swift remedial action similar to what we observed just before the Federal election in relation to the COVID-19 telephone voting service.</w:t>
      </w:r>
    </w:p>
    <w:p w14:paraId="5CC2A586" w14:textId="77777777" w:rsidR="00A6117B" w:rsidRPr="00A6117B" w:rsidRDefault="00A6117B" w:rsidP="00A6117B">
      <w:pPr>
        <w:spacing w:after="0" w:line="240" w:lineRule="auto"/>
        <w:contextualSpacing/>
        <w:jc w:val="both"/>
        <w:rPr>
          <w:rFonts w:ascii="Arial" w:hAnsi="Arial" w:cs="Arial"/>
          <w:sz w:val="24"/>
          <w:szCs w:val="24"/>
        </w:rPr>
      </w:pPr>
    </w:p>
    <w:p w14:paraId="52E698A2" w14:textId="6EBE59BF"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 xml:space="preserve">The </w:t>
      </w:r>
      <w:r w:rsidR="00A6117B" w:rsidRPr="00A6117B">
        <w:rPr>
          <w:rFonts w:ascii="Arial" w:hAnsi="Arial" w:cs="Arial"/>
          <w:sz w:val="24"/>
          <w:szCs w:val="24"/>
        </w:rPr>
        <w:t>“</w:t>
      </w:r>
      <w:r w:rsidRPr="00A6117B">
        <w:rPr>
          <w:rFonts w:ascii="Arial" w:hAnsi="Arial" w:cs="Arial"/>
          <w:sz w:val="24"/>
          <w:szCs w:val="24"/>
        </w:rPr>
        <w:t>gold standard” of accessible voting remains the iVote platform that was used in NSW from 2011 until 2021. There was an eightfold increase in usage between 2011 and 2015, which is a very clear indication that people who are blind or have low vision felt that it met their needs. The iVote system succeeded because it recognised that the blind and low vision community are a microcosm of the broader community, and have an equally diverse range of needs. The three components of the iVote platform (automated telephone voting, human-assisted telephone voting, and in-home internet voting) provided full and independent access to voting for the vast majority of people who are blind or have low vision in NSW. Although the specific software that implemented this suite of options will inevitably evolve or be replaced by other offerings, the inclusive, multimodal approach taken by iVote is fundamental to providing equal and full access to the voting process for people who are blind or have low vision.</w:t>
      </w:r>
    </w:p>
    <w:p w14:paraId="7C606AE0" w14:textId="77777777" w:rsidR="00A6117B" w:rsidRPr="00A6117B" w:rsidRDefault="00A6117B" w:rsidP="00A6117B">
      <w:pPr>
        <w:spacing w:after="0" w:line="240" w:lineRule="auto"/>
        <w:contextualSpacing/>
        <w:jc w:val="both"/>
        <w:rPr>
          <w:rFonts w:ascii="Arial" w:hAnsi="Arial" w:cs="Arial"/>
          <w:sz w:val="24"/>
          <w:szCs w:val="24"/>
        </w:rPr>
      </w:pPr>
    </w:p>
    <w:p w14:paraId="3644E003" w14:textId="0FDBA46C" w:rsidR="00A26EAC" w:rsidRPr="00A6117B" w:rsidRDefault="00A26EAC" w:rsidP="00A6117B">
      <w:pPr>
        <w:spacing w:after="0" w:line="240" w:lineRule="auto"/>
        <w:contextualSpacing/>
        <w:jc w:val="both"/>
        <w:rPr>
          <w:rFonts w:ascii="Arial" w:hAnsi="Arial" w:cs="Arial"/>
          <w:sz w:val="24"/>
          <w:szCs w:val="24"/>
        </w:rPr>
      </w:pPr>
      <w:r w:rsidRPr="00A6117B">
        <w:rPr>
          <w:rFonts w:ascii="Arial" w:hAnsi="Arial" w:cs="Arial"/>
          <w:sz w:val="24"/>
          <w:szCs w:val="24"/>
        </w:rPr>
        <w:t>Although S.47A of the Regulations specifies that people who are blind or have low vision are eligible to vote by electronic means, our interpretation of the Regulations is that they preclude the deployment of an iVote-like system that allows for in-home internet voting as one of its suite of options. To this extent we believe that the Regulations are deficient and not fit for purpose, because they do not result in a level of access to voting for people who are blind or have low vision that is consistent with community expectations and compatible with Australia’s obligations under the Convention.</w:t>
      </w:r>
    </w:p>
    <w:p w14:paraId="79CD25A7" w14:textId="633EF82E" w:rsidR="00227BDF" w:rsidRDefault="00A26EAC" w:rsidP="00A6117B">
      <w:pPr>
        <w:pStyle w:val="Heading2"/>
        <w:spacing w:after="0"/>
        <w:contextualSpacing/>
        <w:jc w:val="both"/>
      </w:pPr>
      <w:r>
        <w:t>Access to Political Information</w:t>
      </w:r>
    </w:p>
    <w:p w14:paraId="4D2044F3" w14:textId="19F101F9" w:rsidR="008613D4" w:rsidRPr="00A6117B" w:rsidRDefault="00227BDF" w:rsidP="00A6117B">
      <w:pPr>
        <w:spacing w:after="0" w:line="240" w:lineRule="auto"/>
        <w:contextualSpacing/>
        <w:jc w:val="both"/>
        <w:rPr>
          <w:rFonts w:ascii="Arial" w:hAnsi="Arial" w:cs="Arial"/>
          <w:sz w:val="24"/>
          <w:szCs w:val="24"/>
        </w:rPr>
      </w:pPr>
      <w:r w:rsidRPr="00A6117B">
        <w:rPr>
          <w:rFonts w:ascii="Arial" w:hAnsi="Arial" w:cs="Arial"/>
          <w:sz w:val="24"/>
          <w:szCs w:val="24"/>
        </w:rPr>
        <w:t>O</w:t>
      </w:r>
      <w:r w:rsidR="00A26EAC" w:rsidRPr="00A6117B">
        <w:rPr>
          <w:rFonts w:ascii="Arial" w:hAnsi="Arial" w:cs="Arial"/>
          <w:sz w:val="24"/>
          <w:szCs w:val="24"/>
        </w:rPr>
        <w:t>ur clients often report their frustration that they are not able to access the “how to vote” cards produced by political parties</w:t>
      </w:r>
      <w:r w:rsidR="00C41981" w:rsidRPr="00A6117B">
        <w:rPr>
          <w:rFonts w:ascii="Arial" w:hAnsi="Arial" w:cs="Arial"/>
          <w:sz w:val="24"/>
          <w:szCs w:val="24"/>
        </w:rPr>
        <w:t>. Such cards are rarely, if ever, produced in formats that are accessibl</w:t>
      </w:r>
      <w:r w:rsidRPr="00A6117B">
        <w:rPr>
          <w:rFonts w:ascii="Arial" w:hAnsi="Arial" w:cs="Arial"/>
          <w:sz w:val="24"/>
          <w:szCs w:val="24"/>
        </w:rPr>
        <w:t>e</w:t>
      </w:r>
      <w:r w:rsidR="00C41981" w:rsidRPr="00A6117B">
        <w:rPr>
          <w:rFonts w:ascii="Arial" w:hAnsi="Arial" w:cs="Arial"/>
          <w:sz w:val="24"/>
          <w:szCs w:val="24"/>
        </w:rPr>
        <w:t xml:space="preserve"> to people who are blind or have lo</w:t>
      </w:r>
      <w:r w:rsidRPr="00A6117B">
        <w:rPr>
          <w:rFonts w:ascii="Arial" w:hAnsi="Arial" w:cs="Arial"/>
          <w:sz w:val="24"/>
          <w:szCs w:val="24"/>
        </w:rPr>
        <w:t>w</w:t>
      </w:r>
      <w:r w:rsidR="00C41981" w:rsidRPr="00A6117B">
        <w:rPr>
          <w:rFonts w:ascii="Arial" w:hAnsi="Arial" w:cs="Arial"/>
          <w:sz w:val="24"/>
          <w:szCs w:val="24"/>
        </w:rPr>
        <w:t xml:space="preserve"> vision.</w:t>
      </w:r>
      <w:r w:rsidR="008613D4" w:rsidRPr="00A6117B">
        <w:rPr>
          <w:rFonts w:ascii="Arial" w:hAnsi="Arial" w:cs="Arial"/>
          <w:sz w:val="24"/>
          <w:szCs w:val="24"/>
        </w:rPr>
        <w:t xml:space="preserve"> One client said, in relation to voting in the 2022 Federal election, “I downloaded my local candi</w:t>
      </w:r>
      <w:r w:rsidR="0046569D" w:rsidRPr="00A6117B">
        <w:rPr>
          <w:rFonts w:ascii="Arial" w:hAnsi="Arial" w:cs="Arial"/>
          <w:sz w:val="24"/>
          <w:szCs w:val="24"/>
        </w:rPr>
        <w:t>d</w:t>
      </w:r>
      <w:r w:rsidR="008613D4" w:rsidRPr="00A6117B">
        <w:rPr>
          <w:rFonts w:ascii="Arial" w:hAnsi="Arial" w:cs="Arial"/>
          <w:sz w:val="24"/>
          <w:szCs w:val="24"/>
        </w:rPr>
        <w:t>ate’s How to Vote card: it was a PDF file but it was compl</w:t>
      </w:r>
      <w:r w:rsidR="0046569D" w:rsidRPr="00A6117B">
        <w:rPr>
          <w:rFonts w:ascii="Arial" w:hAnsi="Arial" w:cs="Arial"/>
          <w:sz w:val="24"/>
          <w:szCs w:val="24"/>
        </w:rPr>
        <w:t>e</w:t>
      </w:r>
      <w:r w:rsidR="008613D4" w:rsidRPr="00A6117B">
        <w:rPr>
          <w:rFonts w:ascii="Arial" w:hAnsi="Arial" w:cs="Arial"/>
          <w:sz w:val="24"/>
          <w:szCs w:val="24"/>
        </w:rPr>
        <w:t>tely unintellig</w:t>
      </w:r>
      <w:r w:rsidR="0046569D" w:rsidRPr="00A6117B">
        <w:rPr>
          <w:rFonts w:ascii="Arial" w:hAnsi="Arial" w:cs="Arial"/>
          <w:sz w:val="24"/>
          <w:szCs w:val="24"/>
        </w:rPr>
        <w:t>i</w:t>
      </w:r>
      <w:r w:rsidR="008613D4" w:rsidRPr="00A6117B">
        <w:rPr>
          <w:rFonts w:ascii="Arial" w:hAnsi="Arial" w:cs="Arial"/>
          <w:sz w:val="24"/>
          <w:szCs w:val="24"/>
        </w:rPr>
        <w:t>ble to the screen-reading software I use, and I was not able to make any sense of it at all”.</w:t>
      </w:r>
    </w:p>
    <w:p w14:paraId="4DE564D4" w14:textId="77777777" w:rsidR="00A6117B" w:rsidRPr="00A6117B" w:rsidRDefault="00A6117B" w:rsidP="00A6117B">
      <w:pPr>
        <w:spacing w:after="0" w:line="240" w:lineRule="auto"/>
        <w:contextualSpacing/>
        <w:jc w:val="both"/>
        <w:rPr>
          <w:rFonts w:ascii="Arial" w:hAnsi="Arial" w:cs="Arial"/>
          <w:sz w:val="24"/>
          <w:szCs w:val="24"/>
        </w:rPr>
      </w:pPr>
    </w:p>
    <w:p w14:paraId="69534029" w14:textId="331054E4" w:rsidR="00AE5E93" w:rsidRPr="00A6117B" w:rsidRDefault="008613D4" w:rsidP="00A6117B">
      <w:pPr>
        <w:spacing w:after="0" w:line="240" w:lineRule="auto"/>
        <w:contextualSpacing/>
        <w:jc w:val="both"/>
        <w:rPr>
          <w:rFonts w:ascii="Arial" w:hAnsi="Arial" w:cs="Arial"/>
          <w:sz w:val="24"/>
          <w:szCs w:val="24"/>
        </w:rPr>
      </w:pPr>
      <w:r w:rsidRPr="00A6117B">
        <w:rPr>
          <w:rFonts w:ascii="Arial" w:hAnsi="Arial" w:cs="Arial"/>
          <w:sz w:val="24"/>
          <w:szCs w:val="24"/>
        </w:rPr>
        <w:lastRenderedPageBreak/>
        <w:t xml:space="preserve">While many people do not rely on </w:t>
      </w:r>
      <w:r w:rsidR="00CB028C" w:rsidRPr="00A6117B">
        <w:rPr>
          <w:rFonts w:ascii="Arial" w:hAnsi="Arial" w:cs="Arial"/>
          <w:sz w:val="24"/>
          <w:szCs w:val="24"/>
        </w:rPr>
        <w:t>How to Vote cards in finalisin</w:t>
      </w:r>
      <w:r w:rsidR="0046569D" w:rsidRPr="00A6117B">
        <w:rPr>
          <w:rFonts w:ascii="Arial" w:hAnsi="Arial" w:cs="Arial"/>
          <w:sz w:val="24"/>
          <w:szCs w:val="24"/>
        </w:rPr>
        <w:t>g</w:t>
      </w:r>
      <w:r w:rsidR="00CB028C" w:rsidRPr="00A6117B">
        <w:rPr>
          <w:rFonts w:ascii="Arial" w:hAnsi="Arial" w:cs="Arial"/>
          <w:sz w:val="24"/>
          <w:szCs w:val="24"/>
        </w:rPr>
        <w:t xml:space="preserve"> their voting preferences, they are still avail</w:t>
      </w:r>
      <w:r w:rsidR="0046569D" w:rsidRPr="00A6117B">
        <w:rPr>
          <w:rFonts w:ascii="Arial" w:hAnsi="Arial" w:cs="Arial"/>
          <w:sz w:val="24"/>
          <w:szCs w:val="24"/>
        </w:rPr>
        <w:t>a</w:t>
      </w:r>
      <w:r w:rsidR="00CB028C" w:rsidRPr="00A6117B">
        <w:rPr>
          <w:rFonts w:ascii="Arial" w:hAnsi="Arial" w:cs="Arial"/>
          <w:sz w:val="24"/>
          <w:szCs w:val="24"/>
        </w:rPr>
        <w:t>bl</w:t>
      </w:r>
      <w:r w:rsidR="0046569D" w:rsidRPr="00A6117B">
        <w:rPr>
          <w:rFonts w:ascii="Arial" w:hAnsi="Arial" w:cs="Arial"/>
          <w:sz w:val="24"/>
          <w:szCs w:val="24"/>
        </w:rPr>
        <w:t>e</w:t>
      </w:r>
      <w:r w:rsidR="00CB028C" w:rsidRPr="00A6117B">
        <w:rPr>
          <w:rFonts w:ascii="Arial" w:hAnsi="Arial" w:cs="Arial"/>
          <w:sz w:val="24"/>
          <w:szCs w:val="24"/>
        </w:rPr>
        <w:t xml:space="preserve"> as a guide that people can refer to. To the extent that people who are blind or have low vision </w:t>
      </w:r>
      <w:r w:rsidR="008D78AF">
        <w:rPr>
          <w:rFonts w:ascii="Arial" w:hAnsi="Arial" w:cs="Arial"/>
          <w:sz w:val="24"/>
          <w:szCs w:val="24"/>
        </w:rPr>
        <w:t>a</w:t>
      </w:r>
      <w:r w:rsidR="00CB028C" w:rsidRPr="00A6117B">
        <w:rPr>
          <w:rFonts w:ascii="Arial" w:hAnsi="Arial" w:cs="Arial"/>
          <w:sz w:val="24"/>
          <w:szCs w:val="24"/>
        </w:rPr>
        <w:t>re not able to access this in</w:t>
      </w:r>
      <w:r w:rsidR="00AE5E93" w:rsidRPr="00A6117B">
        <w:rPr>
          <w:rFonts w:ascii="Arial" w:hAnsi="Arial" w:cs="Arial"/>
          <w:sz w:val="24"/>
          <w:szCs w:val="24"/>
        </w:rPr>
        <w:t>fo</w:t>
      </w:r>
      <w:r w:rsidR="00CB028C" w:rsidRPr="00A6117B">
        <w:rPr>
          <w:rFonts w:ascii="Arial" w:hAnsi="Arial" w:cs="Arial"/>
          <w:sz w:val="24"/>
          <w:szCs w:val="24"/>
        </w:rPr>
        <w:t>r</w:t>
      </w:r>
      <w:r w:rsidR="00AE5E93" w:rsidRPr="00A6117B">
        <w:rPr>
          <w:rFonts w:ascii="Arial" w:hAnsi="Arial" w:cs="Arial"/>
          <w:sz w:val="24"/>
          <w:szCs w:val="24"/>
        </w:rPr>
        <w:t>m</w:t>
      </w:r>
      <w:r w:rsidR="00CB028C" w:rsidRPr="00A6117B">
        <w:rPr>
          <w:rFonts w:ascii="Arial" w:hAnsi="Arial" w:cs="Arial"/>
          <w:sz w:val="24"/>
          <w:szCs w:val="24"/>
        </w:rPr>
        <w:t xml:space="preserve">ation that is </w:t>
      </w:r>
      <w:r w:rsidR="00AE5E93" w:rsidRPr="00A6117B">
        <w:rPr>
          <w:rFonts w:ascii="Arial" w:hAnsi="Arial" w:cs="Arial"/>
          <w:sz w:val="24"/>
          <w:szCs w:val="24"/>
        </w:rPr>
        <w:t>widely available to the rest of the community, they are not able to enjoy full and equal participat</w:t>
      </w:r>
      <w:r w:rsidR="000201F9" w:rsidRPr="00A6117B">
        <w:rPr>
          <w:rFonts w:ascii="Arial" w:hAnsi="Arial" w:cs="Arial"/>
          <w:sz w:val="24"/>
          <w:szCs w:val="24"/>
        </w:rPr>
        <w:t>i</w:t>
      </w:r>
      <w:r w:rsidR="00AE5E93" w:rsidRPr="00A6117B">
        <w:rPr>
          <w:rFonts w:ascii="Arial" w:hAnsi="Arial" w:cs="Arial"/>
          <w:sz w:val="24"/>
          <w:szCs w:val="24"/>
        </w:rPr>
        <w:t>on in Victoria’s political life.</w:t>
      </w:r>
    </w:p>
    <w:p w14:paraId="3B1C9DD7" w14:textId="77777777" w:rsidR="00A6117B" w:rsidRPr="00A6117B" w:rsidRDefault="00A6117B" w:rsidP="00A6117B">
      <w:pPr>
        <w:spacing w:after="0" w:line="240" w:lineRule="auto"/>
        <w:contextualSpacing/>
        <w:jc w:val="both"/>
        <w:rPr>
          <w:rFonts w:ascii="Arial" w:hAnsi="Arial" w:cs="Arial"/>
          <w:sz w:val="24"/>
          <w:szCs w:val="24"/>
        </w:rPr>
      </w:pPr>
    </w:p>
    <w:p w14:paraId="1EFA142E" w14:textId="210DCE3A" w:rsidR="00A6117B" w:rsidRPr="00A6117B" w:rsidRDefault="00AE5E93" w:rsidP="00A6117B">
      <w:pPr>
        <w:spacing w:after="0" w:line="240" w:lineRule="auto"/>
        <w:contextualSpacing/>
        <w:jc w:val="both"/>
        <w:rPr>
          <w:rFonts w:ascii="Arial" w:hAnsi="Arial" w:cs="Arial"/>
          <w:sz w:val="24"/>
          <w:szCs w:val="24"/>
        </w:rPr>
      </w:pPr>
      <w:r w:rsidRPr="00A6117B">
        <w:rPr>
          <w:rFonts w:ascii="Arial" w:hAnsi="Arial" w:cs="Arial"/>
          <w:sz w:val="24"/>
          <w:szCs w:val="24"/>
        </w:rPr>
        <w:t>S.</w:t>
      </w:r>
      <w:r w:rsidR="003E49B1" w:rsidRPr="00A6117B">
        <w:rPr>
          <w:rFonts w:ascii="Arial" w:hAnsi="Arial" w:cs="Arial"/>
          <w:sz w:val="24"/>
          <w:szCs w:val="24"/>
        </w:rPr>
        <w:t>17(1)</w:t>
      </w:r>
      <w:r w:rsidR="00D90DD2" w:rsidRPr="00A6117B">
        <w:rPr>
          <w:rFonts w:ascii="Arial" w:hAnsi="Arial" w:cs="Arial"/>
          <w:sz w:val="24"/>
          <w:szCs w:val="24"/>
        </w:rPr>
        <w:t>(c)(i) of the Regulations requires that an English translation be s</w:t>
      </w:r>
      <w:r w:rsidR="00FA48F3" w:rsidRPr="00A6117B">
        <w:rPr>
          <w:rFonts w:ascii="Arial" w:hAnsi="Arial" w:cs="Arial"/>
          <w:sz w:val="24"/>
          <w:szCs w:val="24"/>
        </w:rPr>
        <w:t>u</w:t>
      </w:r>
      <w:r w:rsidR="00D90DD2" w:rsidRPr="00A6117B">
        <w:rPr>
          <w:rFonts w:ascii="Arial" w:hAnsi="Arial" w:cs="Arial"/>
          <w:sz w:val="24"/>
          <w:szCs w:val="24"/>
        </w:rPr>
        <w:t xml:space="preserve">bmitted along with any How to Vote card that includes </w:t>
      </w:r>
      <w:r w:rsidR="00FA48F3" w:rsidRPr="00A6117B">
        <w:rPr>
          <w:rFonts w:ascii="Arial" w:hAnsi="Arial" w:cs="Arial"/>
          <w:sz w:val="24"/>
          <w:szCs w:val="24"/>
        </w:rPr>
        <w:t>a section</w:t>
      </w:r>
      <w:r w:rsidR="00D90DD2" w:rsidRPr="00A6117B">
        <w:rPr>
          <w:rFonts w:ascii="Arial" w:hAnsi="Arial" w:cs="Arial"/>
          <w:sz w:val="24"/>
          <w:szCs w:val="24"/>
        </w:rPr>
        <w:t xml:space="preserve"> in a language other than English. We recommend that the Regulations be expanded to in</w:t>
      </w:r>
      <w:r w:rsidR="00FA48F3" w:rsidRPr="00A6117B">
        <w:rPr>
          <w:rFonts w:ascii="Arial" w:hAnsi="Arial" w:cs="Arial"/>
          <w:sz w:val="24"/>
          <w:szCs w:val="24"/>
        </w:rPr>
        <w:t>c</w:t>
      </w:r>
      <w:r w:rsidR="00D90DD2" w:rsidRPr="00A6117B">
        <w:rPr>
          <w:rFonts w:ascii="Arial" w:hAnsi="Arial" w:cs="Arial"/>
          <w:sz w:val="24"/>
          <w:szCs w:val="24"/>
        </w:rPr>
        <w:t>lu</w:t>
      </w:r>
      <w:r w:rsidR="00FA48F3" w:rsidRPr="00A6117B">
        <w:rPr>
          <w:rFonts w:ascii="Arial" w:hAnsi="Arial" w:cs="Arial"/>
          <w:sz w:val="24"/>
          <w:szCs w:val="24"/>
        </w:rPr>
        <w:t>d</w:t>
      </w:r>
      <w:r w:rsidR="00D90DD2" w:rsidRPr="00A6117B">
        <w:rPr>
          <w:rFonts w:ascii="Arial" w:hAnsi="Arial" w:cs="Arial"/>
          <w:sz w:val="24"/>
          <w:szCs w:val="24"/>
        </w:rPr>
        <w:t>e a requir</w:t>
      </w:r>
      <w:r w:rsidR="00FA48F3" w:rsidRPr="00A6117B">
        <w:rPr>
          <w:rFonts w:ascii="Arial" w:hAnsi="Arial" w:cs="Arial"/>
          <w:sz w:val="24"/>
          <w:szCs w:val="24"/>
        </w:rPr>
        <w:t>e</w:t>
      </w:r>
      <w:r w:rsidR="00D90DD2" w:rsidRPr="00A6117B">
        <w:rPr>
          <w:rFonts w:ascii="Arial" w:hAnsi="Arial" w:cs="Arial"/>
          <w:sz w:val="24"/>
          <w:szCs w:val="24"/>
        </w:rPr>
        <w:t xml:space="preserve">ment that any How to Vote Card must be accompanied by a digital version that complies with </w:t>
      </w:r>
      <w:r w:rsidR="00AF6D47" w:rsidRPr="00A6117B">
        <w:rPr>
          <w:rFonts w:ascii="Arial" w:hAnsi="Arial" w:cs="Arial"/>
          <w:sz w:val="24"/>
          <w:szCs w:val="24"/>
        </w:rPr>
        <w:t>the relevant provisions of the Web Content Accessibility Guidelines.</w:t>
      </w:r>
    </w:p>
    <w:p w14:paraId="17BFADB3" w14:textId="3A4FB5B1" w:rsidR="004E6F69" w:rsidRPr="00A6117B" w:rsidRDefault="004E6F69" w:rsidP="00A6117B">
      <w:pPr>
        <w:pStyle w:val="Heading2"/>
        <w:rPr>
          <w:sz w:val="24"/>
          <w:szCs w:val="24"/>
        </w:rPr>
      </w:pPr>
      <w:r>
        <w:t>Conclusion</w:t>
      </w:r>
    </w:p>
    <w:p w14:paraId="2F776D37" w14:textId="213423E3" w:rsidR="006E00C0" w:rsidRPr="00A6117B" w:rsidRDefault="004E6F69" w:rsidP="00A6117B">
      <w:pPr>
        <w:spacing w:after="0" w:line="240" w:lineRule="auto"/>
        <w:contextualSpacing/>
        <w:jc w:val="both"/>
        <w:rPr>
          <w:rFonts w:ascii="Arial" w:hAnsi="Arial" w:cs="Arial"/>
          <w:sz w:val="24"/>
          <w:szCs w:val="24"/>
        </w:rPr>
      </w:pPr>
      <w:r w:rsidRPr="00A6117B">
        <w:rPr>
          <w:rFonts w:ascii="Arial" w:hAnsi="Arial" w:cs="Arial"/>
          <w:sz w:val="24"/>
          <w:szCs w:val="24"/>
        </w:rPr>
        <w:t>The Regulations in their current form do not address long-standing barriers that Victorians who are bl</w:t>
      </w:r>
      <w:r w:rsidR="00A6531F" w:rsidRPr="00A6117B">
        <w:rPr>
          <w:rFonts w:ascii="Arial" w:hAnsi="Arial" w:cs="Arial"/>
          <w:sz w:val="24"/>
          <w:szCs w:val="24"/>
        </w:rPr>
        <w:t>i</w:t>
      </w:r>
      <w:r w:rsidRPr="00A6117B">
        <w:rPr>
          <w:rFonts w:ascii="Arial" w:hAnsi="Arial" w:cs="Arial"/>
          <w:sz w:val="24"/>
          <w:szCs w:val="24"/>
        </w:rPr>
        <w:t>n</w:t>
      </w:r>
      <w:r w:rsidR="00A6531F" w:rsidRPr="00A6117B">
        <w:rPr>
          <w:rFonts w:ascii="Arial" w:hAnsi="Arial" w:cs="Arial"/>
          <w:sz w:val="24"/>
          <w:szCs w:val="24"/>
        </w:rPr>
        <w:t>d</w:t>
      </w:r>
      <w:r w:rsidRPr="00A6117B">
        <w:rPr>
          <w:rFonts w:ascii="Arial" w:hAnsi="Arial" w:cs="Arial"/>
          <w:sz w:val="24"/>
          <w:szCs w:val="24"/>
        </w:rPr>
        <w:t xml:space="preserve"> or have low vision </w:t>
      </w:r>
      <w:r w:rsidR="009432C9" w:rsidRPr="00A6117B">
        <w:rPr>
          <w:rFonts w:ascii="Arial" w:hAnsi="Arial" w:cs="Arial"/>
          <w:sz w:val="24"/>
          <w:szCs w:val="24"/>
        </w:rPr>
        <w:t xml:space="preserve">experience </w:t>
      </w:r>
      <w:r w:rsidR="00A6531F" w:rsidRPr="00A6117B">
        <w:rPr>
          <w:rFonts w:ascii="Arial" w:hAnsi="Arial" w:cs="Arial"/>
          <w:sz w:val="24"/>
          <w:szCs w:val="24"/>
        </w:rPr>
        <w:t xml:space="preserve">when attempting to participate fully and equally in the political process. We </w:t>
      </w:r>
      <w:r w:rsidR="00E22B58" w:rsidRPr="00A6117B">
        <w:rPr>
          <w:rFonts w:ascii="Arial" w:hAnsi="Arial" w:cs="Arial"/>
          <w:sz w:val="24"/>
          <w:szCs w:val="24"/>
        </w:rPr>
        <w:t xml:space="preserve">believe that they must be amended to </w:t>
      </w:r>
      <w:r w:rsidR="007D08B4" w:rsidRPr="00A6117B">
        <w:rPr>
          <w:rFonts w:ascii="Arial" w:hAnsi="Arial" w:cs="Arial"/>
          <w:sz w:val="24"/>
          <w:szCs w:val="24"/>
        </w:rPr>
        <w:t>accept</w:t>
      </w:r>
      <w:r w:rsidR="00E22B58" w:rsidRPr="00A6117B">
        <w:rPr>
          <w:rFonts w:ascii="Arial" w:hAnsi="Arial" w:cs="Arial"/>
          <w:sz w:val="24"/>
          <w:szCs w:val="24"/>
        </w:rPr>
        <w:t xml:space="preserve"> the use </w:t>
      </w:r>
      <w:r w:rsidR="00256F0F">
        <w:rPr>
          <w:rFonts w:ascii="Arial" w:hAnsi="Arial" w:cs="Arial"/>
          <w:sz w:val="24"/>
          <w:szCs w:val="24"/>
        </w:rPr>
        <w:t xml:space="preserve">of </w:t>
      </w:r>
      <w:r w:rsidR="007D08B4" w:rsidRPr="00A6117B">
        <w:rPr>
          <w:rFonts w:ascii="Arial" w:hAnsi="Arial" w:cs="Arial"/>
          <w:sz w:val="24"/>
          <w:szCs w:val="24"/>
        </w:rPr>
        <w:t xml:space="preserve">parallel </w:t>
      </w:r>
      <w:r w:rsidR="00E22B58" w:rsidRPr="00A6117B">
        <w:rPr>
          <w:rFonts w:ascii="Arial" w:hAnsi="Arial" w:cs="Arial"/>
          <w:sz w:val="24"/>
          <w:szCs w:val="24"/>
        </w:rPr>
        <w:t>accessibl</w:t>
      </w:r>
      <w:r w:rsidR="007D08B4" w:rsidRPr="00A6117B">
        <w:rPr>
          <w:rFonts w:ascii="Arial" w:hAnsi="Arial" w:cs="Arial"/>
          <w:sz w:val="24"/>
          <w:szCs w:val="24"/>
        </w:rPr>
        <w:t>e</w:t>
      </w:r>
      <w:r w:rsidR="00E22B58" w:rsidRPr="00A6117B">
        <w:rPr>
          <w:rFonts w:ascii="Arial" w:hAnsi="Arial" w:cs="Arial"/>
          <w:sz w:val="24"/>
          <w:szCs w:val="24"/>
        </w:rPr>
        <w:t xml:space="preserve"> digital alternatives to print forms, allow for an iVote-like suite of voting options </w:t>
      </w:r>
      <w:r w:rsidR="007D08B4" w:rsidRPr="00A6117B">
        <w:rPr>
          <w:rFonts w:ascii="Arial" w:hAnsi="Arial" w:cs="Arial"/>
          <w:sz w:val="24"/>
          <w:szCs w:val="24"/>
        </w:rPr>
        <w:t xml:space="preserve">for people who are blind or have low vision </w:t>
      </w:r>
      <w:r w:rsidR="00E22B58" w:rsidRPr="00A6117B">
        <w:rPr>
          <w:rFonts w:ascii="Arial" w:hAnsi="Arial" w:cs="Arial"/>
          <w:sz w:val="24"/>
          <w:szCs w:val="24"/>
        </w:rPr>
        <w:t>in all state and local government elections, and</w:t>
      </w:r>
      <w:r w:rsidR="00797CD7" w:rsidRPr="00A6117B">
        <w:rPr>
          <w:rFonts w:ascii="Arial" w:hAnsi="Arial" w:cs="Arial"/>
          <w:sz w:val="24"/>
          <w:szCs w:val="24"/>
        </w:rPr>
        <w:t xml:space="preserve"> require that How to Vote cares be available in an accessible digital format. If these changes are made then some of these long-standing ba</w:t>
      </w:r>
      <w:r w:rsidR="005F69DE" w:rsidRPr="00A6117B">
        <w:rPr>
          <w:rFonts w:ascii="Arial" w:hAnsi="Arial" w:cs="Arial"/>
          <w:sz w:val="24"/>
          <w:szCs w:val="24"/>
        </w:rPr>
        <w:t>r</w:t>
      </w:r>
      <w:r w:rsidR="00797CD7" w:rsidRPr="00A6117B">
        <w:rPr>
          <w:rFonts w:ascii="Arial" w:hAnsi="Arial" w:cs="Arial"/>
          <w:sz w:val="24"/>
          <w:szCs w:val="24"/>
        </w:rPr>
        <w:t>riers will be substantially eliminated.</w:t>
      </w:r>
    </w:p>
    <w:p w14:paraId="54D64E84" w14:textId="77777777" w:rsidR="006E00C0" w:rsidRPr="00A6117B" w:rsidRDefault="006E00C0" w:rsidP="00A6117B">
      <w:pPr>
        <w:spacing w:after="0" w:line="240" w:lineRule="auto"/>
        <w:contextualSpacing/>
        <w:jc w:val="both"/>
        <w:rPr>
          <w:rFonts w:ascii="Arial" w:hAnsi="Arial" w:cs="Arial"/>
        </w:rPr>
      </w:pPr>
      <w:r w:rsidRPr="00A6117B">
        <w:rPr>
          <w:rFonts w:ascii="Arial" w:hAnsi="Arial" w:cs="Arial"/>
        </w:rPr>
        <w:br w:type="page"/>
      </w:r>
    </w:p>
    <w:p w14:paraId="6BCD5836" w14:textId="284DEEB7" w:rsidR="006E00C0" w:rsidRDefault="006E00C0" w:rsidP="00A6117B">
      <w:pPr>
        <w:pStyle w:val="Heading2"/>
        <w:spacing w:after="0"/>
        <w:contextualSpacing/>
        <w:jc w:val="both"/>
      </w:pPr>
      <w:r>
        <w:lastRenderedPageBreak/>
        <w:t>About Vision Australia</w:t>
      </w:r>
    </w:p>
    <w:p w14:paraId="7521EEB2" w14:textId="600CB10A" w:rsidR="006E00C0" w:rsidRPr="008D78AF" w:rsidRDefault="006E00C0" w:rsidP="00A6117B">
      <w:pPr>
        <w:spacing w:after="0" w:line="240" w:lineRule="auto"/>
        <w:contextualSpacing/>
        <w:jc w:val="both"/>
        <w:rPr>
          <w:rFonts w:ascii="Arial" w:hAnsi="Arial" w:cs="Arial"/>
          <w:sz w:val="24"/>
          <w:szCs w:val="24"/>
        </w:rPr>
      </w:pPr>
      <w:r w:rsidRPr="008D78AF">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61F0B502" w14:textId="77777777" w:rsidR="00A6117B" w:rsidRPr="008D78AF" w:rsidRDefault="00A6117B" w:rsidP="00A6117B">
      <w:pPr>
        <w:spacing w:after="0" w:line="240" w:lineRule="auto"/>
        <w:contextualSpacing/>
        <w:jc w:val="both"/>
        <w:rPr>
          <w:rFonts w:ascii="Arial" w:hAnsi="Arial" w:cs="Arial"/>
          <w:sz w:val="24"/>
          <w:szCs w:val="24"/>
        </w:rPr>
      </w:pPr>
    </w:p>
    <w:p w14:paraId="6F23B6E1" w14:textId="7E7B2BA6" w:rsidR="006E00C0" w:rsidRPr="008D78AF" w:rsidRDefault="006E00C0" w:rsidP="00A6117B">
      <w:pPr>
        <w:spacing w:after="0" w:line="240" w:lineRule="auto"/>
        <w:contextualSpacing/>
        <w:jc w:val="both"/>
        <w:rPr>
          <w:rFonts w:ascii="Arial" w:hAnsi="Arial" w:cs="Arial"/>
          <w:sz w:val="24"/>
          <w:szCs w:val="24"/>
        </w:rPr>
      </w:pPr>
      <w:r w:rsidRPr="008D78AF">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6467A1C" w14:textId="77777777" w:rsidR="00A6117B" w:rsidRPr="008D78AF" w:rsidRDefault="00A6117B" w:rsidP="00A6117B">
      <w:pPr>
        <w:spacing w:after="0" w:line="240" w:lineRule="auto"/>
        <w:contextualSpacing/>
        <w:jc w:val="both"/>
        <w:rPr>
          <w:rFonts w:ascii="Arial" w:hAnsi="Arial" w:cs="Arial"/>
          <w:sz w:val="24"/>
          <w:szCs w:val="24"/>
        </w:rPr>
      </w:pPr>
    </w:p>
    <w:p w14:paraId="123B9B80" w14:textId="68C77948" w:rsidR="006E00C0" w:rsidRPr="008D78AF" w:rsidRDefault="006E00C0" w:rsidP="00A6117B">
      <w:pPr>
        <w:spacing w:after="0" w:line="240" w:lineRule="auto"/>
        <w:contextualSpacing/>
        <w:jc w:val="both"/>
        <w:rPr>
          <w:rFonts w:ascii="Arial" w:hAnsi="Arial" w:cs="Arial"/>
          <w:sz w:val="24"/>
          <w:szCs w:val="24"/>
        </w:rPr>
      </w:pPr>
      <w:r w:rsidRPr="008D78AF">
        <w:rPr>
          <w:rFonts w:ascii="Arial" w:hAnsi="Arial" w:cs="Arial"/>
          <w:sz w:val="24"/>
          <w:szCs w:val="24"/>
        </w:rPr>
        <w:t>Vision Australia service delivery areas include: registered provider of specialist supports for the NDIS and My Aged Care Aids and Equipment, Assistive/Adaptive Technology training and support,</w:t>
      </w:r>
      <w:r w:rsidR="00A6117B" w:rsidRPr="008D78AF">
        <w:rPr>
          <w:rFonts w:ascii="Arial" w:hAnsi="Arial" w:cs="Arial"/>
          <w:sz w:val="24"/>
          <w:szCs w:val="24"/>
        </w:rPr>
        <w:t xml:space="preserve"> </w:t>
      </w:r>
      <w:r w:rsidRPr="008D78AF">
        <w:rPr>
          <w:rFonts w:ascii="Arial" w:hAnsi="Arial" w:cs="Arial"/>
          <w:sz w:val="24"/>
          <w:szCs w:val="24"/>
        </w:rPr>
        <w:t>Seeing Eye Dogs, National Library Services, Early childhood and education services, and Feelix Library for 0-7 year olds, employment services, production of alternate formats, Vision Australia Radio network, and national partnership with Radio for the Print Handicapped</w:t>
      </w:r>
      <w:r w:rsidR="009432C9" w:rsidRPr="008D78AF">
        <w:rPr>
          <w:rFonts w:ascii="Arial" w:hAnsi="Arial" w:cs="Arial"/>
          <w:sz w:val="24"/>
          <w:szCs w:val="24"/>
        </w:rPr>
        <w:t>,</w:t>
      </w:r>
      <w:r w:rsidRPr="008D78AF">
        <w:rPr>
          <w:rFonts w:ascii="Arial" w:hAnsi="Arial" w:cs="Arial"/>
          <w:sz w:val="24"/>
          <w:szCs w:val="24"/>
        </w:rPr>
        <w:t xml:space="preserve"> Spectacles Program for the NSW Government</w:t>
      </w:r>
      <w:r w:rsidR="009432C9" w:rsidRPr="008D78AF">
        <w:rPr>
          <w:rFonts w:ascii="Arial" w:hAnsi="Arial" w:cs="Arial"/>
          <w:sz w:val="24"/>
          <w:szCs w:val="24"/>
        </w:rPr>
        <w:t xml:space="preserve">, </w:t>
      </w:r>
      <w:r w:rsidRPr="008D78AF">
        <w:rPr>
          <w:rFonts w:ascii="Arial" w:hAnsi="Arial" w:cs="Arial"/>
          <w:sz w:val="24"/>
          <w:szCs w:val="24"/>
        </w:rPr>
        <w:t xml:space="preserve"> Advocacy and Engagement. We also work collaboratively with Government, businesses and the community to eliminate the barriers our clients face in making life choices and fully exercising rights as Australian citizens.</w:t>
      </w:r>
    </w:p>
    <w:p w14:paraId="4784BBB0" w14:textId="77777777" w:rsidR="00A6117B" w:rsidRPr="008D78AF" w:rsidRDefault="00A6117B" w:rsidP="00A6117B">
      <w:pPr>
        <w:spacing w:after="0" w:line="240" w:lineRule="auto"/>
        <w:contextualSpacing/>
        <w:jc w:val="both"/>
        <w:rPr>
          <w:rFonts w:ascii="Arial" w:hAnsi="Arial" w:cs="Arial"/>
          <w:sz w:val="24"/>
          <w:szCs w:val="24"/>
        </w:rPr>
      </w:pPr>
    </w:p>
    <w:p w14:paraId="270A0846" w14:textId="4A21246E" w:rsidR="006E00C0" w:rsidRPr="008D78AF" w:rsidRDefault="006E00C0" w:rsidP="00A6117B">
      <w:pPr>
        <w:spacing w:after="0" w:line="240" w:lineRule="auto"/>
        <w:contextualSpacing/>
        <w:jc w:val="both"/>
        <w:rPr>
          <w:rFonts w:ascii="Arial" w:hAnsi="Arial" w:cs="Arial"/>
          <w:sz w:val="24"/>
          <w:szCs w:val="24"/>
        </w:rPr>
      </w:pPr>
      <w:r w:rsidRPr="008D78AF">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747F7376" w14:textId="77777777" w:rsidR="00A6117B" w:rsidRPr="008D78AF" w:rsidRDefault="00A6117B" w:rsidP="00A6117B">
      <w:pPr>
        <w:spacing w:after="0" w:line="240" w:lineRule="auto"/>
        <w:contextualSpacing/>
        <w:jc w:val="both"/>
        <w:rPr>
          <w:rFonts w:ascii="Arial" w:hAnsi="Arial" w:cs="Arial"/>
          <w:sz w:val="24"/>
          <w:szCs w:val="24"/>
        </w:rPr>
      </w:pPr>
    </w:p>
    <w:p w14:paraId="6B0E47BE" w14:textId="587D7E76" w:rsidR="006E00C0" w:rsidRPr="008D78AF" w:rsidRDefault="006E00C0" w:rsidP="00A6117B">
      <w:pPr>
        <w:spacing w:after="0" w:line="240" w:lineRule="auto"/>
        <w:contextualSpacing/>
        <w:jc w:val="both"/>
        <w:rPr>
          <w:rFonts w:ascii="Arial" w:hAnsi="Arial" w:cs="Arial"/>
          <w:sz w:val="24"/>
          <w:szCs w:val="24"/>
        </w:rPr>
      </w:pPr>
      <w:r w:rsidRPr="008D78AF">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16953CD" w14:textId="77777777" w:rsidR="00A6117B" w:rsidRPr="008D78AF" w:rsidRDefault="00A6117B" w:rsidP="00A6117B">
      <w:pPr>
        <w:spacing w:after="0" w:line="240" w:lineRule="auto"/>
        <w:contextualSpacing/>
        <w:jc w:val="both"/>
        <w:rPr>
          <w:rFonts w:ascii="Arial" w:hAnsi="Arial" w:cs="Arial"/>
          <w:sz w:val="24"/>
          <w:szCs w:val="24"/>
        </w:rPr>
      </w:pPr>
    </w:p>
    <w:p w14:paraId="13A5B1DF" w14:textId="1DE33DC9" w:rsidR="004E6F69" w:rsidRPr="008D78AF" w:rsidRDefault="006E00C0" w:rsidP="00A6117B">
      <w:pPr>
        <w:spacing w:after="0" w:line="240" w:lineRule="auto"/>
        <w:contextualSpacing/>
        <w:jc w:val="both"/>
        <w:rPr>
          <w:rFonts w:ascii="Arial" w:hAnsi="Arial" w:cs="Arial"/>
          <w:sz w:val="24"/>
          <w:szCs w:val="24"/>
        </w:rPr>
      </w:pPr>
      <w:r w:rsidRPr="008D78AF">
        <w:rPr>
          <w:rFonts w:ascii="Arial" w:hAnsi="Arial" w:cs="Arial"/>
          <w:sz w:val="24"/>
          <w:szCs w:val="24"/>
        </w:rPr>
        <w:t>Vision Australia is also a significant employer of people who are blind or have low vision, with 15% of total staff having vision impairment.</w:t>
      </w:r>
    </w:p>
    <w:sectPr w:rsidR="004E6F69" w:rsidRPr="008D7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AC"/>
    <w:rsid w:val="000034CA"/>
    <w:rsid w:val="000201F9"/>
    <w:rsid w:val="00070FBA"/>
    <w:rsid w:val="0011203B"/>
    <w:rsid w:val="001A5079"/>
    <w:rsid w:val="00227BDF"/>
    <w:rsid w:val="00237BC1"/>
    <w:rsid w:val="00256F0F"/>
    <w:rsid w:val="003868A4"/>
    <w:rsid w:val="003C25CA"/>
    <w:rsid w:val="003D6BC0"/>
    <w:rsid w:val="003E49B1"/>
    <w:rsid w:val="00404C04"/>
    <w:rsid w:val="00423CF2"/>
    <w:rsid w:val="0046569D"/>
    <w:rsid w:val="00472452"/>
    <w:rsid w:val="004765E6"/>
    <w:rsid w:val="004E6F69"/>
    <w:rsid w:val="00557C15"/>
    <w:rsid w:val="00563D09"/>
    <w:rsid w:val="005E1482"/>
    <w:rsid w:val="005F69DE"/>
    <w:rsid w:val="006051D8"/>
    <w:rsid w:val="00666A8C"/>
    <w:rsid w:val="006E00C0"/>
    <w:rsid w:val="00714915"/>
    <w:rsid w:val="0076451E"/>
    <w:rsid w:val="00797CD7"/>
    <w:rsid w:val="007D08B4"/>
    <w:rsid w:val="008613D4"/>
    <w:rsid w:val="008A3790"/>
    <w:rsid w:val="008C1A53"/>
    <w:rsid w:val="008D78AF"/>
    <w:rsid w:val="009432C9"/>
    <w:rsid w:val="00974D47"/>
    <w:rsid w:val="00A26EAC"/>
    <w:rsid w:val="00A6117B"/>
    <w:rsid w:val="00A6531F"/>
    <w:rsid w:val="00AE5E93"/>
    <w:rsid w:val="00AF6D47"/>
    <w:rsid w:val="00B46E67"/>
    <w:rsid w:val="00C41981"/>
    <w:rsid w:val="00CB028C"/>
    <w:rsid w:val="00D555C4"/>
    <w:rsid w:val="00D90DD2"/>
    <w:rsid w:val="00E22B58"/>
    <w:rsid w:val="00E96209"/>
    <w:rsid w:val="00EB60CB"/>
    <w:rsid w:val="00EE7D39"/>
    <w:rsid w:val="00FA4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61C"/>
  <w15:chartTrackingRefBased/>
  <w15:docId w15:val="{8C904540-0DCD-47A0-8F30-7799DBB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character" w:styleId="Hyperlink">
    <w:name w:val="Hyperlink"/>
    <w:basedOn w:val="DefaultParagraphFont"/>
    <w:uiPriority w:val="99"/>
    <w:unhideWhenUsed/>
    <w:rsid w:val="00666A8C"/>
    <w:rPr>
      <w:color w:val="0563C1" w:themeColor="hyperlink"/>
      <w:u w:val="single"/>
    </w:rPr>
  </w:style>
  <w:style w:type="character" w:styleId="UnresolvedMention">
    <w:name w:val="Unresolved Mention"/>
    <w:basedOn w:val="DefaultParagraphFont"/>
    <w:uiPriority w:val="99"/>
    <w:semiHidden/>
    <w:unhideWhenUsed/>
    <w:rsid w:val="00666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34A0E-BD36-4339-83FD-7A3F7E43412D}">
  <ds:schemaRefs>
    <ds:schemaRef ds:uri="http://schemas.microsoft.com/sharepoint/v3/contenttype/forms"/>
  </ds:schemaRefs>
</ds:datastoreItem>
</file>

<file path=customXml/itemProps2.xml><?xml version="1.0" encoding="utf-8"?>
<ds:datastoreItem xmlns:ds="http://schemas.openxmlformats.org/officeDocument/2006/customXml" ds:itemID="{5F00D122-EE3C-48F2-8B2B-891314BA2A1D}">
  <ds:schemaRefs>
    <ds:schemaRef ds:uri="http://www.w3.org/XML/1998/namespace"/>
    <ds:schemaRef ds:uri="http://purl.org/dc/dcmitype/"/>
    <ds:schemaRef ds:uri="http://schemas.openxmlformats.org/package/2006/metadata/core-properties"/>
    <ds:schemaRef ds:uri="d323880f-55df-439a-b8ea-eefc6459ff07"/>
    <ds:schemaRef ds:uri="http://purl.org/dc/elements/1.1/"/>
    <ds:schemaRef ds:uri="http://purl.org/dc/terms/"/>
    <ds:schemaRef ds:uri="http://schemas.microsoft.com/office/2006/documentManagement/types"/>
    <ds:schemaRef ds:uri="http://schemas.microsoft.com/office/infopath/2007/PartnerControls"/>
    <ds:schemaRef ds:uri="2f89febe-9018-4c09-aae1-02f5af59e8c3"/>
    <ds:schemaRef ds:uri="http://schemas.microsoft.com/office/2006/metadata/properties"/>
  </ds:schemaRefs>
</ds:datastoreItem>
</file>

<file path=customXml/itemProps3.xml><?xml version="1.0" encoding="utf-8"?>
<ds:datastoreItem xmlns:ds="http://schemas.openxmlformats.org/officeDocument/2006/customXml" ds:itemID="{0545C05E-A615-47D8-A404-395791B7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2022-12-01T09:19:00Z</dcterms:created>
  <dcterms:modified xsi:type="dcterms:W3CDTF">2022-12-01T09:19:00Z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